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E128" w14:textId="4D5B01D7" w:rsidR="00221C5D" w:rsidRDefault="008E4812">
      <w:r w:rsidRPr="008E4812">
        <w:t>How does clothing sizing vary across different regions and brands, and what challenges does this present for consumers when shopping online or internationally?</w:t>
      </w:r>
    </w:p>
    <w:sectPr w:rsidR="0022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5D"/>
    <w:rsid w:val="00221C5D"/>
    <w:rsid w:val="008E4812"/>
    <w:rsid w:val="00D8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099F-E901-4F12-9632-59DF2AF0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2024-06-24T20:32:00Z</dcterms:created>
  <dcterms:modified xsi:type="dcterms:W3CDTF">2024-06-24T20:32:00Z</dcterms:modified>
</cp:coreProperties>
</file>