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B8420F"/>
          <w:sz w:val="40"/>
          <w:szCs w:val="40"/>
        </w:rPr>
        <w:t xml:space="preserve">Plan de Cierre de Brechas — Cumplimiento RESSO</w:t>
      </w:r>
    </w:p>
    <w:p>
      <w:pPr>
        <w:spacing w:after="60"/>
      </w:pPr>
      <w:r>
        <w:rPr>
          <w:color w:val="5C5440"/>
          <w:sz w:val="24"/>
          <w:szCs w:val="24"/>
        </w:rPr>
        <w:t xml:space="preserve">SKIC Obra 424 · Contrato CODELCO</w:t>
      </w:r>
    </w:p>
    <w:p>
      <w:pPr>
        <w:spacing w:after="300"/>
      </w:pPr>
      <w:r>
        <w:rPr>
          <w:i/>
          <w:iCs/>
          <w:color w:val="5C5440"/>
          <w:sz w:val="20"/>
          <w:szCs w:val="20"/>
        </w:rPr>
        <w:t xml:space="preserve">Septiembre – Diciembre 2026  ·  Elaborado 15 de septiembre de 2026</w:t>
      </w:r>
    </w:p>
    <w:p>
      <w:pPr>
        <w:pStyle w:val="Heading1"/>
        <w:spacing w:after="140" w:before="320"/>
      </w:pPr>
      <w:r>
        <w:t xml:space="preserve">1. Resumen ejecutivo</w:t>
      </w:r>
    </w:p>
    <w:p>
      <w:pPr>
        <w:spacing w:after="140"/>
      </w:pPr>
      <w:r>
        <w:rPr>
          <w:sz w:val="21"/>
          <w:szCs w:val="21"/>
        </w:rPr>
        <w:t xml:space="preserve">A la fecha (2026-09-15 17:03), la dotación activa de 991 personas registra un avance promedio de 55.5% sobre los 68 documentos/capacitaciones que componen el cumplimiento RESSO. Este plan traza una ruta desde ese punto hasta el 31 de diciembre de 2026.</w:t>
      </w:r>
    </w:p>
    <w:p>
      <w:pPr>
        <w:spacing w:after="140"/>
      </w:pPr>
      <w:r>
        <w:rPr>
          <w:sz w:val="21"/>
          <w:szCs w:val="21"/>
        </w:rPr>
        <w:t xml:space="preserve">El objetivo declarado es llegar al 100%. Con la capacidad de capacitación presencial disponible hoy (calificada como baja), eso no es alcanzable en este plazo para los 68 cursos: hay 29.993 aprobaciones pendientes en total, y una parte importante requiere evaluación presencial con instructor, no solo administración de plataforma.</w:t>
      </w:r>
    </w:p>
    <w:p>
      <w:pPr>
        <w:spacing w:after="140"/>
      </w:pPr>
      <w:r>
        <w:rPr>
          <w:sz w:val="21"/>
          <w:szCs w:val="21"/>
        </w:rPr>
        <w:t xml:space="preserve">En su lugar, este plan propone una meta realista y defendible: </w:t>
      </w:r>
    </w:p>
    <w:p>
      <w:pPr>
        <w:pStyle w:val="ListParagraph"/>
        <w:numPr>
          <w:ilvl w:val="0"/>
          <w:numId w:val="1"/>
        </w:numPr>
        <w:spacing w:after="80"/>
      </w:pPr>
      <w:r>
        <w:rPr>
          <w:sz w:val="21"/>
          <w:szCs w:val="21"/>
        </w:rPr>
        <w:t xml:space="preserve">Llevar el avance global de 55.5% a 81.5% para el 31 de diciembre.</w:t>
      </w:r>
    </w:p>
    <w:p>
      <w:pPr>
        <w:pStyle w:val="ListParagraph"/>
        <w:numPr>
          <w:ilvl w:val="0"/>
          <w:numId w:val="1"/>
        </w:numPr>
        <w:spacing w:after="80"/>
      </w:pPr>
      <w:r>
        <w:rPr>
          <w:sz w:val="21"/>
          <w:szCs w:val="21"/>
        </w:rPr>
        <w:t xml:space="preserve">Cerrar por completo (≈98%) 8 de los 18 cursos críticos de Riesgos de Fatalidad y Reglamentos Internos Mineros — priorizados primero, tal como se definió.</w:t>
      </w:r>
    </w:p>
    <w:p>
      <w:pPr>
        <w:pStyle w:val="ListParagraph"/>
        <w:numPr>
          <w:ilvl w:val="0"/>
          <w:numId w:val="1"/>
        </w:numPr>
        <w:spacing w:after="80"/>
      </w:pPr>
      <w:r>
        <w:rPr>
          <w:sz w:val="21"/>
          <w:szCs w:val="21"/>
        </w:rPr>
        <w:t xml:space="preserve">Llevar los 50 cursos administrativos/plataforma de 64.1% a 90.0% mediante seguimiento administrativo, sin competir por capacidad de instructores.</w:t>
      </w:r>
    </w:p>
    <w:p>
      <w:pPr>
        <w:pStyle w:val="ListParagraph"/>
        <w:numPr>
          <w:ilvl w:val="0"/>
          <w:numId w:val="1"/>
        </w:numPr>
        <w:spacing w:after="80"/>
      </w:pPr>
      <w:r>
        <w:rPr>
          <w:sz w:val="21"/>
          <w:szCs w:val="21"/>
        </w:rPr>
        <w:t xml:space="preserve">Dejar explícitamente definidos los 10 cursos críticos restantes como continuidad para el primer trimestre de 2027, en vez de dejarlos ambiguos.</w:t>
      </w:r>
    </w:p>
    <w:p>
      <w:pPr>
        <w:spacing w:after="140"/>
      </w:pPr>
      <w:r>
        <w:rPr>
          <w:i/>
          <w:iCs/>
          <w:color w:val="5C5440"/>
          <w:sz w:val="19"/>
          <w:szCs w:val="19"/>
        </w:rPr>
        <w:t xml:space="preserve">Este enfoque prioriza el riesgo de fatalidad por sobre el porcentaje global — puede ser preferible mostrar 8 cursos de seguridad crítica completamente cerrados y auditables, que un avance parejo pero incompleto en los 18.</w:t>
      </w:r>
    </w:p>
    <w:p>
      <w:pPr>
        <w:pStyle w:val="Heading1"/>
        <w:spacing w:after="140" w:before="320"/>
      </w:pPr>
      <w:r>
        <w:t xml:space="preserve">2. Diagnóstico actual</w:t>
      </w:r>
    </w:p>
    <w:p>
      <w:pPr>
        <w:spacing w:after="140"/>
      </w:pPr>
      <w:r>
        <w:rPr>
          <w:sz w:val="21"/>
          <w:szCs w:val="21"/>
        </w:rPr>
        <w:t xml:space="preserve">Los 68 documentos se agrupan en 4 familias temáticas. La brecha no está distribuida de forma pareja: Riesgos de Fatalidad y Reglamentos Internos Mineros concentran el atraso más severo.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2950"/>
      </w:tblGrid>
      <w:tr>
        <w:trPr>
          <w:tblHeader/>
        </w:trPr>
        <w:tc>
          <w:tcPr>
            <w:tcW w:type="dxa" w:w="3200"/>
            <w:shd w:fill="B8420F" w:val="clear"/>
            <w:tcMar>
              <w:top w:type="dxa" w:w="60"/>
              <w:left w:type="dxa" w:w="100"/>
              <w:bottom w:type="dxa" w:w="60"/>
              <w:right w:type="dxa" w:w="100"/>
            </w:tcMar>
          </w:tcPr>
          <w:p>
            <w:pPr>
              <w:jc w:val="left"/>
            </w:pPr>
            <w:r>
              <w:rPr>
                <w:b/>
                <w:bCs/>
                <w:color w:val="FFFFFF"/>
                <w:sz w:val="19"/>
                <w:szCs w:val="19"/>
              </w:rPr>
              <w:t xml:space="preserve">Familia</w:t>
            </w:r>
          </w:p>
        </w:tc>
        <w:tc>
          <w:tcPr>
            <w:tcW w:type="dxa" w:w="1400"/>
            <w:shd w:fill="B8420F" w:val="clear"/>
            <w:tcMar>
              <w:top w:type="dxa" w:w="60"/>
              <w:left w:type="dxa" w:w="100"/>
              <w:bottom w:type="dxa" w:w="60"/>
              <w:right w:type="dxa" w:w="100"/>
            </w:tcMar>
          </w:tcPr>
          <w:p>
            <w:pPr>
              <w:jc w:val="left"/>
            </w:pPr>
            <w:r>
              <w:rPr>
                <w:b/>
                <w:bCs/>
                <w:color w:val="FFFFFF"/>
                <w:sz w:val="19"/>
                <w:szCs w:val="19"/>
              </w:rPr>
              <w:t xml:space="preserve">N° cursos</w:t>
            </w:r>
          </w:p>
        </w:tc>
        <w:tc>
          <w:tcPr>
            <w:tcW w:type="dxa" w:w="1800"/>
            <w:shd w:fill="B8420F" w:val="clear"/>
            <w:tcMar>
              <w:top w:type="dxa" w:w="60"/>
              <w:left w:type="dxa" w:w="100"/>
              <w:bottom w:type="dxa" w:w="60"/>
              <w:right w:type="dxa" w:w="100"/>
            </w:tcMar>
          </w:tcPr>
          <w:p>
            <w:pPr>
              <w:jc w:val="left"/>
            </w:pPr>
            <w:r>
              <w:rPr>
                <w:b/>
                <w:bCs/>
                <w:color w:val="FFFFFF"/>
                <w:sz w:val="19"/>
                <w:szCs w:val="19"/>
              </w:rPr>
              <w:t xml:space="preserve">Avance promedio</w:t>
            </w:r>
          </w:p>
        </w:tc>
        <w:tc>
          <w:tcPr>
            <w:tcW w:type="dxa" w:w="2950"/>
            <w:shd w:fill="B8420F" w:val="clear"/>
            <w:tcMar>
              <w:top w:type="dxa" w:w="60"/>
              <w:left w:type="dxa" w:w="100"/>
              <w:bottom w:type="dxa" w:w="60"/>
              <w:right w:type="dxa" w:w="100"/>
            </w:tcMar>
          </w:tcPr>
          <w:p>
            <w:pPr>
              <w:jc w:val="left"/>
            </w:pPr>
            <w:r>
              <w:rPr>
                <w:b/>
                <w:bCs/>
                <w:color w:val="FFFFFF"/>
                <w:sz w:val="19"/>
                <w:szCs w:val="19"/>
              </w:rPr>
              <w:t xml:space="preserve">Aprobaciones pendientes</w:t>
            </w:r>
          </w:p>
        </w:tc>
      </w:tr>
      <w:tr>
        <w:tc>
          <w:tcPr>
            <w:tcW w:type="dxa" w:w="3200"/>
            <w:tcMar>
              <w:top w:type="dxa" w:w="60"/>
              <w:left w:type="dxa" w:w="100"/>
              <w:bottom w:type="dxa" w:w="60"/>
              <w:right w:type="dxa" w:w="100"/>
            </w:tcMar>
          </w:tcPr>
          <w:p>
            <w:pPr>
              <w:jc w:val="left"/>
            </w:pPr>
            <w:r>
              <w:rPr>
                <w:b w:val="false"/>
                <w:bCs w:val="false"/>
                <w:color w:val="211C12"/>
                <w:sz w:val="20"/>
                <w:szCs w:val="20"/>
              </w:rPr>
              <w:t xml:space="preserve">Riesgos de Fatalidad</w:t>
            </w:r>
          </w:p>
        </w:tc>
        <w:tc>
          <w:tcPr>
            <w:tcW w:type="dxa" w:w="1400"/>
            <w:tcMar>
              <w:top w:type="dxa" w:w="60"/>
              <w:left w:type="dxa" w:w="100"/>
              <w:bottom w:type="dxa" w:w="60"/>
              <w:right w:type="dxa" w:w="100"/>
            </w:tcMar>
          </w:tcPr>
          <w:p>
            <w:pPr>
              <w:jc w:val="center"/>
            </w:pPr>
            <w:r>
              <w:rPr>
                <w:b w:val="false"/>
                <w:bCs w:val="false"/>
                <w:color w:val="211C12"/>
                <w:sz w:val="20"/>
                <w:szCs w:val="20"/>
              </w:rPr>
              <w:t xml:space="preserve">17</w:t>
            </w:r>
          </w:p>
        </w:tc>
        <w:tc>
          <w:tcPr>
            <w:tcW w:type="dxa" w:w="1800"/>
            <w:tcMar>
              <w:top w:type="dxa" w:w="60"/>
              <w:left w:type="dxa" w:w="100"/>
              <w:bottom w:type="dxa" w:w="60"/>
              <w:right w:type="dxa" w:w="100"/>
            </w:tcMar>
          </w:tcPr>
          <w:p>
            <w:pPr>
              <w:jc w:val="center"/>
            </w:pPr>
            <w:r>
              <w:rPr>
                <w:b/>
                <w:bCs/>
                <w:color w:val="211C12"/>
                <w:sz w:val="20"/>
                <w:szCs w:val="20"/>
              </w:rPr>
              <w:t xml:space="preserve">32.9%</w:t>
            </w:r>
          </w:p>
        </w:tc>
        <w:tc>
          <w:tcPr>
            <w:tcW w:type="dxa" w:w="2950"/>
            <w:tcMar>
              <w:top w:type="dxa" w:w="60"/>
              <w:left w:type="dxa" w:w="100"/>
              <w:bottom w:type="dxa" w:w="60"/>
              <w:right w:type="dxa" w:w="100"/>
            </w:tcMar>
          </w:tcPr>
          <w:p>
            <w:pPr>
              <w:jc w:val="center"/>
            </w:pPr>
            <w:r>
              <w:rPr>
                <w:b w:val="false"/>
                <w:bCs w:val="false"/>
                <w:color w:val="211C12"/>
                <w:sz w:val="20"/>
                <w:szCs w:val="20"/>
              </w:rPr>
              <w:t xml:space="preserve">11.309</w:t>
            </w:r>
          </w:p>
        </w:tc>
      </w:tr>
      <w:tr>
        <w:tc>
          <w:tcPr>
            <w:tcW w:type="dxa" w:w="3200"/>
            <w:tcMar>
              <w:top w:type="dxa" w:w="60"/>
              <w:left w:type="dxa" w:w="100"/>
              <w:bottom w:type="dxa" w:w="60"/>
              <w:right w:type="dxa" w:w="100"/>
            </w:tcMar>
          </w:tcPr>
          <w:p>
            <w:pPr>
              <w:jc w:val="left"/>
            </w:pPr>
            <w:r>
              <w:rPr>
                <w:b w:val="false"/>
                <w:bCs w:val="false"/>
                <w:color w:val="211C12"/>
                <w:sz w:val="20"/>
                <w:szCs w:val="20"/>
              </w:rPr>
              <w:t xml:space="preserve">Reglamentos Internos Mineros</w:t>
            </w:r>
          </w:p>
        </w:tc>
        <w:tc>
          <w:tcPr>
            <w:tcW w:type="dxa" w:w="1400"/>
            <w:tcMar>
              <w:top w:type="dxa" w:w="60"/>
              <w:left w:type="dxa" w:w="100"/>
              <w:bottom w:type="dxa" w:w="60"/>
              <w:right w:type="dxa" w:w="100"/>
            </w:tcMar>
          </w:tcPr>
          <w:p>
            <w:pPr>
              <w:jc w:val="center"/>
            </w:pPr>
            <w:r>
              <w:rPr>
                <w:b w:val="false"/>
                <w:bCs w:val="false"/>
                <w:color w:val="211C12"/>
                <w:sz w:val="20"/>
                <w:szCs w:val="20"/>
              </w:rPr>
              <w:t xml:space="preserve">4</w:t>
            </w:r>
          </w:p>
        </w:tc>
        <w:tc>
          <w:tcPr>
            <w:tcW w:type="dxa" w:w="1800"/>
            <w:tcMar>
              <w:top w:type="dxa" w:w="60"/>
              <w:left w:type="dxa" w:w="100"/>
              <w:bottom w:type="dxa" w:w="60"/>
              <w:right w:type="dxa" w:w="100"/>
            </w:tcMar>
          </w:tcPr>
          <w:p>
            <w:pPr>
              <w:jc w:val="center"/>
            </w:pPr>
            <w:r>
              <w:rPr>
                <w:b/>
                <w:bCs/>
                <w:color w:val="211C12"/>
                <w:sz w:val="20"/>
                <w:szCs w:val="20"/>
              </w:rPr>
              <w:t xml:space="preserve">30.9%</w:t>
            </w:r>
          </w:p>
        </w:tc>
        <w:tc>
          <w:tcPr>
            <w:tcW w:type="dxa" w:w="2950"/>
            <w:tcMar>
              <w:top w:type="dxa" w:w="60"/>
              <w:left w:type="dxa" w:w="100"/>
              <w:bottom w:type="dxa" w:w="60"/>
              <w:right w:type="dxa" w:w="100"/>
            </w:tcMar>
          </w:tcPr>
          <w:p>
            <w:pPr>
              <w:jc w:val="center"/>
            </w:pPr>
            <w:r>
              <w:rPr>
                <w:b w:val="false"/>
                <w:bCs w:val="false"/>
                <w:color w:val="211C12"/>
                <w:sz w:val="20"/>
                <w:szCs w:val="20"/>
              </w:rPr>
              <w:t xml:space="preserve">2.738</w:t>
            </w:r>
          </w:p>
        </w:tc>
      </w:tr>
      <w:tr>
        <w:tc>
          <w:tcPr>
            <w:tcW w:type="dxa" w:w="3200"/>
            <w:tcMar>
              <w:top w:type="dxa" w:w="60"/>
              <w:left w:type="dxa" w:w="100"/>
              <w:bottom w:type="dxa" w:w="60"/>
              <w:right w:type="dxa" w:w="100"/>
            </w:tcMar>
          </w:tcPr>
          <w:p>
            <w:pPr>
              <w:jc w:val="left"/>
            </w:pPr>
            <w:r>
              <w:rPr>
                <w:b w:val="false"/>
                <w:bCs w:val="false"/>
                <w:color w:val="211C12"/>
                <w:sz w:val="20"/>
                <w:szCs w:val="20"/>
              </w:rPr>
              <w:t xml:space="preserve">Medio Ambiente</w:t>
            </w:r>
          </w:p>
        </w:tc>
        <w:tc>
          <w:tcPr>
            <w:tcW w:type="dxa" w:w="1400"/>
            <w:tcMar>
              <w:top w:type="dxa" w:w="60"/>
              <w:left w:type="dxa" w:w="100"/>
              <w:bottom w:type="dxa" w:w="60"/>
              <w:right w:type="dxa" w:w="100"/>
            </w:tcMar>
          </w:tcPr>
          <w:p>
            <w:pPr>
              <w:jc w:val="center"/>
            </w:pPr>
            <w:r>
              <w:rPr>
                <w:b w:val="false"/>
                <w:bCs w:val="false"/>
                <w:color w:val="211C12"/>
                <w:sz w:val="20"/>
                <w:szCs w:val="20"/>
              </w:rPr>
              <w:t xml:space="preserve">7</w:t>
            </w:r>
          </w:p>
        </w:tc>
        <w:tc>
          <w:tcPr>
            <w:tcW w:type="dxa" w:w="1800"/>
            <w:tcMar>
              <w:top w:type="dxa" w:w="60"/>
              <w:left w:type="dxa" w:w="100"/>
              <w:bottom w:type="dxa" w:w="60"/>
              <w:right w:type="dxa" w:w="100"/>
            </w:tcMar>
          </w:tcPr>
          <w:p>
            <w:pPr>
              <w:jc w:val="center"/>
            </w:pPr>
            <w:r>
              <w:rPr>
                <w:b/>
                <w:bCs/>
                <w:color w:val="211C12"/>
                <w:sz w:val="20"/>
                <w:szCs w:val="20"/>
              </w:rPr>
              <w:t xml:space="preserve">82.4%</w:t>
            </w:r>
          </w:p>
        </w:tc>
        <w:tc>
          <w:tcPr>
            <w:tcW w:type="dxa" w:w="2950"/>
            <w:tcMar>
              <w:top w:type="dxa" w:w="60"/>
              <w:left w:type="dxa" w:w="100"/>
              <w:bottom w:type="dxa" w:w="60"/>
              <w:right w:type="dxa" w:w="100"/>
            </w:tcMar>
          </w:tcPr>
          <w:p>
            <w:pPr>
              <w:jc w:val="center"/>
            </w:pPr>
            <w:r>
              <w:rPr>
                <w:b w:val="false"/>
                <w:bCs w:val="false"/>
                <w:color w:val="211C12"/>
                <w:sz w:val="20"/>
                <w:szCs w:val="20"/>
              </w:rPr>
              <w:t xml:space="preserve">1.221</w:t>
            </w:r>
          </w:p>
        </w:tc>
      </w:tr>
      <w:tr>
        <w:tc>
          <w:tcPr>
            <w:tcW w:type="dxa" w:w="3200"/>
            <w:tcMar>
              <w:top w:type="dxa" w:w="60"/>
              <w:left w:type="dxa" w:w="100"/>
              <w:bottom w:type="dxa" w:w="60"/>
              <w:right w:type="dxa" w:w="100"/>
            </w:tcMar>
          </w:tcPr>
          <w:p>
            <w:pPr>
              <w:jc w:val="left"/>
            </w:pPr>
            <w:r>
              <w:rPr>
                <w:b w:val="false"/>
                <w:bCs w:val="false"/>
                <w:color w:val="211C12"/>
                <w:sz w:val="20"/>
                <w:szCs w:val="20"/>
              </w:rPr>
              <w:t xml:space="preserve">IRL y otras capacitaciones</w:t>
            </w:r>
          </w:p>
        </w:tc>
        <w:tc>
          <w:tcPr>
            <w:tcW w:type="dxa" w:w="1400"/>
            <w:tcMar>
              <w:top w:type="dxa" w:w="60"/>
              <w:left w:type="dxa" w:w="100"/>
              <w:bottom w:type="dxa" w:w="60"/>
              <w:right w:type="dxa" w:w="100"/>
            </w:tcMar>
          </w:tcPr>
          <w:p>
            <w:pPr>
              <w:jc w:val="center"/>
            </w:pPr>
            <w:r>
              <w:rPr>
                <w:b w:val="false"/>
                <w:bCs w:val="false"/>
                <w:color w:val="211C12"/>
                <w:sz w:val="20"/>
                <w:szCs w:val="20"/>
              </w:rPr>
              <w:t xml:space="preserve">40</w:t>
            </w:r>
          </w:p>
        </w:tc>
        <w:tc>
          <w:tcPr>
            <w:tcW w:type="dxa" w:w="1800"/>
            <w:tcMar>
              <w:top w:type="dxa" w:w="60"/>
              <w:left w:type="dxa" w:w="100"/>
              <w:bottom w:type="dxa" w:w="60"/>
              <w:right w:type="dxa" w:w="100"/>
            </w:tcMar>
          </w:tcPr>
          <w:p>
            <w:pPr>
              <w:jc w:val="center"/>
            </w:pPr>
            <w:r>
              <w:rPr>
                <w:b/>
                <w:bCs/>
                <w:color w:val="211C12"/>
                <w:sz w:val="20"/>
                <w:szCs w:val="20"/>
              </w:rPr>
              <w:t xml:space="preserve">62.9%</w:t>
            </w:r>
          </w:p>
        </w:tc>
        <w:tc>
          <w:tcPr>
            <w:tcW w:type="dxa" w:w="2950"/>
            <w:tcMar>
              <w:top w:type="dxa" w:w="60"/>
              <w:left w:type="dxa" w:w="100"/>
              <w:bottom w:type="dxa" w:w="60"/>
              <w:right w:type="dxa" w:w="100"/>
            </w:tcMar>
          </w:tcPr>
          <w:p>
            <w:pPr>
              <w:jc w:val="center"/>
            </w:pPr>
            <w:r>
              <w:rPr>
                <w:b w:val="false"/>
                <w:bCs w:val="false"/>
                <w:color w:val="211C12"/>
                <w:sz w:val="20"/>
                <w:szCs w:val="20"/>
              </w:rPr>
              <w:t xml:space="preserve">14.725</w:t>
            </w:r>
          </w:p>
        </w:tc>
      </w:tr>
    </w:tbl>
    <w:p>
      <w:pPr>
        <w:spacing w:after="100" w:before="200"/>
      </w:pPr>
    </w:p>
    <w:p>
      <w:pPr>
        <w:spacing w:after="140"/>
      </w:pPr>
      <w:r>
        <w:rPr>
          <w:sz w:val="21"/>
          <w:szCs w:val="21"/>
        </w:rPr>
        <w:t xml:space="preserve">El detalle curso por curso, con sus metas individuales, está en el archivo Excel adjunto (hojas "Pista A" y "Pista B").</w:t>
      </w:r>
    </w:p>
    <w:p>
      <w:pPr>
        <w:pStyle w:val="Heading1"/>
        <w:spacing w:after="140" w:before="320"/>
      </w:pPr>
      <w:r>
        <w:t xml:space="preserve">3. Estructura del plan: dos pistas de trabajo</w:t>
      </w:r>
    </w:p>
    <w:p>
      <w:pPr>
        <w:pStyle w:val="Heading2"/>
        <w:spacing w:after="100" w:before="240"/>
      </w:pPr>
      <w:r>
        <w:t xml:space="preserve">Pista A — Cursos críticos con evaluación presencial (18 cursos)</w:t>
      </w:r>
    </w:p>
    <w:p>
      <w:pPr>
        <w:spacing w:after="140"/>
      </w:pPr>
      <w:r>
        <w:rPr>
          <w:sz w:val="21"/>
          <w:szCs w:val="21"/>
        </w:rPr>
        <w:t xml:space="preserve">17 evaluaciones de Riesgos de Fatalidad (RF) más el Reglamento de Emergencia Mina Chuquicamata (R-035), todas con modalidad "evaluación 100% de puntaje" — requieren sesión con instructor, no solo autoservicio en plataforma. Es la pista gatillada por capacidad y la que definimos como prioridad n°1.</w:t>
      </w:r>
    </w:p>
    <w:p>
      <w:pPr>
        <w:pStyle w:val="Heading2"/>
        <w:spacing w:after="100" w:before="240"/>
      </w:pPr>
      <w:r>
        <w:t xml:space="preserve">Pista B — Cursos administrativos y de plataforma (50 cursos)</w:t>
      </w:r>
    </w:p>
    <w:p>
      <w:pPr>
        <w:spacing w:after="140"/>
      </w:pPr>
      <w:r>
        <w:rPr>
          <w:sz w:val="21"/>
          <w:szCs w:val="21"/>
        </w:rPr>
        <w:t xml:space="preserve">El resto: registros que se sincronizan desde la Maestra de Capacitación, difusiones y evaluaciones autoservicio en la Plataforma nueva, e inducciones. No compiten por horas de instructor — su cuello de botella es seguimiento administrativo (recordatorios, carga de evidencia, cierre de registros pendientes), que puede avanzar en paralelo a la Pista A.</w:t>
      </w:r>
    </w:p>
    <w:p>
      <w:pPr>
        <w:pStyle w:val="Heading1"/>
        <w:spacing w:after="140" w:before="320"/>
      </w:pPr>
      <w:r>
        <w:t xml:space="preserve">4. Supuestos de capacidad (Pista A)</w:t>
      </w:r>
    </w:p>
    <w:p>
      <w:pPr>
        <w:pStyle w:val="ListParagraph"/>
        <w:numPr>
          <w:ilvl w:val="0"/>
          <w:numId w:val="1"/>
        </w:numPr>
        <w:spacing w:after="80"/>
      </w:pPr>
      <w:r>
        <w:rPr>
          <w:sz w:val="21"/>
          <w:szCs w:val="21"/>
        </w:rPr>
        <w:t xml:space="preserve">2 sesiones presenciales por semana disponibles (capacidad declarada como baja).</w:t>
      </w:r>
    </w:p>
    <w:p>
      <w:pPr>
        <w:pStyle w:val="ListParagraph"/>
        <w:numPr>
          <w:ilvl w:val="0"/>
          <w:numId w:val="1"/>
        </w:numPr>
        <w:spacing w:after="80"/>
      </w:pPr>
      <w:r>
        <w:rPr>
          <w:sz w:val="21"/>
          <w:szCs w:val="21"/>
        </w:rPr>
        <w:t xml:space="preserve">Cada curso requiere 3 sesiones para cubrir a toda la dotación activa: un grupo para el turno A (10X10 A/A-N, 438 personas), uno para el turno B (10X10 B/B-N, 431 personas) y uno para los turnos menores (10X10 C/D, 8X6, 4X3, 5X2 — 122 personas).</w:t>
      </w:r>
    </w:p>
    <w:p>
      <w:pPr>
        <w:pStyle w:val="ListParagraph"/>
        <w:numPr>
          <w:ilvl w:val="0"/>
          <w:numId w:val="1"/>
        </w:numPr>
        <w:spacing w:after="80"/>
      </w:pPr>
      <w:r>
        <w:rPr>
          <w:sz w:val="21"/>
          <w:szCs w:val="21"/>
        </w:rPr>
        <w:t xml:space="preserve">13 semanas efectivas de capacitación entre el 21 de septiembre y el 14 de diciembre (se excluye la última quincena de diciembre por cierre de año).</w:t>
      </w:r>
    </w:p>
    <w:p>
      <w:pPr>
        <w:pStyle w:val="ListParagraph"/>
        <w:numPr>
          <w:ilvl w:val="0"/>
          <w:numId w:val="1"/>
        </w:numPr>
        <w:spacing w:after="80"/>
      </w:pPr>
      <w:r>
        <w:rPr>
          <w:sz w:val="21"/>
          <w:szCs w:val="21"/>
        </w:rPr>
        <w:t xml:space="preserve">26 sesiones disponibles en total → alcanzan para cerrar 8 cursos completos (24 sesiones), dejando 2 sesiones de margen para reprogramaciones.</w:t>
      </w:r>
    </w:p>
    <w:p>
      <w:pPr>
        <w:spacing w:after="140"/>
      </w:pPr>
      <w:r>
        <w:rPr>
          <w:i/>
          <w:iCs/>
          <w:color w:val="5C5440"/>
          <w:sz w:val="19"/>
          <w:szCs w:val="19"/>
        </w:rPr>
        <w:t xml:space="preserve">Estos supuestos son el input más sensible del plan. Si la capacidad presencial real es mayor (o se puede sumar una segunda línea de instructores en paralelo), el número de cursos cerrables en el período sube proporcionalmente — el cronograma en el Excel está armado para recalcularse ajustando esas dos celdas.</w:t>
      </w:r>
    </w:p>
    <w:p>
      <w:pPr>
        <w:pStyle w:val="Heading1"/>
        <w:spacing w:after="140" w:before="320"/>
      </w:pPr>
      <w:r>
        <w:t xml:space="preserve">5. Cronograma por oleadas — Pista 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1200"/>
        <w:gridCol w:w="1050"/>
      </w:tblGrid>
      <w:tr>
        <w:trPr>
          <w:tblHeader/>
        </w:trPr>
        <w:tc>
          <w:tcPr>
            <w:tcW w:type="dxa" w:w="2200"/>
            <w:shd w:fill="B8420F" w:val="clear"/>
            <w:tcMar>
              <w:top w:type="dxa" w:w="60"/>
              <w:left w:type="dxa" w:w="100"/>
              <w:bottom w:type="dxa" w:w="60"/>
              <w:right w:type="dxa" w:w="100"/>
            </w:tcMar>
          </w:tcPr>
          <w:p>
            <w:pPr>
              <w:jc w:val="left"/>
            </w:pPr>
            <w:r>
              <w:rPr>
                <w:b/>
                <w:bCs/>
                <w:color w:val="FFFFFF"/>
                <w:sz w:val="19"/>
                <w:szCs w:val="19"/>
              </w:rPr>
              <w:t xml:space="preserve">Oleada</w:t>
            </w:r>
          </w:p>
        </w:tc>
        <w:tc>
          <w:tcPr>
            <w:tcW w:type="dxa" w:w="4900"/>
            <w:shd w:fill="B8420F" w:val="clear"/>
            <w:tcMar>
              <w:top w:type="dxa" w:w="60"/>
              <w:left w:type="dxa" w:w="100"/>
              <w:bottom w:type="dxa" w:w="60"/>
              <w:right w:type="dxa" w:w="100"/>
            </w:tcMar>
          </w:tcPr>
          <w:p>
            <w:pPr>
              <w:jc w:val="left"/>
            </w:pPr>
            <w:r>
              <w:rPr>
                <w:b/>
                <w:bCs/>
                <w:color w:val="FFFFFF"/>
                <w:sz w:val="19"/>
                <w:szCs w:val="19"/>
              </w:rPr>
              <w:t xml:space="preserve">Curso</w:t>
            </w:r>
          </w:p>
        </w:tc>
        <w:tc>
          <w:tcPr>
            <w:tcW w:type="dxa" w:w="1200"/>
            <w:shd w:fill="B8420F" w:val="clear"/>
            <w:tcMar>
              <w:top w:type="dxa" w:w="60"/>
              <w:left w:type="dxa" w:w="100"/>
              <w:bottom w:type="dxa" w:w="60"/>
              <w:right w:type="dxa" w:w="100"/>
            </w:tcMar>
          </w:tcPr>
          <w:p>
            <w:pPr>
              <w:jc w:val="left"/>
            </w:pPr>
            <w:r>
              <w:rPr>
                <w:b/>
                <w:bCs/>
                <w:color w:val="FFFFFF"/>
                <w:sz w:val="19"/>
                <w:szCs w:val="19"/>
              </w:rPr>
              <w:t xml:space="preserve">Avance hoy</w:t>
            </w:r>
          </w:p>
        </w:tc>
        <w:tc>
          <w:tcPr>
            <w:tcW w:type="dxa" w:w="1050"/>
            <w:shd w:fill="B8420F" w:val="clear"/>
            <w:tcMar>
              <w:top w:type="dxa" w:w="60"/>
              <w:left w:type="dxa" w:w="100"/>
              <w:bottom w:type="dxa" w:w="60"/>
              <w:right w:type="dxa" w:w="100"/>
            </w:tcMar>
          </w:tcPr>
          <w:p>
            <w:pPr>
              <w:jc w:val="left"/>
            </w:pPr>
            <w:r>
              <w:rPr>
                <w:b/>
                <w:bCs/>
                <w:color w:val="FFFFFF"/>
                <w:sz w:val="19"/>
                <w:szCs w:val="19"/>
              </w:rPr>
              <w:t xml:space="preserve">Meta 31-dic</w:t>
            </w:r>
          </w:p>
        </w:tc>
      </w:tr>
      <w:tr>
        <w:tc>
          <w:tcPr>
            <w:tcW w:type="dxa" w:w="2200"/>
            <w:tcMar>
              <w:top w:type="dxa" w:w="60"/>
              <w:left w:type="dxa" w:w="100"/>
              <w:bottom w:type="dxa" w:w="60"/>
              <w:right w:type="dxa" w:w="100"/>
            </w:tcMar>
          </w:tcPr>
          <w:p>
            <w:pPr>
              <w:jc w:val="left"/>
            </w:pPr>
            <w:r>
              <w:rPr>
                <w:b/>
                <w:bCs/>
                <w:color w:val="211C12"/>
                <w:sz w:val="20"/>
                <w:szCs w:val="20"/>
              </w:rPr>
              <w:t xml:space="preserve">Oleada 1 — Octubre</w:t>
            </w:r>
          </w:p>
        </w:tc>
        <w:tc>
          <w:tcPr>
            <w:tcW w:type="dxa" w:w="4900"/>
            <w:tcMar>
              <w:top w:type="dxa" w:w="60"/>
              <w:left w:type="dxa" w:w="100"/>
              <w:bottom w:type="dxa" w:w="60"/>
              <w:right w:type="dxa" w:w="100"/>
            </w:tcMar>
          </w:tcPr>
          <w:p>
            <w:pPr>
              <w:jc w:val="left"/>
            </w:pPr>
            <w:r>
              <w:rPr>
                <w:b w:val="false"/>
                <w:bCs w:val="false"/>
                <w:color w:val="211C12"/>
                <w:sz w:val="20"/>
                <w:szCs w:val="20"/>
              </w:rPr>
              <w:t xml:space="preserve">RF-13 Caída de Objetos vs01</w:t>
            </w:r>
          </w:p>
        </w:tc>
        <w:tc>
          <w:tcPr>
            <w:tcW w:type="dxa" w:w="1200"/>
            <w:tcMar>
              <w:top w:type="dxa" w:w="60"/>
              <w:left w:type="dxa" w:w="100"/>
              <w:bottom w:type="dxa" w:w="60"/>
              <w:right w:type="dxa" w:w="100"/>
            </w:tcMar>
          </w:tcPr>
          <w:p>
            <w:pPr>
              <w:jc w:val="center"/>
            </w:pPr>
            <w:r>
              <w:rPr>
                <w:b w:val="false"/>
                <w:bCs w:val="false"/>
                <w:color w:val="211C12"/>
                <w:sz w:val="20"/>
                <w:szCs w:val="20"/>
              </w:rPr>
              <w:t xml:space="preserve">39.7%</w:t>
            </w:r>
          </w:p>
        </w:tc>
        <w:tc>
          <w:tcPr>
            <w:tcW w:type="dxa" w:w="1050"/>
            <w:shd w:fill="D9EAD3" w:val="clear"/>
            <w:tcMar>
              <w:top w:type="dxa" w:w="60"/>
              <w:left w:type="dxa" w:w="100"/>
              <w:bottom w:type="dxa" w:w="60"/>
              <w:right w:type="dxa" w:w="100"/>
            </w:tcMar>
          </w:tcPr>
          <w:p>
            <w:pPr>
              <w:jc w:val="center"/>
            </w:pPr>
            <w:r>
              <w:rPr>
                <w:b/>
                <w:bCs/>
                <w:color w:val="211C12"/>
                <w:sz w:val="20"/>
                <w:szCs w:val="20"/>
              </w:rPr>
              <w:t xml:space="preserve">98%</w:t>
            </w:r>
          </w:p>
        </w:tc>
      </w:tr>
      <w:tr>
        <w:tc>
          <w:tcPr>
            <w:tcW w:type="dxa" w:w="2200"/>
            <w:tcMar>
              <w:top w:type="dxa" w:w="60"/>
              <w:left w:type="dxa" w:w="100"/>
              <w:bottom w:type="dxa" w:w="60"/>
              <w:right w:type="dxa" w:w="100"/>
            </w:tcMar>
          </w:tcPr>
          <w:p>
            <w:pPr>
              <w:jc w:val="left"/>
            </w:pPr>
            <w:r>
              <w:rPr>
                <w:b w:val="false"/>
                <w:bCs w:val="false"/>
                <w:color w:val="211C12"/>
                <w:sz w:val="20"/>
                <w:szCs w:val="20"/>
              </w:rPr>
              <w:t xml:space="preserve"/>
            </w:r>
          </w:p>
        </w:tc>
        <w:tc>
          <w:tcPr>
            <w:tcW w:type="dxa" w:w="4900"/>
            <w:tcMar>
              <w:top w:type="dxa" w:w="60"/>
              <w:left w:type="dxa" w:w="100"/>
              <w:bottom w:type="dxa" w:w="60"/>
              <w:right w:type="dxa" w:w="100"/>
            </w:tcMar>
          </w:tcPr>
          <w:p>
            <w:pPr>
              <w:jc w:val="left"/>
            </w:pPr>
            <w:r>
              <w:rPr>
                <w:b w:val="false"/>
                <w:bCs w:val="false"/>
                <w:color w:val="211C12"/>
                <w:sz w:val="20"/>
                <w:szCs w:val="20"/>
              </w:rPr>
              <w:t xml:space="preserve">RF-02 Evaluación RF Trabajo en altura vs 03</w:t>
            </w:r>
          </w:p>
        </w:tc>
        <w:tc>
          <w:tcPr>
            <w:tcW w:type="dxa" w:w="1200"/>
            <w:tcMar>
              <w:top w:type="dxa" w:w="60"/>
              <w:left w:type="dxa" w:w="100"/>
              <w:bottom w:type="dxa" w:w="60"/>
              <w:right w:type="dxa" w:w="100"/>
            </w:tcMar>
          </w:tcPr>
          <w:p>
            <w:pPr>
              <w:jc w:val="center"/>
            </w:pPr>
            <w:r>
              <w:rPr>
                <w:b w:val="false"/>
                <w:bCs w:val="false"/>
                <w:color w:val="211C12"/>
                <w:sz w:val="20"/>
                <w:szCs w:val="20"/>
              </w:rPr>
              <w:t xml:space="preserve">39.5%</w:t>
            </w:r>
          </w:p>
        </w:tc>
        <w:tc>
          <w:tcPr>
            <w:tcW w:type="dxa" w:w="1050"/>
            <w:shd w:fill="D9EAD3" w:val="clear"/>
            <w:tcMar>
              <w:top w:type="dxa" w:w="60"/>
              <w:left w:type="dxa" w:w="100"/>
              <w:bottom w:type="dxa" w:w="60"/>
              <w:right w:type="dxa" w:w="100"/>
            </w:tcMar>
          </w:tcPr>
          <w:p>
            <w:pPr>
              <w:jc w:val="center"/>
            </w:pPr>
            <w:r>
              <w:rPr>
                <w:b/>
                <w:bCs/>
                <w:color w:val="211C12"/>
                <w:sz w:val="20"/>
                <w:szCs w:val="20"/>
              </w:rPr>
              <w:t xml:space="preserve">98%</w:t>
            </w:r>
          </w:p>
        </w:tc>
      </w:tr>
      <w:tr>
        <w:tc>
          <w:tcPr>
            <w:tcW w:type="dxa" w:w="2200"/>
            <w:tcMar>
              <w:top w:type="dxa" w:w="60"/>
              <w:left w:type="dxa" w:w="100"/>
              <w:bottom w:type="dxa" w:w="60"/>
              <w:right w:type="dxa" w:w="100"/>
            </w:tcMar>
          </w:tcPr>
          <w:p>
            <w:pPr>
              <w:jc w:val="left"/>
            </w:pPr>
            <w:r>
              <w:rPr>
                <w:b w:val="false"/>
                <w:bCs w:val="false"/>
                <w:color w:val="211C12"/>
                <w:sz w:val="20"/>
                <w:szCs w:val="20"/>
              </w:rPr>
              <w:t xml:space="preserve"/>
            </w:r>
          </w:p>
        </w:tc>
        <w:tc>
          <w:tcPr>
            <w:tcW w:type="dxa" w:w="4900"/>
            <w:tcMar>
              <w:top w:type="dxa" w:w="60"/>
              <w:left w:type="dxa" w:w="100"/>
              <w:bottom w:type="dxa" w:w="60"/>
              <w:right w:type="dxa" w:w="100"/>
            </w:tcMar>
          </w:tcPr>
          <w:p>
            <w:pPr>
              <w:jc w:val="left"/>
            </w:pPr>
            <w:r>
              <w:rPr>
                <w:b w:val="false"/>
                <w:bCs w:val="false"/>
                <w:color w:val="211C12"/>
                <w:sz w:val="20"/>
                <w:szCs w:val="20"/>
              </w:rPr>
              <w:t xml:space="preserve">RF-04 Evaluación RF Liberación Descontrolada de Energías vs 02</w:t>
            </w:r>
          </w:p>
        </w:tc>
        <w:tc>
          <w:tcPr>
            <w:tcW w:type="dxa" w:w="1200"/>
            <w:tcMar>
              <w:top w:type="dxa" w:w="60"/>
              <w:left w:type="dxa" w:w="100"/>
              <w:bottom w:type="dxa" w:w="60"/>
              <w:right w:type="dxa" w:w="100"/>
            </w:tcMar>
          </w:tcPr>
          <w:p>
            <w:pPr>
              <w:jc w:val="center"/>
            </w:pPr>
            <w:r>
              <w:rPr>
                <w:b w:val="false"/>
                <w:bCs w:val="false"/>
                <w:color w:val="211C12"/>
                <w:sz w:val="20"/>
                <w:szCs w:val="20"/>
              </w:rPr>
              <w:t xml:space="preserve">39.1%</w:t>
            </w:r>
          </w:p>
        </w:tc>
        <w:tc>
          <w:tcPr>
            <w:tcW w:type="dxa" w:w="1050"/>
            <w:shd w:fill="D9EAD3" w:val="clear"/>
            <w:tcMar>
              <w:top w:type="dxa" w:w="60"/>
              <w:left w:type="dxa" w:w="100"/>
              <w:bottom w:type="dxa" w:w="60"/>
              <w:right w:type="dxa" w:w="100"/>
            </w:tcMar>
          </w:tcPr>
          <w:p>
            <w:pPr>
              <w:jc w:val="center"/>
            </w:pPr>
            <w:r>
              <w:rPr>
                <w:b/>
                <w:bCs/>
                <w:color w:val="211C12"/>
                <w:sz w:val="20"/>
                <w:szCs w:val="20"/>
              </w:rPr>
              <w:t xml:space="preserve">98%</w:t>
            </w:r>
          </w:p>
        </w:tc>
      </w:tr>
      <w:tr>
        <w:tc>
          <w:tcPr>
            <w:tcW w:type="dxa" w:w="2200"/>
            <w:tcMar>
              <w:top w:type="dxa" w:w="60"/>
              <w:left w:type="dxa" w:w="100"/>
              <w:bottom w:type="dxa" w:w="60"/>
              <w:right w:type="dxa" w:w="100"/>
            </w:tcMar>
          </w:tcPr>
          <w:p>
            <w:pPr>
              <w:jc w:val="left"/>
            </w:pPr>
            <w:r>
              <w:rPr>
                <w:b/>
                <w:bCs/>
                <w:color w:val="211C12"/>
                <w:sz w:val="20"/>
                <w:szCs w:val="20"/>
              </w:rPr>
              <w:t xml:space="preserve">Oleada 2 — Noviembre</w:t>
            </w:r>
          </w:p>
        </w:tc>
        <w:tc>
          <w:tcPr>
            <w:tcW w:type="dxa" w:w="4900"/>
            <w:tcMar>
              <w:top w:type="dxa" w:w="60"/>
              <w:left w:type="dxa" w:w="100"/>
              <w:bottom w:type="dxa" w:w="60"/>
              <w:right w:type="dxa" w:w="100"/>
            </w:tcMar>
          </w:tcPr>
          <w:p>
            <w:pPr>
              <w:jc w:val="left"/>
            </w:pPr>
            <w:r>
              <w:rPr>
                <w:b w:val="false"/>
                <w:bCs w:val="false"/>
                <w:color w:val="211C12"/>
                <w:sz w:val="20"/>
                <w:szCs w:val="20"/>
              </w:rPr>
              <w:t xml:space="preserve">RF-16 Evaluación RF Vaciados de Chimeneas y Piques vs01</w:t>
            </w:r>
          </w:p>
        </w:tc>
        <w:tc>
          <w:tcPr>
            <w:tcW w:type="dxa" w:w="1200"/>
            <w:tcMar>
              <w:top w:type="dxa" w:w="60"/>
              <w:left w:type="dxa" w:w="100"/>
              <w:bottom w:type="dxa" w:w="60"/>
              <w:right w:type="dxa" w:w="100"/>
            </w:tcMar>
          </w:tcPr>
          <w:p>
            <w:pPr>
              <w:jc w:val="center"/>
            </w:pPr>
            <w:r>
              <w:rPr>
                <w:b w:val="false"/>
                <w:bCs w:val="false"/>
                <w:color w:val="211C12"/>
                <w:sz w:val="20"/>
                <w:szCs w:val="20"/>
              </w:rPr>
              <w:t xml:space="preserve">38.6%</w:t>
            </w:r>
          </w:p>
        </w:tc>
        <w:tc>
          <w:tcPr>
            <w:tcW w:type="dxa" w:w="1050"/>
            <w:shd w:fill="D9EAD3" w:val="clear"/>
            <w:tcMar>
              <w:top w:type="dxa" w:w="60"/>
              <w:left w:type="dxa" w:w="100"/>
              <w:bottom w:type="dxa" w:w="60"/>
              <w:right w:type="dxa" w:w="100"/>
            </w:tcMar>
          </w:tcPr>
          <w:p>
            <w:pPr>
              <w:jc w:val="center"/>
            </w:pPr>
            <w:r>
              <w:rPr>
                <w:b/>
                <w:bCs/>
                <w:color w:val="211C12"/>
                <w:sz w:val="20"/>
                <w:szCs w:val="20"/>
              </w:rPr>
              <w:t xml:space="preserve">98%</w:t>
            </w:r>
          </w:p>
        </w:tc>
      </w:tr>
      <w:tr>
        <w:tc>
          <w:tcPr>
            <w:tcW w:type="dxa" w:w="2200"/>
            <w:tcMar>
              <w:top w:type="dxa" w:w="60"/>
              <w:left w:type="dxa" w:w="100"/>
              <w:bottom w:type="dxa" w:w="60"/>
              <w:right w:type="dxa" w:w="100"/>
            </w:tcMar>
          </w:tcPr>
          <w:p>
            <w:pPr>
              <w:jc w:val="left"/>
            </w:pPr>
            <w:r>
              <w:rPr>
                <w:b w:val="false"/>
                <w:bCs w:val="false"/>
                <w:color w:val="211C12"/>
                <w:sz w:val="20"/>
                <w:szCs w:val="20"/>
              </w:rPr>
              <w:t xml:space="preserve"/>
            </w:r>
          </w:p>
        </w:tc>
        <w:tc>
          <w:tcPr>
            <w:tcW w:type="dxa" w:w="4900"/>
            <w:tcMar>
              <w:top w:type="dxa" w:w="60"/>
              <w:left w:type="dxa" w:w="100"/>
              <w:bottom w:type="dxa" w:w="60"/>
              <w:right w:type="dxa" w:w="100"/>
            </w:tcMar>
          </w:tcPr>
          <w:p>
            <w:pPr>
              <w:jc w:val="left"/>
            </w:pPr>
            <w:r>
              <w:rPr>
                <w:b w:val="false"/>
                <w:bCs w:val="false"/>
                <w:color w:val="211C12"/>
                <w:sz w:val="20"/>
                <w:szCs w:val="20"/>
              </w:rPr>
              <w:t xml:space="preserve">RF-06 Evaluación RF Incendio vs 02</w:t>
            </w:r>
          </w:p>
        </w:tc>
        <w:tc>
          <w:tcPr>
            <w:tcW w:type="dxa" w:w="1200"/>
            <w:tcMar>
              <w:top w:type="dxa" w:w="60"/>
              <w:left w:type="dxa" w:w="100"/>
              <w:bottom w:type="dxa" w:w="60"/>
              <w:right w:type="dxa" w:w="100"/>
            </w:tcMar>
          </w:tcPr>
          <w:p>
            <w:pPr>
              <w:jc w:val="center"/>
            </w:pPr>
            <w:r>
              <w:rPr>
                <w:b w:val="false"/>
                <w:bCs w:val="false"/>
                <w:color w:val="211C12"/>
                <w:sz w:val="20"/>
                <w:szCs w:val="20"/>
              </w:rPr>
              <w:t xml:space="preserve">38.5%</w:t>
            </w:r>
          </w:p>
        </w:tc>
        <w:tc>
          <w:tcPr>
            <w:tcW w:type="dxa" w:w="1050"/>
            <w:shd w:fill="D9EAD3" w:val="clear"/>
            <w:tcMar>
              <w:top w:type="dxa" w:w="60"/>
              <w:left w:type="dxa" w:w="100"/>
              <w:bottom w:type="dxa" w:w="60"/>
              <w:right w:type="dxa" w:w="100"/>
            </w:tcMar>
          </w:tcPr>
          <w:p>
            <w:pPr>
              <w:jc w:val="center"/>
            </w:pPr>
            <w:r>
              <w:rPr>
                <w:b/>
                <w:bCs/>
                <w:color w:val="211C12"/>
                <w:sz w:val="20"/>
                <w:szCs w:val="20"/>
              </w:rPr>
              <w:t xml:space="preserve">98%</w:t>
            </w:r>
          </w:p>
        </w:tc>
      </w:tr>
      <w:tr>
        <w:tc>
          <w:tcPr>
            <w:tcW w:type="dxa" w:w="2200"/>
            <w:tcMar>
              <w:top w:type="dxa" w:w="60"/>
              <w:left w:type="dxa" w:w="100"/>
              <w:bottom w:type="dxa" w:w="60"/>
              <w:right w:type="dxa" w:w="100"/>
            </w:tcMar>
          </w:tcPr>
          <w:p>
            <w:pPr>
              <w:jc w:val="left"/>
            </w:pPr>
            <w:r>
              <w:rPr>
                <w:b w:val="false"/>
                <w:bCs w:val="false"/>
                <w:color w:val="211C12"/>
                <w:sz w:val="20"/>
                <w:szCs w:val="20"/>
              </w:rPr>
              <w:t xml:space="preserve"/>
            </w:r>
          </w:p>
        </w:tc>
        <w:tc>
          <w:tcPr>
            <w:tcW w:type="dxa" w:w="4900"/>
            <w:tcMar>
              <w:top w:type="dxa" w:w="60"/>
              <w:left w:type="dxa" w:w="100"/>
              <w:bottom w:type="dxa" w:w="60"/>
              <w:right w:type="dxa" w:w="100"/>
            </w:tcMar>
          </w:tcPr>
          <w:p>
            <w:pPr>
              <w:jc w:val="left"/>
            </w:pPr>
            <w:r>
              <w:rPr>
                <w:b w:val="false"/>
                <w:bCs w:val="false"/>
                <w:color w:val="211C12"/>
                <w:sz w:val="20"/>
                <w:szCs w:val="20"/>
              </w:rPr>
              <w:t xml:space="preserve">RF-20 Evaluación RF Sílice vs1</w:t>
            </w:r>
          </w:p>
        </w:tc>
        <w:tc>
          <w:tcPr>
            <w:tcW w:type="dxa" w:w="1200"/>
            <w:tcMar>
              <w:top w:type="dxa" w:w="60"/>
              <w:left w:type="dxa" w:w="100"/>
              <w:bottom w:type="dxa" w:w="60"/>
              <w:right w:type="dxa" w:w="100"/>
            </w:tcMar>
          </w:tcPr>
          <w:p>
            <w:pPr>
              <w:jc w:val="center"/>
            </w:pPr>
            <w:r>
              <w:rPr>
                <w:b w:val="false"/>
                <w:bCs w:val="false"/>
                <w:color w:val="211C12"/>
                <w:sz w:val="20"/>
                <w:szCs w:val="20"/>
              </w:rPr>
              <w:t xml:space="preserve">38.5%</w:t>
            </w:r>
          </w:p>
        </w:tc>
        <w:tc>
          <w:tcPr>
            <w:tcW w:type="dxa" w:w="1050"/>
            <w:shd w:fill="D9EAD3" w:val="clear"/>
            <w:tcMar>
              <w:top w:type="dxa" w:w="60"/>
              <w:left w:type="dxa" w:w="100"/>
              <w:bottom w:type="dxa" w:w="60"/>
              <w:right w:type="dxa" w:w="100"/>
            </w:tcMar>
          </w:tcPr>
          <w:p>
            <w:pPr>
              <w:jc w:val="center"/>
            </w:pPr>
            <w:r>
              <w:rPr>
                <w:b/>
                <w:bCs/>
                <w:color w:val="211C12"/>
                <w:sz w:val="20"/>
                <w:szCs w:val="20"/>
              </w:rPr>
              <w:t xml:space="preserve">98%</w:t>
            </w:r>
          </w:p>
        </w:tc>
      </w:tr>
      <w:tr>
        <w:tc>
          <w:tcPr>
            <w:tcW w:type="dxa" w:w="2200"/>
            <w:tcMar>
              <w:top w:type="dxa" w:w="60"/>
              <w:left w:type="dxa" w:w="100"/>
              <w:bottom w:type="dxa" w:w="60"/>
              <w:right w:type="dxa" w:w="100"/>
            </w:tcMar>
          </w:tcPr>
          <w:p>
            <w:pPr>
              <w:jc w:val="left"/>
            </w:pPr>
            <w:r>
              <w:rPr>
                <w:b/>
                <w:bCs/>
                <w:color w:val="211C12"/>
                <w:sz w:val="20"/>
                <w:szCs w:val="20"/>
              </w:rPr>
              <w:t xml:space="preserve">Oleada 3 — Diciembre</w:t>
            </w:r>
          </w:p>
        </w:tc>
        <w:tc>
          <w:tcPr>
            <w:tcW w:type="dxa" w:w="4900"/>
            <w:tcMar>
              <w:top w:type="dxa" w:w="60"/>
              <w:left w:type="dxa" w:w="100"/>
              <w:bottom w:type="dxa" w:w="60"/>
              <w:right w:type="dxa" w:w="100"/>
            </w:tcMar>
          </w:tcPr>
          <w:p>
            <w:pPr>
              <w:jc w:val="left"/>
            </w:pPr>
            <w:r>
              <w:rPr>
                <w:b w:val="false"/>
                <w:bCs w:val="false"/>
                <w:color w:val="211C12"/>
                <w:sz w:val="20"/>
                <w:szCs w:val="20"/>
              </w:rPr>
              <w:t xml:space="preserve">RF-03 Evaluación RF Maniobras de Izajes vs 02</w:t>
            </w:r>
          </w:p>
        </w:tc>
        <w:tc>
          <w:tcPr>
            <w:tcW w:type="dxa" w:w="1200"/>
            <w:tcMar>
              <w:top w:type="dxa" w:w="60"/>
              <w:left w:type="dxa" w:w="100"/>
              <w:bottom w:type="dxa" w:w="60"/>
              <w:right w:type="dxa" w:w="100"/>
            </w:tcMar>
          </w:tcPr>
          <w:p>
            <w:pPr>
              <w:jc w:val="center"/>
            </w:pPr>
            <w:r>
              <w:rPr>
                <w:b w:val="false"/>
                <w:bCs w:val="false"/>
                <w:color w:val="211C12"/>
                <w:sz w:val="20"/>
                <w:szCs w:val="20"/>
              </w:rPr>
              <w:t xml:space="preserve">38.4%</w:t>
            </w:r>
          </w:p>
        </w:tc>
        <w:tc>
          <w:tcPr>
            <w:tcW w:type="dxa" w:w="1050"/>
            <w:shd w:fill="D9EAD3" w:val="clear"/>
            <w:tcMar>
              <w:top w:type="dxa" w:w="60"/>
              <w:left w:type="dxa" w:w="100"/>
              <w:bottom w:type="dxa" w:w="60"/>
              <w:right w:type="dxa" w:w="100"/>
            </w:tcMar>
          </w:tcPr>
          <w:p>
            <w:pPr>
              <w:jc w:val="center"/>
            </w:pPr>
            <w:r>
              <w:rPr>
                <w:b/>
                <w:bCs/>
                <w:color w:val="211C12"/>
                <w:sz w:val="20"/>
                <w:szCs w:val="20"/>
              </w:rPr>
              <w:t xml:space="preserve">98%</w:t>
            </w:r>
          </w:p>
        </w:tc>
      </w:tr>
      <w:tr>
        <w:tc>
          <w:tcPr>
            <w:tcW w:type="dxa" w:w="2200"/>
            <w:tcMar>
              <w:top w:type="dxa" w:w="60"/>
              <w:left w:type="dxa" w:w="100"/>
              <w:bottom w:type="dxa" w:w="60"/>
              <w:right w:type="dxa" w:w="100"/>
            </w:tcMar>
          </w:tcPr>
          <w:p>
            <w:pPr>
              <w:jc w:val="left"/>
            </w:pPr>
            <w:r>
              <w:rPr>
                <w:b w:val="false"/>
                <w:bCs w:val="false"/>
                <w:color w:val="211C12"/>
                <w:sz w:val="20"/>
                <w:szCs w:val="20"/>
              </w:rPr>
              <w:t xml:space="preserve"/>
            </w:r>
          </w:p>
        </w:tc>
        <w:tc>
          <w:tcPr>
            <w:tcW w:type="dxa" w:w="4900"/>
            <w:tcMar>
              <w:top w:type="dxa" w:w="60"/>
              <w:left w:type="dxa" w:w="100"/>
              <w:bottom w:type="dxa" w:w="60"/>
              <w:right w:type="dxa" w:w="100"/>
            </w:tcMar>
          </w:tcPr>
          <w:p>
            <w:pPr>
              <w:jc w:val="left"/>
            </w:pPr>
            <w:r>
              <w:rPr>
                <w:b w:val="false"/>
                <w:bCs w:val="false"/>
                <w:color w:val="211C12"/>
                <w:sz w:val="20"/>
                <w:szCs w:val="20"/>
              </w:rPr>
              <w:t xml:space="preserve">RF-27 Evaluación RF Atropello</w:t>
            </w:r>
          </w:p>
        </w:tc>
        <w:tc>
          <w:tcPr>
            <w:tcW w:type="dxa" w:w="1200"/>
            <w:tcMar>
              <w:top w:type="dxa" w:w="60"/>
              <w:left w:type="dxa" w:w="100"/>
              <w:bottom w:type="dxa" w:w="60"/>
              <w:right w:type="dxa" w:w="100"/>
            </w:tcMar>
          </w:tcPr>
          <w:p>
            <w:pPr>
              <w:jc w:val="center"/>
            </w:pPr>
            <w:r>
              <w:rPr>
                <w:b w:val="false"/>
                <w:bCs w:val="false"/>
                <w:color w:val="211C12"/>
                <w:sz w:val="20"/>
                <w:szCs w:val="20"/>
              </w:rPr>
              <w:t xml:space="preserve">38.4%</w:t>
            </w:r>
          </w:p>
        </w:tc>
        <w:tc>
          <w:tcPr>
            <w:tcW w:type="dxa" w:w="1050"/>
            <w:shd w:fill="D9EAD3" w:val="clear"/>
            <w:tcMar>
              <w:top w:type="dxa" w:w="60"/>
              <w:left w:type="dxa" w:w="100"/>
              <w:bottom w:type="dxa" w:w="60"/>
              <w:right w:type="dxa" w:w="100"/>
            </w:tcMar>
          </w:tcPr>
          <w:p>
            <w:pPr>
              <w:jc w:val="center"/>
            </w:pPr>
            <w:r>
              <w:rPr>
                <w:b/>
                <w:bCs/>
                <w:color w:val="211C12"/>
                <w:sz w:val="20"/>
                <w:szCs w:val="20"/>
              </w:rPr>
              <w:t xml:space="preserve">98%</w:t>
            </w:r>
          </w:p>
        </w:tc>
      </w:tr>
    </w:tbl>
    <w:p>
      <w:pPr>
        <w:spacing w:after="100" w:before="200"/>
      </w:pPr>
    </w:p>
    <w:p>
      <w:pPr>
        <w:spacing w:after="140"/>
      </w:pPr>
      <w:r>
        <w:rPr>
          <w:sz w:val="21"/>
          <w:szCs w:val="21"/>
        </w:rPr>
        <w:t xml:space="preserve">El cronograma semana a semana, con las 24 sesiones específicas (fecha, curso y grupo de turno), está en la hoja "Cronograma de Sesiones" del Excel adjunto — incluye columnas para marcar cada sesión como realizada y registrar asistencia real.</w:t>
      </w:r>
    </w:p>
    <w:p>
      <w:pPr>
        <w:pStyle w:val="Heading1"/>
        <w:spacing w:after="140" w:before="320"/>
      </w:pPr>
      <w:r>
        <w:t xml:space="preserve">6. Proyección de avance mensual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50"/>
      </w:tblGrid>
      <w:tr>
        <w:trPr>
          <w:tblHeader/>
        </w:trPr>
        <w:tc>
          <w:tcPr>
            <w:tcW w:type="dxa" w:w="3600"/>
            <w:shd w:fill="B8420F" w:val="clear"/>
            <w:tcMar>
              <w:top w:type="dxa" w:w="60"/>
              <w:left w:type="dxa" w:w="100"/>
              <w:bottom w:type="dxa" w:w="60"/>
              <w:right w:type="dxa" w:w="100"/>
            </w:tcMar>
          </w:tcPr>
          <w:p>
            <w:pPr>
              <w:jc w:val="left"/>
            </w:pPr>
            <w:r>
              <w:rPr>
                <w:b/>
                <w:bCs/>
                <w:color w:val="FFFFFF"/>
                <w:sz w:val="19"/>
                <w:szCs w:val="19"/>
              </w:rPr>
              <w:t xml:space="preserve">Corte</w:t>
            </w:r>
          </w:p>
        </w:tc>
        <w:tc>
          <w:tcPr>
            <w:tcW w:type="dxa" w:w="1900"/>
            <w:shd w:fill="B8420F" w:val="clear"/>
            <w:tcMar>
              <w:top w:type="dxa" w:w="60"/>
              <w:left w:type="dxa" w:w="100"/>
              <w:bottom w:type="dxa" w:w="60"/>
              <w:right w:type="dxa" w:w="100"/>
            </w:tcMar>
          </w:tcPr>
          <w:p>
            <w:pPr>
              <w:jc w:val="left"/>
            </w:pPr>
            <w:r>
              <w:rPr>
                <w:b/>
                <w:bCs/>
                <w:color w:val="FFFFFF"/>
                <w:sz w:val="19"/>
                <w:szCs w:val="19"/>
              </w:rPr>
              <w:t xml:space="preserve">Pista A (18)</w:t>
            </w:r>
          </w:p>
        </w:tc>
        <w:tc>
          <w:tcPr>
            <w:tcW w:type="dxa" w:w="1900"/>
            <w:shd w:fill="B8420F" w:val="clear"/>
            <w:tcMar>
              <w:top w:type="dxa" w:w="60"/>
              <w:left w:type="dxa" w:w="100"/>
              <w:bottom w:type="dxa" w:w="60"/>
              <w:right w:type="dxa" w:w="100"/>
            </w:tcMar>
          </w:tcPr>
          <w:p>
            <w:pPr>
              <w:jc w:val="left"/>
            </w:pPr>
            <w:r>
              <w:rPr>
                <w:b/>
                <w:bCs/>
                <w:color w:val="FFFFFF"/>
                <w:sz w:val="19"/>
                <w:szCs w:val="19"/>
              </w:rPr>
              <w:t xml:space="preserve">Pista B (50)</w:t>
            </w:r>
          </w:p>
        </w:tc>
        <w:tc>
          <w:tcPr>
            <w:tcW w:type="dxa" w:w="1950"/>
            <w:shd w:fill="B8420F" w:val="clear"/>
            <w:tcMar>
              <w:top w:type="dxa" w:w="60"/>
              <w:left w:type="dxa" w:w="100"/>
              <w:bottom w:type="dxa" w:w="60"/>
              <w:right w:type="dxa" w:w="100"/>
            </w:tcMar>
          </w:tcPr>
          <w:p>
            <w:pPr>
              <w:jc w:val="left"/>
            </w:pPr>
            <w:r>
              <w:rPr>
                <w:b/>
                <w:bCs/>
                <w:color w:val="FFFFFF"/>
                <w:sz w:val="19"/>
                <w:szCs w:val="19"/>
              </w:rPr>
              <w:t xml:space="preserve">Global (68)</w:t>
            </w:r>
          </w:p>
        </w:tc>
      </w:tr>
      <w:tr>
        <w:tc>
          <w:tcPr>
            <w:tcW w:type="dxa" w:w="3600"/>
            <w:tcMar>
              <w:top w:type="dxa" w:w="60"/>
              <w:left w:type="dxa" w:w="100"/>
              <w:bottom w:type="dxa" w:w="60"/>
              <w:right w:type="dxa" w:w="100"/>
            </w:tcMar>
          </w:tcPr>
          <w:p>
            <w:pPr>
              <w:jc w:val="left"/>
            </w:pPr>
            <w:r>
              <w:rPr>
                <w:b w:val="false"/>
                <w:bCs w:val="false"/>
                <w:color w:val="211C12"/>
                <w:sz w:val="20"/>
                <w:szCs w:val="20"/>
              </w:rPr>
              <w:t xml:space="preserve">Hoy (15-sep-2026)</w:t>
            </w:r>
          </w:p>
        </w:tc>
        <w:tc>
          <w:tcPr>
            <w:tcW w:type="dxa" w:w="1900"/>
            <w:tcMar>
              <w:top w:type="dxa" w:w="60"/>
              <w:left w:type="dxa" w:w="100"/>
              <w:bottom w:type="dxa" w:w="60"/>
              <w:right w:type="dxa" w:w="100"/>
            </w:tcMar>
          </w:tcPr>
          <w:p>
            <w:pPr>
              <w:jc w:val="center"/>
            </w:pPr>
            <w:r>
              <w:rPr>
                <w:b w:val="false"/>
                <w:bCs w:val="false"/>
                <w:color w:val="211C12"/>
                <w:sz w:val="20"/>
                <w:szCs w:val="20"/>
              </w:rPr>
              <w:t xml:space="preserve">31.6%</w:t>
            </w:r>
          </w:p>
        </w:tc>
        <w:tc>
          <w:tcPr>
            <w:tcW w:type="dxa" w:w="1900"/>
            <w:tcMar>
              <w:top w:type="dxa" w:w="60"/>
              <w:left w:type="dxa" w:w="100"/>
              <w:bottom w:type="dxa" w:w="60"/>
              <w:right w:type="dxa" w:w="100"/>
            </w:tcMar>
          </w:tcPr>
          <w:p>
            <w:pPr>
              <w:jc w:val="center"/>
            </w:pPr>
            <w:r>
              <w:rPr>
                <w:b w:val="false"/>
                <w:bCs w:val="false"/>
                <w:color w:val="211C12"/>
                <w:sz w:val="20"/>
                <w:szCs w:val="20"/>
              </w:rPr>
              <w:t xml:space="preserve">64.1%</w:t>
            </w:r>
          </w:p>
        </w:tc>
        <w:tc>
          <w:tcPr>
            <w:tcW w:type="dxa" w:w="1950"/>
            <w:shd w:fill="F4DCCB" w:val="clear"/>
            <w:tcMar>
              <w:top w:type="dxa" w:w="60"/>
              <w:left w:type="dxa" w:w="100"/>
              <w:bottom w:type="dxa" w:w="60"/>
              <w:right w:type="dxa" w:w="100"/>
            </w:tcMar>
          </w:tcPr>
          <w:p>
            <w:pPr>
              <w:jc w:val="center"/>
            </w:pPr>
            <w:r>
              <w:rPr>
                <w:b/>
                <w:bCs/>
                <w:color w:val="211C12"/>
                <w:sz w:val="20"/>
                <w:szCs w:val="20"/>
              </w:rPr>
              <w:t xml:space="preserve">55.5%</w:t>
            </w:r>
          </w:p>
        </w:tc>
      </w:tr>
      <w:tr>
        <w:tc>
          <w:tcPr>
            <w:tcW w:type="dxa" w:w="3600"/>
            <w:tcMar>
              <w:top w:type="dxa" w:w="60"/>
              <w:left w:type="dxa" w:w="100"/>
              <w:bottom w:type="dxa" w:w="60"/>
              <w:right w:type="dxa" w:w="100"/>
            </w:tcMar>
          </w:tcPr>
          <w:p>
            <w:pPr>
              <w:jc w:val="left"/>
            </w:pPr>
            <w:r>
              <w:rPr>
                <w:b w:val="false"/>
                <w:bCs w:val="false"/>
                <w:color w:val="211C12"/>
                <w:sz w:val="20"/>
                <w:szCs w:val="20"/>
              </w:rPr>
              <w:t xml:space="preserve">Fin de septiembre</w:t>
            </w:r>
          </w:p>
        </w:tc>
        <w:tc>
          <w:tcPr>
            <w:tcW w:type="dxa" w:w="1900"/>
            <w:tcMar>
              <w:top w:type="dxa" w:w="60"/>
              <w:left w:type="dxa" w:w="100"/>
              <w:bottom w:type="dxa" w:w="60"/>
              <w:right w:type="dxa" w:w="100"/>
            </w:tcMar>
          </w:tcPr>
          <w:p>
            <w:pPr>
              <w:jc w:val="center"/>
            </w:pPr>
            <w:r>
              <w:rPr>
                <w:b w:val="false"/>
                <w:bCs w:val="false"/>
                <w:color w:val="211C12"/>
                <w:sz w:val="20"/>
                <w:szCs w:val="20"/>
              </w:rPr>
              <w:t xml:space="preserve">38.2%</w:t>
            </w:r>
          </w:p>
        </w:tc>
        <w:tc>
          <w:tcPr>
            <w:tcW w:type="dxa" w:w="1900"/>
            <w:tcMar>
              <w:top w:type="dxa" w:w="60"/>
              <w:left w:type="dxa" w:w="100"/>
              <w:bottom w:type="dxa" w:w="60"/>
              <w:right w:type="dxa" w:w="100"/>
            </w:tcMar>
          </w:tcPr>
          <w:p>
            <w:pPr>
              <w:jc w:val="center"/>
            </w:pPr>
            <w:r>
              <w:rPr>
                <w:b w:val="false"/>
                <w:bCs w:val="false"/>
                <w:color w:val="211C12"/>
                <w:sz w:val="20"/>
                <w:szCs w:val="20"/>
              </w:rPr>
              <w:t xml:space="preserve">70.6%</w:t>
            </w:r>
          </w:p>
        </w:tc>
        <w:tc>
          <w:tcPr>
            <w:tcW w:type="dxa" w:w="1950"/>
            <w:shd w:fill="F4DCCB" w:val="clear"/>
            <w:tcMar>
              <w:top w:type="dxa" w:w="60"/>
              <w:left w:type="dxa" w:w="100"/>
              <w:bottom w:type="dxa" w:w="60"/>
              <w:right w:type="dxa" w:w="100"/>
            </w:tcMar>
          </w:tcPr>
          <w:p>
            <w:pPr>
              <w:jc w:val="center"/>
            </w:pPr>
            <w:r>
              <w:rPr>
                <w:b/>
                <w:bCs/>
                <w:color w:val="211C12"/>
                <w:sz w:val="20"/>
                <w:szCs w:val="20"/>
              </w:rPr>
              <w:t xml:space="preserve">62.0%</w:t>
            </w:r>
          </w:p>
        </w:tc>
      </w:tr>
      <w:tr>
        <w:tc>
          <w:tcPr>
            <w:tcW w:type="dxa" w:w="3600"/>
            <w:tcMar>
              <w:top w:type="dxa" w:w="60"/>
              <w:left w:type="dxa" w:w="100"/>
              <w:bottom w:type="dxa" w:w="60"/>
              <w:right w:type="dxa" w:w="100"/>
            </w:tcMar>
          </w:tcPr>
          <w:p>
            <w:pPr>
              <w:jc w:val="left"/>
            </w:pPr>
            <w:r>
              <w:rPr>
                <w:b w:val="false"/>
                <w:bCs w:val="false"/>
                <w:color w:val="211C12"/>
                <w:sz w:val="20"/>
                <w:szCs w:val="20"/>
              </w:rPr>
              <w:t xml:space="preserve">Fin de octubre — cierre oleada 1</w:t>
            </w:r>
          </w:p>
        </w:tc>
        <w:tc>
          <w:tcPr>
            <w:tcW w:type="dxa" w:w="1900"/>
            <w:tcMar>
              <w:top w:type="dxa" w:w="60"/>
              <w:left w:type="dxa" w:w="100"/>
              <w:bottom w:type="dxa" w:w="60"/>
              <w:right w:type="dxa" w:w="100"/>
            </w:tcMar>
          </w:tcPr>
          <w:p>
            <w:pPr>
              <w:jc w:val="center"/>
            </w:pPr>
            <w:r>
              <w:rPr>
                <w:b w:val="false"/>
                <w:bCs w:val="false"/>
                <w:color w:val="211C12"/>
                <w:sz w:val="20"/>
                <w:szCs w:val="20"/>
              </w:rPr>
              <w:t xml:space="preserve">44.8%</w:t>
            </w:r>
          </w:p>
        </w:tc>
        <w:tc>
          <w:tcPr>
            <w:tcW w:type="dxa" w:w="1900"/>
            <w:tcMar>
              <w:top w:type="dxa" w:w="60"/>
              <w:left w:type="dxa" w:w="100"/>
              <w:bottom w:type="dxa" w:w="60"/>
              <w:right w:type="dxa" w:w="100"/>
            </w:tcMar>
          </w:tcPr>
          <w:p>
            <w:pPr>
              <w:jc w:val="center"/>
            </w:pPr>
            <w:r>
              <w:rPr>
                <w:b w:val="false"/>
                <w:bCs w:val="false"/>
                <w:color w:val="211C12"/>
                <w:sz w:val="20"/>
                <w:szCs w:val="20"/>
              </w:rPr>
              <w:t xml:space="preserve">77.1%</w:t>
            </w:r>
          </w:p>
        </w:tc>
        <w:tc>
          <w:tcPr>
            <w:tcW w:type="dxa" w:w="1950"/>
            <w:shd w:fill="F4DCCB" w:val="clear"/>
            <w:tcMar>
              <w:top w:type="dxa" w:w="60"/>
              <w:left w:type="dxa" w:w="100"/>
              <w:bottom w:type="dxa" w:w="60"/>
              <w:right w:type="dxa" w:w="100"/>
            </w:tcMar>
          </w:tcPr>
          <w:p>
            <w:pPr>
              <w:jc w:val="center"/>
            </w:pPr>
            <w:r>
              <w:rPr>
                <w:b/>
                <w:bCs/>
                <w:color w:val="211C12"/>
                <w:sz w:val="20"/>
                <w:szCs w:val="20"/>
              </w:rPr>
              <w:t xml:space="preserve">68.5%</w:t>
            </w:r>
          </w:p>
        </w:tc>
      </w:tr>
      <w:tr>
        <w:tc>
          <w:tcPr>
            <w:tcW w:type="dxa" w:w="3600"/>
            <w:tcMar>
              <w:top w:type="dxa" w:w="60"/>
              <w:left w:type="dxa" w:w="100"/>
              <w:bottom w:type="dxa" w:w="60"/>
              <w:right w:type="dxa" w:w="100"/>
            </w:tcMar>
          </w:tcPr>
          <w:p>
            <w:pPr>
              <w:jc w:val="left"/>
            </w:pPr>
            <w:r>
              <w:rPr>
                <w:b w:val="false"/>
                <w:bCs w:val="false"/>
                <w:color w:val="211C12"/>
                <w:sz w:val="20"/>
                <w:szCs w:val="20"/>
              </w:rPr>
              <w:t xml:space="preserve">Fin de noviembre — cierre oleada 2</w:t>
            </w:r>
          </w:p>
        </w:tc>
        <w:tc>
          <w:tcPr>
            <w:tcW w:type="dxa" w:w="1900"/>
            <w:tcMar>
              <w:top w:type="dxa" w:w="60"/>
              <w:left w:type="dxa" w:w="100"/>
              <w:bottom w:type="dxa" w:w="60"/>
              <w:right w:type="dxa" w:w="100"/>
            </w:tcMar>
          </w:tcPr>
          <w:p>
            <w:pPr>
              <w:jc w:val="center"/>
            </w:pPr>
            <w:r>
              <w:rPr>
                <w:b w:val="false"/>
                <w:bCs w:val="false"/>
                <w:color w:val="211C12"/>
                <w:sz w:val="20"/>
                <w:szCs w:val="20"/>
              </w:rPr>
              <w:t xml:space="preserve">51.3%</w:t>
            </w:r>
          </w:p>
        </w:tc>
        <w:tc>
          <w:tcPr>
            <w:tcW w:type="dxa" w:w="1900"/>
            <w:tcMar>
              <w:top w:type="dxa" w:w="60"/>
              <w:left w:type="dxa" w:w="100"/>
              <w:bottom w:type="dxa" w:w="60"/>
              <w:right w:type="dxa" w:w="100"/>
            </w:tcMar>
          </w:tcPr>
          <w:p>
            <w:pPr>
              <w:jc w:val="center"/>
            </w:pPr>
            <w:r>
              <w:rPr>
                <w:b w:val="false"/>
                <w:bCs w:val="false"/>
                <w:color w:val="211C12"/>
                <w:sz w:val="20"/>
                <w:szCs w:val="20"/>
              </w:rPr>
              <w:t xml:space="preserve">83.5%</w:t>
            </w:r>
          </w:p>
        </w:tc>
        <w:tc>
          <w:tcPr>
            <w:tcW w:type="dxa" w:w="1950"/>
            <w:shd w:fill="F4DCCB" w:val="clear"/>
            <w:tcMar>
              <w:top w:type="dxa" w:w="60"/>
              <w:left w:type="dxa" w:w="100"/>
              <w:bottom w:type="dxa" w:w="60"/>
              <w:right w:type="dxa" w:w="100"/>
            </w:tcMar>
          </w:tcPr>
          <w:p>
            <w:pPr>
              <w:jc w:val="center"/>
            </w:pPr>
            <w:r>
              <w:rPr>
                <w:b/>
                <w:bCs/>
                <w:color w:val="211C12"/>
                <w:sz w:val="20"/>
                <w:szCs w:val="20"/>
              </w:rPr>
              <w:t xml:space="preserve">75.0%</w:t>
            </w:r>
          </w:p>
        </w:tc>
      </w:tr>
      <w:tr>
        <w:tc>
          <w:tcPr>
            <w:tcW w:type="dxa" w:w="3600"/>
            <w:tcMar>
              <w:top w:type="dxa" w:w="60"/>
              <w:left w:type="dxa" w:w="100"/>
              <w:bottom w:type="dxa" w:w="60"/>
              <w:right w:type="dxa" w:w="100"/>
            </w:tcMar>
          </w:tcPr>
          <w:p>
            <w:pPr>
              <w:jc w:val="left"/>
            </w:pPr>
            <w:r>
              <w:rPr>
                <w:b w:val="false"/>
                <w:bCs w:val="false"/>
                <w:color w:val="211C12"/>
                <w:sz w:val="20"/>
                <w:szCs w:val="20"/>
              </w:rPr>
              <w:t xml:space="preserve">Fin de diciembre — cierre oleada 3 (meta del plan)</w:t>
            </w:r>
          </w:p>
        </w:tc>
        <w:tc>
          <w:tcPr>
            <w:tcW w:type="dxa" w:w="1900"/>
            <w:tcMar>
              <w:top w:type="dxa" w:w="60"/>
              <w:left w:type="dxa" w:w="100"/>
              <w:bottom w:type="dxa" w:w="60"/>
              <w:right w:type="dxa" w:w="100"/>
            </w:tcMar>
          </w:tcPr>
          <w:p>
            <w:pPr>
              <w:jc w:val="center"/>
            </w:pPr>
            <w:r>
              <w:rPr>
                <w:b w:val="false"/>
                <w:bCs w:val="false"/>
                <w:color w:val="211C12"/>
                <w:sz w:val="20"/>
                <w:szCs w:val="20"/>
              </w:rPr>
              <w:t xml:space="preserve">57.9%</w:t>
            </w:r>
          </w:p>
        </w:tc>
        <w:tc>
          <w:tcPr>
            <w:tcW w:type="dxa" w:w="1900"/>
            <w:tcMar>
              <w:top w:type="dxa" w:w="60"/>
              <w:left w:type="dxa" w:w="100"/>
              <w:bottom w:type="dxa" w:w="60"/>
              <w:right w:type="dxa" w:w="100"/>
            </w:tcMar>
          </w:tcPr>
          <w:p>
            <w:pPr>
              <w:jc w:val="center"/>
            </w:pPr>
            <w:r>
              <w:rPr>
                <w:b w:val="false"/>
                <w:bCs w:val="false"/>
                <w:color w:val="211C12"/>
                <w:sz w:val="20"/>
                <w:szCs w:val="20"/>
              </w:rPr>
              <w:t xml:space="preserve">90.0%</w:t>
            </w:r>
          </w:p>
        </w:tc>
        <w:tc>
          <w:tcPr>
            <w:tcW w:type="dxa" w:w="1950"/>
            <w:shd w:fill="F4DCCB" w:val="clear"/>
            <w:tcMar>
              <w:top w:type="dxa" w:w="60"/>
              <w:left w:type="dxa" w:w="100"/>
              <w:bottom w:type="dxa" w:w="60"/>
              <w:right w:type="dxa" w:w="100"/>
            </w:tcMar>
          </w:tcPr>
          <w:p>
            <w:pPr>
              <w:jc w:val="center"/>
            </w:pPr>
            <w:r>
              <w:rPr>
                <w:b/>
                <w:bCs/>
                <w:color w:val="211C12"/>
                <w:sz w:val="20"/>
                <w:szCs w:val="20"/>
              </w:rPr>
              <w:t xml:space="preserve">81.5%</w:t>
            </w:r>
          </w:p>
        </w:tc>
      </w:tr>
    </w:tbl>
    <w:p>
      <w:pPr>
        <w:pStyle w:val="Heading1"/>
        <w:spacing w:after="140" w:before="320"/>
      </w:pPr>
      <w:r>
        <w:t xml:space="preserve">7. Lo que queda para el primer trimestre de 2027</w:t>
      </w:r>
    </w:p>
    <w:p>
      <w:pPr>
        <w:spacing w:after="140"/>
      </w:pPr>
      <w:r>
        <w:rPr>
          <w:sz w:val="21"/>
          <w:szCs w:val="21"/>
        </w:rPr>
        <w:t xml:space="preserve">10 de los 18 cursos críticos de la Pista A no alcanzan a cerrarse en esta ventana con la capacidad disponible. Quedan documentados aquí para dar continuidad explícita, no para perderlos de vista: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100"/>
        <w:gridCol w:w="1200"/>
        <w:gridCol w:w="1000"/>
        <w:gridCol w:w="1050"/>
      </w:tblGrid>
      <w:tr>
        <w:trPr>
          <w:tblHeader/>
        </w:trPr>
        <w:tc>
          <w:tcPr>
            <w:tcW w:type="dxa" w:w="6100"/>
            <w:shd w:fill="B8420F" w:val="clear"/>
            <w:tcMar>
              <w:top w:type="dxa" w:w="60"/>
              <w:left w:type="dxa" w:w="100"/>
              <w:bottom w:type="dxa" w:w="60"/>
              <w:right w:type="dxa" w:w="100"/>
            </w:tcMar>
          </w:tcPr>
          <w:p>
            <w:pPr>
              <w:jc w:val="left"/>
            </w:pPr>
            <w:r>
              <w:rPr>
                <w:b/>
                <w:bCs/>
                <w:color w:val="FFFFFF"/>
                <w:sz w:val="19"/>
                <w:szCs w:val="19"/>
              </w:rPr>
              <w:t xml:space="preserve">Curso</w:t>
            </w:r>
          </w:p>
        </w:tc>
        <w:tc>
          <w:tcPr>
            <w:tcW w:type="dxa" w:w="1200"/>
            <w:shd w:fill="B8420F" w:val="clear"/>
            <w:tcMar>
              <w:top w:type="dxa" w:w="60"/>
              <w:left w:type="dxa" w:w="100"/>
              <w:bottom w:type="dxa" w:w="60"/>
              <w:right w:type="dxa" w:w="100"/>
            </w:tcMar>
          </w:tcPr>
          <w:p>
            <w:pPr>
              <w:jc w:val="left"/>
            </w:pPr>
            <w:r>
              <w:rPr>
                <w:b/>
                <w:bCs/>
                <w:color w:val="FFFFFF"/>
                <w:sz w:val="19"/>
                <w:szCs w:val="19"/>
              </w:rPr>
              <w:t xml:space="preserve">Familia</w:t>
            </w:r>
          </w:p>
        </w:tc>
        <w:tc>
          <w:tcPr>
            <w:tcW w:type="dxa" w:w="1000"/>
            <w:shd w:fill="B8420F" w:val="clear"/>
            <w:tcMar>
              <w:top w:type="dxa" w:w="60"/>
              <w:left w:type="dxa" w:w="100"/>
              <w:bottom w:type="dxa" w:w="60"/>
              <w:right w:type="dxa" w:w="100"/>
            </w:tcMar>
          </w:tcPr>
          <w:p>
            <w:pPr>
              <w:jc w:val="left"/>
            </w:pPr>
            <w:r>
              <w:rPr>
                <w:b/>
                <w:bCs/>
                <w:color w:val="FFFFFF"/>
                <w:sz w:val="19"/>
                <w:szCs w:val="19"/>
              </w:rPr>
              <w:t xml:space="preserve">Avance hoy</w:t>
            </w:r>
          </w:p>
        </w:tc>
        <w:tc>
          <w:tcPr>
            <w:tcW w:type="dxa" w:w="1050"/>
            <w:shd w:fill="B8420F" w:val="clear"/>
            <w:tcMar>
              <w:top w:type="dxa" w:w="60"/>
              <w:left w:type="dxa" w:w="100"/>
              <w:bottom w:type="dxa" w:w="60"/>
              <w:right w:type="dxa" w:w="100"/>
            </w:tcMar>
          </w:tcPr>
          <w:p>
            <w:pPr>
              <w:jc w:val="left"/>
            </w:pPr>
            <w:r>
              <w:rPr>
                <w:b/>
                <w:bCs/>
                <w:color w:val="FFFFFF"/>
                <w:sz w:val="19"/>
                <w:szCs w:val="19"/>
              </w:rPr>
              <w:t xml:space="preserve">Pendientes</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RF-01 Evaluación RF Energía Eléctrica vs 03</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38.4%</w:t>
            </w:r>
          </w:p>
        </w:tc>
        <w:tc>
          <w:tcPr>
            <w:tcW w:type="dxa" w:w="1050"/>
            <w:tcMar>
              <w:top w:type="dxa" w:w="60"/>
              <w:left w:type="dxa" w:w="100"/>
              <w:bottom w:type="dxa" w:w="60"/>
              <w:right w:type="dxa" w:w="100"/>
            </w:tcMar>
          </w:tcPr>
          <w:p>
            <w:pPr>
              <w:jc w:val="center"/>
            </w:pPr>
            <w:r>
              <w:rPr>
                <w:b w:val="false"/>
                <w:bCs w:val="false"/>
                <w:color w:val="211C12"/>
                <w:sz w:val="20"/>
                <w:szCs w:val="20"/>
              </w:rPr>
              <w:t xml:space="preserve">610</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RF-10 Evaluación RF Vehículos vs 01</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38.4%</w:t>
            </w:r>
          </w:p>
        </w:tc>
        <w:tc>
          <w:tcPr>
            <w:tcW w:type="dxa" w:w="1050"/>
            <w:tcMar>
              <w:top w:type="dxa" w:w="60"/>
              <w:left w:type="dxa" w:w="100"/>
              <w:bottom w:type="dxa" w:w="60"/>
              <w:right w:type="dxa" w:w="100"/>
            </w:tcMar>
          </w:tcPr>
          <w:p>
            <w:pPr>
              <w:jc w:val="center"/>
            </w:pPr>
            <w:r>
              <w:rPr>
                <w:b w:val="false"/>
                <w:bCs w:val="false"/>
                <w:color w:val="211C12"/>
                <w:sz w:val="20"/>
                <w:szCs w:val="20"/>
              </w:rPr>
              <w:t xml:space="preserve">610</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RF-07 Evaluación RF Sustancias Peligrosas vs 03</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38.3%</w:t>
            </w:r>
          </w:p>
        </w:tc>
        <w:tc>
          <w:tcPr>
            <w:tcW w:type="dxa" w:w="1050"/>
            <w:tcMar>
              <w:top w:type="dxa" w:w="60"/>
              <w:left w:type="dxa" w:w="100"/>
              <w:bottom w:type="dxa" w:w="60"/>
              <w:right w:type="dxa" w:w="100"/>
            </w:tcMar>
          </w:tcPr>
          <w:p>
            <w:pPr>
              <w:jc w:val="center"/>
            </w:pPr>
            <w:r>
              <w:rPr>
                <w:b w:val="false"/>
                <w:bCs w:val="false"/>
                <w:color w:val="211C12"/>
                <w:sz w:val="20"/>
                <w:szCs w:val="20"/>
              </w:rPr>
              <w:t xml:space="preserve">611</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RF-30 Evaluación RF Tiro y arrastre vs 0</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37.8%</w:t>
            </w:r>
          </w:p>
        </w:tc>
        <w:tc>
          <w:tcPr>
            <w:tcW w:type="dxa" w:w="1050"/>
            <w:tcMar>
              <w:top w:type="dxa" w:w="60"/>
              <w:left w:type="dxa" w:w="100"/>
              <w:bottom w:type="dxa" w:w="60"/>
              <w:right w:type="dxa" w:w="100"/>
            </w:tcMar>
          </w:tcPr>
          <w:p>
            <w:pPr>
              <w:jc w:val="center"/>
            </w:pPr>
            <w:r>
              <w:rPr>
                <w:b w:val="false"/>
                <w:bCs w:val="false"/>
                <w:color w:val="211C12"/>
                <w:sz w:val="20"/>
                <w:szCs w:val="20"/>
              </w:rPr>
              <w:t xml:space="preserve">616</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RF-22 Evaluación RF Falla de estructuras para tránsito y uso de personas vs1</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19.2%</w:t>
            </w:r>
          </w:p>
        </w:tc>
        <w:tc>
          <w:tcPr>
            <w:tcW w:type="dxa" w:w="1050"/>
            <w:tcMar>
              <w:top w:type="dxa" w:w="60"/>
              <w:left w:type="dxa" w:w="100"/>
              <w:bottom w:type="dxa" w:w="60"/>
              <w:right w:type="dxa" w:w="100"/>
            </w:tcMar>
          </w:tcPr>
          <w:p>
            <w:pPr>
              <w:jc w:val="center"/>
            </w:pPr>
            <w:r>
              <w:rPr>
                <w:b w:val="false"/>
                <w:bCs w:val="false"/>
                <w:color w:val="211C12"/>
                <w:sz w:val="20"/>
                <w:szCs w:val="20"/>
              </w:rPr>
              <w:t xml:space="preserve">801</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RF-25 Evaluación RF Equipos Mineros e Industriales vs1</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19.1%</w:t>
            </w:r>
          </w:p>
        </w:tc>
        <w:tc>
          <w:tcPr>
            <w:tcW w:type="dxa" w:w="1050"/>
            <w:tcMar>
              <w:top w:type="dxa" w:w="60"/>
              <w:left w:type="dxa" w:w="100"/>
              <w:bottom w:type="dxa" w:w="60"/>
              <w:right w:type="dxa" w:w="100"/>
            </w:tcMar>
          </w:tcPr>
          <w:p>
            <w:pPr>
              <w:jc w:val="center"/>
            </w:pPr>
            <w:r>
              <w:rPr>
                <w:b w:val="false"/>
                <w:bCs w:val="false"/>
                <w:color w:val="211C12"/>
                <w:sz w:val="20"/>
                <w:szCs w:val="20"/>
              </w:rPr>
              <w:t xml:space="preserve">802</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RF-31 Evaluación RF Incendio de equipos mineros e industriales</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19.0%</w:t>
            </w:r>
          </w:p>
        </w:tc>
        <w:tc>
          <w:tcPr>
            <w:tcW w:type="dxa" w:w="1050"/>
            <w:tcMar>
              <w:top w:type="dxa" w:w="60"/>
              <w:left w:type="dxa" w:w="100"/>
              <w:bottom w:type="dxa" w:w="60"/>
              <w:right w:type="dxa" w:w="100"/>
            </w:tcMar>
          </w:tcPr>
          <w:p>
            <w:pPr>
              <w:jc w:val="center"/>
            </w:pPr>
            <w:r>
              <w:rPr>
                <w:b w:val="false"/>
                <w:bCs w:val="false"/>
                <w:color w:val="211C12"/>
                <w:sz w:val="20"/>
                <w:szCs w:val="20"/>
              </w:rPr>
              <w:t xml:space="preserve">803</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RF-23 Evaluación RF Colapso Estructural del Macizo Rocoso vs1</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19.0%</w:t>
            </w:r>
          </w:p>
        </w:tc>
        <w:tc>
          <w:tcPr>
            <w:tcW w:type="dxa" w:w="1050"/>
            <w:tcMar>
              <w:top w:type="dxa" w:w="60"/>
              <w:left w:type="dxa" w:w="100"/>
              <w:bottom w:type="dxa" w:w="60"/>
              <w:right w:type="dxa" w:w="100"/>
            </w:tcMar>
          </w:tcPr>
          <w:p>
            <w:pPr>
              <w:jc w:val="center"/>
            </w:pPr>
            <w:r>
              <w:rPr>
                <w:b w:val="false"/>
                <w:bCs w:val="false"/>
                <w:color w:val="211C12"/>
                <w:sz w:val="20"/>
                <w:szCs w:val="20"/>
              </w:rPr>
              <w:t xml:space="preserve">803</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RF-18 Evaluación RF Planchoneo vs01</w:t>
            </w:r>
          </w:p>
        </w:tc>
        <w:tc>
          <w:tcPr>
            <w:tcW w:type="dxa" w:w="1200"/>
            <w:tcMar>
              <w:top w:type="dxa" w:w="60"/>
              <w:left w:type="dxa" w:w="100"/>
              <w:bottom w:type="dxa" w:w="60"/>
              <w:right w:type="dxa" w:w="100"/>
            </w:tcMar>
          </w:tcPr>
          <w:p>
            <w:pPr>
              <w:jc w:val="center"/>
            </w:pPr>
            <w:r>
              <w:rPr>
                <w:b w:val="false"/>
                <w:bCs w:val="false"/>
                <w:color w:val="211C12"/>
                <w:sz w:val="20"/>
                <w:szCs w:val="20"/>
              </w:rPr>
              <w:t xml:space="preserve">RF</w:t>
            </w:r>
          </w:p>
        </w:tc>
        <w:tc>
          <w:tcPr>
            <w:tcW w:type="dxa" w:w="1000"/>
            <w:tcMar>
              <w:top w:type="dxa" w:w="60"/>
              <w:left w:type="dxa" w:w="100"/>
              <w:bottom w:type="dxa" w:w="60"/>
              <w:right w:type="dxa" w:w="100"/>
            </w:tcMar>
          </w:tcPr>
          <w:p>
            <w:pPr>
              <w:jc w:val="center"/>
            </w:pPr>
            <w:r>
              <w:rPr>
                <w:b w:val="false"/>
                <w:bCs w:val="false"/>
                <w:color w:val="211C12"/>
                <w:sz w:val="20"/>
                <w:szCs w:val="20"/>
              </w:rPr>
              <w:t xml:space="preserve">18.8%</w:t>
            </w:r>
          </w:p>
        </w:tc>
        <w:tc>
          <w:tcPr>
            <w:tcW w:type="dxa" w:w="1050"/>
            <w:tcMar>
              <w:top w:type="dxa" w:w="60"/>
              <w:left w:type="dxa" w:w="100"/>
              <w:bottom w:type="dxa" w:w="60"/>
              <w:right w:type="dxa" w:w="100"/>
            </w:tcMar>
          </w:tcPr>
          <w:p>
            <w:pPr>
              <w:jc w:val="center"/>
            </w:pPr>
            <w:r>
              <w:rPr>
                <w:b w:val="false"/>
                <w:bCs w:val="false"/>
                <w:color w:val="211C12"/>
                <w:sz w:val="20"/>
                <w:szCs w:val="20"/>
              </w:rPr>
              <w:t xml:space="preserve">805</w:t>
            </w:r>
          </w:p>
        </w:tc>
      </w:tr>
      <w:tr>
        <w:tc>
          <w:tcPr>
            <w:tcW w:type="dxa" w:w="6100"/>
            <w:tcMar>
              <w:top w:type="dxa" w:w="60"/>
              <w:left w:type="dxa" w:w="100"/>
              <w:bottom w:type="dxa" w:w="60"/>
              <w:right w:type="dxa" w:w="100"/>
            </w:tcMar>
          </w:tcPr>
          <w:p>
            <w:pPr>
              <w:jc w:val="left"/>
            </w:pPr>
            <w:r>
              <w:rPr>
                <w:b w:val="false"/>
                <w:bCs w:val="false"/>
                <w:color w:val="211C12"/>
                <w:sz w:val="20"/>
                <w:szCs w:val="20"/>
              </w:rPr>
              <w:t xml:space="preserve">R-035 Reglamento de Emergencia Mina Chuquicamata</w:t>
            </w:r>
          </w:p>
        </w:tc>
        <w:tc>
          <w:tcPr>
            <w:tcW w:type="dxa" w:w="1200"/>
            <w:tcMar>
              <w:top w:type="dxa" w:w="60"/>
              <w:left w:type="dxa" w:w="100"/>
              <w:bottom w:type="dxa" w:w="60"/>
              <w:right w:type="dxa" w:w="100"/>
            </w:tcMar>
          </w:tcPr>
          <w:p>
            <w:pPr>
              <w:jc w:val="center"/>
            </w:pPr>
            <w:r>
              <w:rPr>
                <w:b w:val="false"/>
                <w:bCs w:val="false"/>
                <w:color w:val="211C12"/>
                <w:sz w:val="20"/>
                <w:szCs w:val="20"/>
              </w:rPr>
              <w:t xml:space="preserve">RIM</w:t>
            </w:r>
          </w:p>
        </w:tc>
        <w:tc>
          <w:tcPr>
            <w:tcW w:type="dxa" w:w="1000"/>
            <w:tcMar>
              <w:top w:type="dxa" w:w="60"/>
              <w:left w:type="dxa" w:w="100"/>
              <w:bottom w:type="dxa" w:w="60"/>
              <w:right w:type="dxa" w:w="100"/>
            </w:tcMar>
          </w:tcPr>
          <w:p>
            <w:pPr>
              <w:jc w:val="center"/>
            </w:pPr>
            <w:r>
              <w:rPr>
                <w:b w:val="false"/>
                <w:bCs w:val="false"/>
                <w:color w:val="211C12"/>
                <w:sz w:val="20"/>
                <w:szCs w:val="20"/>
              </w:rPr>
              <w:t xml:space="preserve">10.4%</w:t>
            </w:r>
          </w:p>
        </w:tc>
        <w:tc>
          <w:tcPr>
            <w:tcW w:type="dxa" w:w="1050"/>
            <w:tcMar>
              <w:top w:type="dxa" w:w="60"/>
              <w:left w:type="dxa" w:w="100"/>
              <w:bottom w:type="dxa" w:w="60"/>
              <w:right w:type="dxa" w:w="100"/>
            </w:tcMar>
          </w:tcPr>
          <w:p>
            <w:pPr>
              <w:jc w:val="center"/>
            </w:pPr>
            <w:r>
              <w:rPr>
                <w:b w:val="false"/>
                <w:bCs w:val="false"/>
                <w:color w:val="211C12"/>
                <w:sz w:val="20"/>
                <w:szCs w:val="20"/>
              </w:rPr>
              <w:t xml:space="preserve">888</w:t>
            </w:r>
          </w:p>
        </w:tc>
      </w:tr>
    </w:tbl>
    <w:p>
      <w:pPr>
        <w:pStyle w:val="Heading1"/>
        <w:spacing w:after="140" w:before="320"/>
      </w:pPr>
      <w:r>
        <w:t xml:space="preserve">8. Riesgos y recomendaciones</w:t>
      </w:r>
    </w:p>
    <w:p>
      <w:pPr>
        <w:pStyle w:val="ListParagraph"/>
        <w:numPr>
          <w:ilvl w:val="0"/>
          <w:numId w:val="1"/>
        </w:numPr>
        <w:spacing w:after="80"/>
      </w:pPr>
      <w:r>
        <w:rPr>
          <w:sz w:val="21"/>
          <w:szCs w:val="21"/>
        </w:rPr>
        <w:t xml:space="preserve">Si alguna sesión programada se cancela (ausentismo de instructor, indisponibilidad de sala), el margen de 2 sesiones libres permite una reprogramación sin correr todo el cronograma — más de una cancelación sí lo afecta.</w:t>
      </w:r>
    </w:p>
    <w:p>
      <w:pPr>
        <w:pStyle w:val="ListParagraph"/>
        <w:numPr>
          <w:ilvl w:val="0"/>
          <w:numId w:val="1"/>
        </w:numPr>
        <w:spacing w:after="80"/>
      </w:pPr>
      <w:r>
        <w:rPr>
          <w:sz w:val="21"/>
          <w:szCs w:val="21"/>
        </w:rPr>
        <w:t xml:space="preserve">La Pista B, aunque no depende de instructores, sí depende de que alguien dé seguimiento activo a cientos de personas para completar registros — sin ese seguimiento sostenido, su avance se estanca igual que hoy.</w:t>
      </w:r>
    </w:p>
    <w:p>
      <w:pPr>
        <w:pStyle w:val="ListParagraph"/>
        <w:numPr>
          <w:ilvl w:val="0"/>
          <w:numId w:val="1"/>
        </w:numPr>
        <w:spacing w:after="80"/>
      </w:pPr>
      <w:r>
        <w:rPr>
          <w:sz w:val="21"/>
          <w:szCs w:val="21"/>
        </w:rPr>
        <w:t xml:space="preserve">Si la capacidad presencial real resulta mayor a la asumida aquí, vale la pena revisar el plan a fines de octubre con los datos reales de las primeras sesiones y reasignar cursos adicionales a las oleadas de noviembre/diciembre.</w:t>
      </w:r>
    </w:p>
    <w:p>
      <w:pPr>
        <w:pStyle w:val="ListParagraph"/>
        <w:numPr>
          <w:ilvl w:val="0"/>
          <w:numId w:val="1"/>
        </w:numPr>
        <w:spacing w:after="80"/>
      </w:pPr>
      <w:r>
        <w:rPr>
          <w:sz w:val="21"/>
          <w:szCs w:val="21"/>
        </w:rPr>
        <w:t xml:space="preserve">El dashboard "Avance RESSO" y el Excel matriz se siguen actualizando automáticamente todos los días con los datos de la tarja y las plataformas — este plan y su Excel de seguimiento son el complemento para la gestión activa del cierre de brechas, no reemplazan esa actualización diaria.</w:t>
      </w:r>
    </w:p>
    <w:p>
      <w:pPr>
        <w:pStyle w:val="Heading1"/>
        <w:spacing w:after="140" w:before="320"/>
      </w:pPr>
      <w:r>
        <w:t xml:space="preserve">9. Seguimiento</w:t>
      </w:r>
    </w:p>
    <w:p>
      <w:pPr>
        <w:spacing w:after="140"/>
      </w:pPr>
      <w:r>
        <w:rPr>
          <w:sz w:val="21"/>
          <w:szCs w:val="21"/>
        </w:rPr>
        <w:t xml:space="preserve">El archivo "Plan_Cierre_Brechas_RESSO_2026.xlsx" adjunto es la herramienta de trabajo semana a semana: registrar en la hoja "Cronograma de Sesiones" cada sesión realizada y su asistencia real, y actualizar el avance de cada curso en las hojas "Pista A" y "Pista B" a medida que el dashboard se actualiza, permite comparar en cualquier momento el avance real contra la meta de este plan.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440"/>
        <w:sz w:val="16"/>
        <w:szCs w:val="16"/>
      </w:rPr>
      <w:t xml:space="preserve">Página </w:t>
    </w:r>
    <w:r>
      <w:rPr>
        <w:color w:val="5C54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C5440"/>
        <w:sz w:val="16"/>
        <w:szCs w:val="16"/>
      </w:rPr>
      <w:t xml:space="preserve">RESSO SKIC 424 · Plan de cierre de brechas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2026-09-15T21:23:11.476Z</dcterms:created>
  <dcterms:modified xsi:type="dcterms:W3CDTF">2026-09-15T21:23:11.476Z</dcterms:modified>
</cp:coreProperties>
</file>

<file path=docProps/custom.xml><?xml version="1.0" encoding="utf-8"?>
<Properties xmlns="http://schemas.openxmlformats.org/officeDocument/2006/custom-properties" xmlns:vt="http://schemas.openxmlformats.org/officeDocument/2006/docPropsVTypes"/>
</file>