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NEL-DS Rulebook</w:t>
      </w:r>
    </w:p>
    <w:p>
      <w:pPr>
        <w:pStyle w:val="Date"/>
      </w:pPr>
      <w:r>
        <w:t xml:space="preserve">2025-11-28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nel-ds-rulebook-marco-de-gobernanza"/>
    <w:p>
      <w:pPr>
        <w:pStyle w:val="Heading1"/>
      </w:pPr>
      <w:r>
        <w:t xml:space="preserve">NEL-DS Rulebook (Marco de Gobernanza)</w:t>
      </w:r>
    </w:p>
    <w:p>
      <w:pPr>
        <w:pStyle w:val="FirstParagraph"/>
      </w:pPr>
      <w:r>
        <w:t xml:space="preserve">Este repositorio contiene la fuente de la verdad para el</w:t>
      </w:r>
      <w:r>
        <w:t xml:space="preserve"> </w:t>
      </w:r>
      <w:r>
        <w:rPr>
          <w:b/>
          <w:bCs/>
        </w:rPr>
        <w:t xml:space="preserve">Marco de Gobernanza del Espacio de Datos de la Nueva Economía de la Lengua (NEL-DS)</w:t>
      </w:r>
      <w:r>
        <w:t xml:space="preserve">.</w:t>
      </w:r>
    </w:p>
    <w:p>
      <w:pPr>
        <w:pStyle w:val="BodyText"/>
      </w:pPr>
      <w:r>
        <w:rPr>
          <w:b/>
          <w:bCs/>
        </w:rPr>
        <w:t xml:space="preserve">Autoridad:</w:t>
      </w:r>
      <w:r>
        <w:t xml:space="preserve"> </w:t>
      </w:r>
      <w:r>
        <w:t xml:space="preserve">Centro Nacional de Industrias del Español (CNIE).</w:t>
      </w:r>
      <w:r>
        <w:br/>
      </w:r>
      <w:r>
        <w:rPr>
          <w:b/>
          <w:bCs/>
        </w:rPr>
        <w:t xml:space="preserve">Referencia del Proyecto:</w:t>
      </w:r>
      <w:r>
        <w:t xml:space="preserve"> </w:t>
      </w:r>
      <w:r>
        <w:t xml:space="preserve">Expediente 71-7-2.01-0004/2025.</w:t>
      </w:r>
      <w:r>
        <w:br/>
      </w:r>
      <w:r>
        <w:rPr>
          <w:b/>
          <w:bCs/>
        </w:rPr>
        <w:t xml:space="preserve">Estado Actual:</w:t>
      </w:r>
      <w:r>
        <w:t xml:space="preserve"> </w:t>
      </w:r>
      <w:r>
        <w:rPr>
          <w:rStyle w:val="VerbatimChar"/>
        </w:rPr>
        <w:t xml:space="preserve">v1.0.0</w:t>
      </w:r>
      <w:r>
        <w:t xml:space="preserve"> </w:t>
      </w:r>
      <w:r>
        <w:t xml:space="preserve">(Borrador para Aprobación).</w:t>
      </w:r>
    </w:p>
    <w:bookmarkStart w:id="17" w:name="estructura-del-repositorio"/>
    <w:p>
      <w:pPr>
        <w:pStyle w:val="Heading2"/>
      </w:pPr>
      <w:r>
        <w:t xml:space="preserve">📂 Estructura del Repositorio</w:t>
      </w:r>
    </w:p>
    <w:p>
      <w:pPr>
        <w:pStyle w:val="Compact"/>
        <w:numPr>
          <w:ilvl w:val="0"/>
          <w:numId w:val="1001"/>
        </w:numPr>
      </w:pPr>
      <w:hyperlink r:id="rId9">
        <w:r>
          <w:rPr>
            <w:rStyle w:val="VerbatimChar"/>
            <w:b/>
            <w:bCs/>
          </w:rPr>
          <w:t xml:space="preserve">/docs</w:t>
        </w:r>
      </w:hyperlink>
      <w:r>
        <w:rPr>
          <w:b/>
          <w:bCs/>
        </w:rPr>
        <w:t xml:space="preserve">:</w:t>
      </w:r>
      <w:r>
        <w:t xml:space="preserve"> </w:t>
      </w:r>
      <w:r>
        <w:t xml:space="preserve">Documentación normativa legible por humanos (Markdown).</w:t>
      </w:r>
    </w:p>
    <w:p>
      <w:pPr>
        <w:pStyle w:val="Compact"/>
        <w:numPr>
          <w:ilvl w:val="1"/>
          <w:numId w:val="1002"/>
        </w:numPr>
      </w:pPr>
      <w:hyperlink r:id="rId10">
        <w:r>
          <w:rPr>
            <w:rStyle w:val="Hyperlink"/>
          </w:rPr>
          <w:t xml:space="preserve">Capítulo 1: Disposiciones Generales</w:t>
        </w:r>
      </w:hyperlink>
    </w:p>
    <w:p>
      <w:pPr>
        <w:pStyle w:val="Compact"/>
        <w:numPr>
          <w:ilvl w:val="1"/>
          <w:numId w:val="1002"/>
        </w:numPr>
      </w:pPr>
      <w:hyperlink r:id="rId11">
        <w:r>
          <w:rPr>
            <w:rStyle w:val="Hyperlink"/>
          </w:rPr>
          <w:t xml:space="preserve">Capítulo 2: Marco Legal</w:t>
        </w:r>
      </w:hyperlink>
    </w:p>
    <w:p>
      <w:pPr>
        <w:pStyle w:val="Compact"/>
        <w:numPr>
          <w:ilvl w:val="1"/>
          <w:numId w:val="1002"/>
        </w:numPr>
      </w:pPr>
      <w:hyperlink r:id="rId12">
        <w:r>
          <w:rPr>
            <w:rStyle w:val="Hyperlink"/>
          </w:rPr>
          <w:t xml:space="preserve">Capítulo 3: Marco Operativo</w:t>
        </w:r>
      </w:hyperlink>
    </w:p>
    <w:p>
      <w:pPr>
        <w:pStyle w:val="Compact"/>
        <w:numPr>
          <w:ilvl w:val="1"/>
          <w:numId w:val="1002"/>
        </w:numPr>
      </w:pPr>
      <w:hyperlink r:id="rId13">
        <w:r>
          <w:rPr>
            <w:rStyle w:val="Hyperlink"/>
          </w:rPr>
          <w:t xml:space="preserve">Capítulo 4: Marco Técnico</w:t>
        </w:r>
      </w:hyperlink>
    </w:p>
    <w:p>
      <w:pPr>
        <w:pStyle w:val="Compact"/>
        <w:numPr>
          <w:ilvl w:val="1"/>
          <w:numId w:val="1002"/>
        </w:numPr>
      </w:pPr>
      <w:hyperlink r:id="rId14">
        <w:r>
          <w:rPr>
            <w:rStyle w:val="Hyperlink"/>
          </w:rPr>
          <w:t xml:space="preserve">Capítulo 5: Confianza y Anexos</w:t>
        </w:r>
      </w:hyperlink>
    </w:p>
    <w:p>
      <w:pPr>
        <w:pStyle w:val="Compact"/>
        <w:numPr>
          <w:ilvl w:val="0"/>
          <w:numId w:val="1001"/>
        </w:numPr>
      </w:pPr>
      <w:hyperlink r:id="rId15">
        <w:r>
          <w:rPr>
            <w:rStyle w:val="VerbatimChar"/>
            <w:b/>
            <w:bCs/>
          </w:rPr>
          <w:t xml:space="preserve">/code</w:t>
        </w:r>
      </w:hyperlink>
      <w:r>
        <w:rPr>
          <w:b/>
          <w:bCs/>
        </w:rPr>
        <w:t xml:space="preserve">:</w:t>
      </w:r>
      <w:r>
        <w:t xml:space="preserve"> </w:t>
      </w:r>
      <w:r>
        <w:t xml:space="preserve">Definiciones legibles por máquina (Machine-readable policies).</w:t>
      </w:r>
    </w:p>
    <w:p>
      <w:pPr>
        <w:pStyle w:val="Compact"/>
        <w:numPr>
          <w:ilvl w:val="1"/>
          <w:numId w:val="1003"/>
        </w:numPr>
      </w:pPr>
      <w:r>
        <w:t xml:space="preserve">Políticas de uso estándar en formato ODRL (JSON-LD).</w:t>
      </w:r>
    </w:p>
    <w:p>
      <w:pPr>
        <w:pStyle w:val="Compact"/>
        <w:numPr>
          <w:ilvl w:val="0"/>
          <w:numId w:val="1001"/>
        </w:numPr>
      </w:pPr>
      <w:hyperlink r:id="rId16">
        <w:r>
          <w:rPr>
            <w:rStyle w:val="VerbatimChar"/>
            <w:b/>
            <w:bCs/>
          </w:rPr>
          <w:t xml:space="preserve">/releases</w:t>
        </w:r>
      </w:hyperlink>
      <w:r>
        <w:rPr>
          <w:b/>
          <w:bCs/>
        </w:rPr>
        <w:t xml:space="preserve">:</w:t>
      </w:r>
      <w:r>
        <w:t xml:space="preserve"> </w:t>
      </w:r>
      <w:r>
        <w:t xml:space="preserve">Versiones congeladas y firmadas en PDF.</w:t>
      </w:r>
    </w:p>
    <w:bookmarkEnd w:id="17"/>
    <w:bookmarkStart w:id="19" w:name="cómo-contribuir"/>
    <w:p>
      <w:pPr>
        <w:pStyle w:val="Heading2"/>
      </w:pPr>
      <w:r>
        <w:t xml:space="preserve">🚀 Cómo contribuir</w:t>
      </w:r>
    </w:p>
    <w:p>
      <w:pPr>
        <w:pStyle w:val="FirstParagraph"/>
      </w:pPr>
      <w:r>
        <w:t xml:space="preserve">Las propuestas de modificación al Rulebook deben seguir el flujo de gobernanza establecido (ver</w:t>
      </w:r>
      <w:r>
        <w:t xml:space="preserve"> </w:t>
      </w:r>
      <w:hyperlink r:id="rId18">
        <w:r>
          <w:rPr>
            <w:rStyle w:val="Hyperlink"/>
          </w:rPr>
          <w:t xml:space="preserve">CONTRIBUTING.md</w:t>
        </w:r>
      </w:hyperlink>
      <w:r>
        <w:t xml:space="preserve"> </w:t>
      </w:r>
      <w:r>
        <w:t xml:space="preserve">para más detalles):</w:t>
      </w:r>
      <w:r>
        <w:t xml:space="preserve"> </w:t>
      </w:r>
      <w:r>
        <w:t xml:space="preserve">1. Abrir una</w:t>
      </w:r>
      <w:r>
        <w:t xml:space="preserve"> </w:t>
      </w:r>
      <w:r>
        <w:rPr>
          <w:b/>
          <w:bCs/>
        </w:rPr>
        <w:t xml:space="preserve">Issue</w:t>
      </w:r>
      <w:r>
        <w:t xml:space="preserve"> </w:t>
      </w:r>
      <w:r>
        <w:t xml:space="preserve">describiendo el cambio regulatorio propuesto.</w:t>
      </w:r>
      <w:r>
        <w:t xml:space="preserve"> </w:t>
      </w:r>
      <w:r>
        <w:t xml:space="preserve">2. Crear una</w:t>
      </w:r>
      <w:r>
        <w:t xml:space="preserve"> </w:t>
      </w:r>
      <w:r>
        <w:rPr>
          <w:b/>
          <w:bCs/>
        </w:rPr>
        <w:t xml:space="preserve">Pull Request</w:t>
      </w:r>
      <w:r>
        <w:t xml:space="preserve"> </w:t>
      </w:r>
      <w:r>
        <w:t xml:space="preserve">con la modificación sobre los archivos</w:t>
      </w:r>
      <w:r>
        <w:t xml:space="preserve"> </w:t>
      </w:r>
      <w:r>
        <w:rPr>
          <w:rStyle w:val="VerbatimChar"/>
        </w:rPr>
        <w:t xml:space="preserve">.md</w:t>
      </w:r>
      <w:r>
        <w:t xml:space="preserve">.</w:t>
      </w:r>
      <w:r>
        <w:t xml:space="preserve"> </w:t>
      </w:r>
      <w:r>
        <w:t xml:space="preserve">3. El Comité de Dirección del NEL-DS revisará y aprobará (Merge) o rechazará la propuesta.</w:t>
      </w:r>
    </w:p>
    <w:bookmarkEnd w:id="19"/>
    <w:bookmarkStart w:id="20" w:name="licencia"/>
    <w:p>
      <w:pPr>
        <w:pStyle w:val="Heading2"/>
      </w:pPr>
      <w:r>
        <w:t xml:space="preserve">⚖️ Licencia</w:t>
      </w:r>
    </w:p>
    <w:p>
      <w:pPr>
        <w:pStyle w:val="FirstParagraph"/>
      </w:pPr>
      <w:r>
        <w:t xml:space="preserve">Este contenido es propiedad exclusiva de la</w:t>
      </w:r>
      <w:r>
        <w:t xml:space="preserve"> </w:t>
      </w:r>
      <w:r>
        <w:rPr>
          <w:b/>
          <w:bCs/>
        </w:rPr>
        <w:t xml:space="preserve">Fundación para la Transformación de La Rioja</w:t>
      </w:r>
      <w:r>
        <w:t xml:space="preserve">. Uso restringido a los participantes del NEL-DS.</w:t>
      </w:r>
    </w:p>
    <w:bookmarkEnd w:id="20"/>
    <w:bookmarkEnd w:id="21"/>
    <w:bookmarkStart w:id="26" w:name="capítulo-1-disposiciones-generales"/>
    <w:p>
      <w:pPr>
        <w:pStyle w:val="Heading1"/>
      </w:pPr>
      <w:r>
        <w:t xml:space="preserve">CAPÍTULO 1: DISPOSICIONES GENERALES</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Aprobación</w:t>
      </w:r>
      <w:r>
        <w:br/>
      </w:r>
      <w:r>
        <w:rPr>
          <w:b/>
          <w:bCs/>
        </w:rPr>
        <w:t xml:space="preserve">Referencia del Proyecto:</w:t>
      </w:r>
      <w:r>
        <w:t xml:space="preserve"> </w:t>
      </w:r>
      <w:r>
        <w:t xml:space="preserve">Expediente 71-7-2.01-0004/2025 (Lote 1 - Bloque 1)</w:t>
      </w:r>
    </w:p>
    <w:p>
      <w:r>
        <w:pict>
          <v:rect style="width:0;height:1.5pt" o:hralign="center" o:hrstd="t" o:hr="t"/>
        </w:pict>
      </w:r>
    </w:p>
    <w:bookmarkStart w:id="22" w:name="definición-y-naturaleza-del-espacio"/>
    <w:p>
      <w:pPr>
        <w:pStyle w:val="Heading2"/>
      </w:pPr>
      <w:r>
        <w:t xml:space="preserve">1.1. Definición y Naturaleza del Espacio</w:t>
      </w:r>
    </w:p>
    <w:p>
      <w:pPr>
        <w:pStyle w:val="FirstParagraph"/>
      </w:pPr>
      <w:r>
        <w:t xml:space="preserve">El</w:t>
      </w:r>
      <w:r>
        <w:t xml:space="preserve"> </w:t>
      </w:r>
      <w:r>
        <w:rPr>
          <w:b/>
          <w:bCs/>
        </w:rPr>
        <w:t xml:space="preserve">Espacio de Datos de la Nueva Economía de la Lengua (NEL-DS)</w:t>
      </w:r>
      <w:r>
        <w:t xml:space="preserve"> </w:t>
      </w:r>
      <w:r>
        <w:t xml:space="preserve">se constituye como una infraestructura digital federada para la compartición voluntaria, soberana y segura de activos lingüísticos y recursos de Inteligencia Artificial</w:t>
      </w:r>
      <w:r>
        <w:t xml:space="preserve"> </w:t>
      </w:r>
      <w:r>
        <w:rPr>
          <w:rStyle w:val="VerbatimChar"/>
        </w:rPr>
        <w:t xml:space="preserve">(Ref. Pliego: Apartado 6.1.1)</w:t>
      </w:r>
      <w:r>
        <w:t xml:space="preserve">.</w:t>
      </w:r>
    </w:p>
    <w:p>
      <w:pPr>
        <w:pStyle w:val="BodyText"/>
      </w:pPr>
      <w:r>
        <w:t xml:space="preserve">El NEL-DS no opera como un repositorio centralizado de datos, sino como un ecosistema descentralizado construido en torno a componentes comunes (</w:t>
      </w:r>
      <w:r>
        <w:t xml:space="preserve">“building blocks”</w:t>
      </w:r>
      <w:r>
        <w:t xml:space="preserve">) que permiten el intercambio eficaz y fiable entre participantes, garantizando que los datos permanecen bajo el control de sus proveedores</w:t>
      </w:r>
      <w:r>
        <w:t xml:space="preserve"> </w:t>
      </w:r>
      <w:r>
        <w:rPr>
          <w:rStyle w:val="VerbatimChar"/>
        </w:rPr>
        <w:t xml:space="preserve">(Ref. Pliego: Apartado 5.5 - Estrategia Europea de Datos)</w:t>
      </w:r>
      <w:r>
        <w:t xml:space="preserve">.</w:t>
      </w:r>
    </w:p>
    <w:p>
      <w:pPr>
        <w:pStyle w:val="BodyText"/>
      </w:pPr>
      <w:r>
        <w:t xml:space="preserve">Este marco de gobierno se rige por los principios de</w:t>
      </w:r>
      <w:r>
        <w:t xml:space="preserve"> </w:t>
      </w:r>
      <w:r>
        <w:rPr>
          <w:b/>
          <w:bCs/>
        </w:rPr>
        <w:t xml:space="preserve">Soberanía del Dato</w:t>
      </w:r>
      <w:r>
        <w:t xml:space="preserve">,</w:t>
      </w:r>
      <w:r>
        <w:t xml:space="preserve"> </w:t>
      </w:r>
      <w:r>
        <w:rPr>
          <w:b/>
          <w:bCs/>
        </w:rPr>
        <w:t xml:space="preserve">Confianza</w:t>
      </w:r>
      <w:r>
        <w:t xml:space="preserve"> </w:t>
      </w:r>
      <w:r>
        <w:t xml:space="preserve">y</w:t>
      </w:r>
      <w:r>
        <w:t xml:space="preserve"> </w:t>
      </w:r>
      <w:r>
        <w:rPr>
          <w:b/>
          <w:bCs/>
        </w:rPr>
        <w:t xml:space="preserve">Generación de Valor</w:t>
      </w:r>
      <w:r>
        <w:t xml:space="preserve">, alineándose con la arquitectura de referencia de IDSA y los principios del Data Spaces Support Centre (DSSC)</w:t>
      </w:r>
      <w:r>
        <w:t xml:space="preserve"> </w:t>
      </w:r>
      <w:r>
        <w:rPr>
          <w:rStyle w:val="VerbatimChar"/>
        </w:rPr>
        <w:t xml:space="preserve">(Ref. Pliego: Apartado 6.1.4)</w:t>
      </w:r>
      <w:r>
        <w:t xml:space="preserve">.</w:t>
      </w:r>
    </w:p>
    <w:bookmarkEnd w:id="22"/>
    <w:bookmarkStart w:id="23" w:name="misión-y-objetivos-estratégicos"/>
    <w:p>
      <w:pPr>
        <w:pStyle w:val="Heading2"/>
      </w:pPr>
      <w:r>
        <w:t xml:space="preserve">1.2. Misión y Objetivos Estratégicos</w:t>
      </w:r>
    </w:p>
    <w:p>
      <w:pPr>
        <w:pStyle w:val="FirstParagraph"/>
      </w:pPr>
      <w:r>
        <w:t xml:space="preserve">El propósito fundamental del NEL-DS es impulsar la</w:t>
      </w:r>
      <w:r>
        <w:t xml:space="preserve"> </w:t>
      </w:r>
      <w:r>
        <w:rPr>
          <w:b/>
          <w:bCs/>
        </w:rPr>
        <w:t xml:space="preserve">Nueva Economía de la Lengua</w:t>
      </w:r>
      <w:r>
        <w:t xml:space="preserve">, cumpliendo con los siguientes objetivos críticos:</w:t>
      </w:r>
    </w:p>
    <w:p>
      <w:pPr>
        <w:pStyle w:val="Compact"/>
        <w:numPr>
          <w:ilvl w:val="0"/>
          <w:numId w:val="1004"/>
        </w:numPr>
      </w:pPr>
      <w:r>
        <w:rPr>
          <w:b/>
          <w:bCs/>
        </w:rPr>
        <w:t xml:space="preserve">Entrenamiento de IA en Español:</w:t>
      </w:r>
      <w:r>
        <w:t xml:space="preserve"> </w:t>
      </w:r>
      <w:r>
        <w:t xml:space="preserve">Facilitar el acceso masivo a corpus orales y textuales para el entrenamiento de Modelos de Lenguaje (LLMs) y sistemas de Inteligencia Artificial, reduciendo la brecha tecnológica del español</w:t>
      </w:r>
      <w:r>
        <w:t xml:space="preserve"> </w:t>
      </w:r>
      <w:r>
        <w:rPr>
          <w:rStyle w:val="VerbatimChar"/>
        </w:rPr>
        <w:t xml:space="preserve">(Ref. Pliego: Apartado 3 - Situación Actual)</w:t>
      </w:r>
      <w:r>
        <w:t xml:space="preserve">.</w:t>
      </w:r>
    </w:p>
    <w:p>
      <w:pPr>
        <w:pStyle w:val="Compact"/>
        <w:numPr>
          <w:ilvl w:val="0"/>
          <w:numId w:val="1004"/>
        </w:numPr>
      </w:pPr>
      <w:r>
        <w:rPr>
          <w:b/>
          <w:bCs/>
        </w:rPr>
        <w:t xml:space="preserve">Ecosistema Público-Privado:</w:t>
      </w:r>
      <w:r>
        <w:t xml:space="preserve"> </w:t>
      </w:r>
      <w:r>
        <w:t xml:space="preserve">Habilitar un mercado donde empresas e instituciones puedan compartir y monetizar activos lingüísticos (corpus, modelos, terminologías) bajo reglas claras</w:t>
      </w:r>
      <w:r>
        <w:t xml:space="preserve"> </w:t>
      </w:r>
      <w:r>
        <w:rPr>
          <w:rStyle w:val="VerbatimChar"/>
        </w:rPr>
        <w:t xml:space="preserve">(Ref. Pliego: Apartado 4.1)</w:t>
      </w:r>
      <w:r>
        <w:t xml:space="preserve">.</w:t>
      </w:r>
    </w:p>
    <w:p>
      <w:pPr>
        <w:pStyle w:val="Compact"/>
        <w:numPr>
          <w:ilvl w:val="0"/>
          <w:numId w:val="1004"/>
        </w:numPr>
      </w:pPr>
      <w:r>
        <w:rPr>
          <w:b/>
          <w:bCs/>
        </w:rPr>
        <w:t xml:space="preserve">Interoperabilidad Transfronteriza:</w:t>
      </w:r>
      <w:r>
        <w:t xml:space="preserve"> </w:t>
      </w:r>
      <w:r>
        <w:t xml:space="preserve">Garantizar la capacidad técnica de federarse con otros espacios de datos europeos (ej.</w:t>
      </w:r>
      <w:r>
        <w:t xml:space="preserve"> </w:t>
      </w:r>
      <w:r>
        <w:rPr>
          <w:i/>
          <w:iCs/>
        </w:rPr>
        <w:t xml:space="preserve">Language Data Space</w:t>
      </w:r>
      <w:r>
        <w:t xml:space="preserve">) y sectoriales (Turismo, Salud), evitando la creación de silos aislados</w:t>
      </w:r>
      <w:r>
        <w:t xml:space="preserve"> </w:t>
      </w:r>
      <w:r>
        <w:rPr>
          <w:rStyle w:val="VerbatimChar"/>
        </w:rPr>
        <w:t xml:space="preserve">(Ref. Pliego: Apartado 6.1.12.1)</w:t>
      </w:r>
      <w:r>
        <w:t xml:space="preserve">.</w:t>
      </w:r>
    </w:p>
    <w:bookmarkEnd w:id="23"/>
    <w:bookmarkStart w:id="24" w:name="Xc6253e9bc727c07538701a39043826c5ce4108c"/>
    <w:p>
      <w:pPr>
        <w:pStyle w:val="Heading2"/>
      </w:pPr>
      <w:r>
        <w:t xml:space="preserve">1.3. Autoridad de Gobernanza (Data Space Authority)</w:t>
      </w:r>
    </w:p>
    <w:p>
      <w:pPr>
        <w:pStyle w:val="FirstParagraph"/>
      </w:pPr>
      <w:r>
        <w:t xml:space="preserve">La entidad responsable de la operación, mantenimiento y supervisión del cumplimiento de este Rulebook es el</w:t>
      </w:r>
      <w:r>
        <w:t xml:space="preserve"> </w:t>
      </w:r>
      <w:r>
        <w:rPr>
          <w:b/>
          <w:bCs/>
        </w:rPr>
        <w:t xml:space="preserve">Centro Nacional de Industrias del Español (CNIE)</w:t>
      </w:r>
      <w:r>
        <w:t xml:space="preserve"> </w:t>
      </w:r>
      <w:r>
        <w:rPr>
          <w:rStyle w:val="VerbatimChar"/>
        </w:rPr>
        <w:t xml:space="preserve">(Ref. Pliego: Apartado 3.2)</w:t>
      </w:r>
      <w:r>
        <w:t xml:space="preserve">.</w:t>
      </w:r>
    </w:p>
    <w:p>
      <w:pPr>
        <w:pStyle w:val="BodyText"/>
      </w:pPr>
      <w:r>
        <w:t xml:space="preserve">El CNIE actúa con un doble rol en el ecosistema</w:t>
      </w:r>
      <w:r>
        <w:t xml:space="preserve"> </w:t>
      </w:r>
      <w:r>
        <w:rPr>
          <w:rStyle w:val="VerbatimChar"/>
        </w:rPr>
        <w:t xml:space="preserve">(Ref. Pliego: Apartado 6.1)</w:t>
      </w:r>
      <w:r>
        <w:t xml:space="preserve">:</w:t>
      </w:r>
      <w:r>
        <w:t xml:space="preserve"> </w:t>
      </w:r>
      <w:r>
        <w:t xml:space="preserve">1.</w:t>
      </w:r>
      <w:r>
        <w:t xml:space="preserve"> </w:t>
      </w:r>
      <w:r>
        <w:rPr>
          <w:b/>
          <w:bCs/>
        </w:rPr>
        <w:t xml:space="preserve">Como Autoridad (Trustee):</w:t>
      </w:r>
      <w:r>
        <w:t xml:space="preserve"> </w:t>
      </w:r>
      <w:r>
        <w:t xml:space="preserve">Administra el registro de participantes, homologa los conectores y gestiona las políticas de uso globales, actuando como punto neutro de confianza.</w:t>
      </w:r>
      <w:r>
        <w:t xml:space="preserve"> </w:t>
      </w:r>
      <w:r>
        <w:t xml:space="preserve">2.</w:t>
      </w:r>
      <w:r>
        <w:t xml:space="preserve"> </w:t>
      </w:r>
      <w:r>
        <w:rPr>
          <w:b/>
          <w:bCs/>
        </w:rPr>
        <w:t xml:space="preserve">Como Participante:</w:t>
      </w:r>
      <w:r>
        <w:t xml:space="preserve"> </w:t>
      </w:r>
      <w:r>
        <w:t xml:space="preserve">Puede actuar como proveedor o consumidor de datos dentro del espacio, sujeto a las mismas reglas que el resto de miembros.</w:t>
      </w:r>
    </w:p>
    <w:bookmarkEnd w:id="24"/>
    <w:bookmarkStart w:id="25" w:name="glosario-de-términos-taxonomía-de-roles"/>
    <w:p>
      <w:pPr>
        <w:pStyle w:val="Heading2"/>
      </w:pPr>
      <w:r>
        <w:t xml:space="preserve">1.4. Glosario de Términos (Taxonomía de Roles)</w:t>
      </w:r>
    </w:p>
    <w:p>
      <w:pPr>
        <w:pStyle w:val="FirstParagraph"/>
      </w:pPr>
      <w:r>
        <w:t xml:space="preserve">Para la interpretación de este Rulebook y sus Anexos Técnicos, se adoptan las siguientes definiciones estandarizadas conforme al modelo de roles del proyecto</w:t>
      </w:r>
      <w:r>
        <w:t xml:space="preserve"> </w:t>
      </w:r>
      <w:r>
        <w:rPr>
          <w:rStyle w:val="VerbatimChar"/>
        </w:rPr>
        <w:t xml:space="preserve">(Ref. Pliego: Apartado 6.1.5)</w:t>
      </w:r>
      <w:r>
        <w:t xml:space="preserve">:</w:t>
      </w:r>
    </w:p>
    <w:p>
      <w:pPr>
        <w:pStyle w:val="Compact"/>
        <w:numPr>
          <w:ilvl w:val="0"/>
          <w:numId w:val="1005"/>
        </w:numPr>
      </w:pPr>
      <w:r>
        <w:rPr>
          <w:b/>
          <w:bCs/>
        </w:rPr>
        <w:t xml:space="preserve">Participante:</w:t>
      </w:r>
      <w:r>
        <w:t xml:space="preserve"> </w:t>
      </w:r>
      <w:r>
        <w:t xml:space="preserve">Entidad legal (empresa, universidad, administración) que ha superado el proceso de admisión y posee una Credencial Verificable válida.</w:t>
      </w:r>
    </w:p>
    <w:p>
      <w:pPr>
        <w:pStyle w:val="Compact"/>
        <w:numPr>
          <w:ilvl w:val="0"/>
          <w:numId w:val="1005"/>
        </w:numPr>
      </w:pPr>
      <w:r>
        <w:rPr>
          <w:b/>
          <w:bCs/>
        </w:rPr>
        <w:t xml:space="preserve">Conector (Paquete Conector):</w:t>
      </w:r>
      <w:r>
        <w:t xml:space="preserve"> </w:t>
      </w:r>
      <w:r>
        <w:t xml:space="preserve">Componente de software certificado que actúa como puerta de enlace para el intercambio soberano de datos. Puede desplegarse en modalidad</w:t>
      </w:r>
      <w:r>
        <w:t xml:space="preserve"> </w:t>
      </w:r>
      <w:r>
        <w:rPr>
          <w:i/>
          <w:iCs/>
        </w:rPr>
        <w:t xml:space="preserve">On-Premise</w:t>
      </w:r>
      <w:r>
        <w:t xml:space="preserve"> </w:t>
      </w:r>
      <w:r>
        <w:t xml:space="preserve">(infraestructura del participante) o</w:t>
      </w:r>
      <w:r>
        <w:t xml:space="preserve"> </w:t>
      </w:r>
      <w:r>
        <w:rPr>
          <w:i/>
          <w:iCs/>
        </w:rPr>
        <w:t xml:space="preserve">SaaS</w:t>
      </w:r>
      <w:r>
        <w:t xml:space="preserve"> </w:t>
      </w:r>
      <w:r>
        <w:t xml:space="preserve">(nube del CNIE)</w:t>
      </w:r>
      <w:r>
        <w:t xml:space="preserve"> </w:t>
      </w:r>
      <w:r>
        <w:rPr>
          <w:rStyle w:val="VerbatimChar"/>
        </w:rPr>
        <w:t xml:space="preserve">(Ref. Pliego: Apartado 6.1.8)</w:t>
      </w:r>
      <w:r>
        <w:t xml:space="preserve">.</w:t>
      </w:r>
    </w:p>
    <w:p>
      <w:pPr>
        <w:pStyle w:val="Compact"/>
        <w:numPr>
          <w:ilvl w:val="0"/>
          <w:numId w:val="1005"/>
        </w:numPr>
      </w:pPr>
      <w:r>
        <w:rPr>
          <w:b/>
          <w:bCs/>
        </w:rPr>
        <w:t xml:space="preserve">Proveedor de Datos (Data Provider):</w:t>
      </w:r>
      <w:r>
        <w:t xml:space="preserve"> </w:t>
      </w:r>
      <w:r>
        <w:t xml:space="preserve">Participante que publica la oferta de un activo de datos en el catálogo. Es el responsable de definir las políticas de uso y garantizar la propiedad intelectual</w:t>
      </w:r>
      <w:r>
        <w:t xml:space="preserve"> </w:t>
      </w:r>
      <w:r>
        <w:rPr>
          <w:rStyle w:val="VerbatimChar"/>
        </w:rPr>
        <w:t xml:space="preserve">(Ref. Pliego: Apartado 6.1.5 - Roles)</w:t>
      </w:r>
      <w:r>
        <w:t xml:space="preserve">.</w:t>
      </w:r>
    </w:p>
    <w:p>
      <w:pPr>
        <w:pStyle w:val="Compact"/>
        <w:numPr>
          <w:ilvl w:val="0"/>
          <w:numId w:val="1005"/>
        </w:numPr>
      </w:pPr>
      <w:r>
        <w:rPr>
          <w:b/>
          <w:bCs/>
        </w:rPr>
        <w:t xml:space="preserve">Consumidor de Datos (Data Consumer):</w:t>
      </w:r>
      <w:r>
        <w:t xml:space="preserve"> </w:t>
      </w:r>
      <w:r>
        <w:t xml:space="preserve">Participante que negocia un contrato digital para adquirir derechos de acceso y uso sobre un activo de datos</w:t>
      </w:r>
      <w:r>
        <w:t xml:space="preserve"> </w:t>
      </w:r>
      <w:r>
        <w:rPr>
          <w:rStyle w:val="VerbatimChar"/>
        </w:rPr>
        <w:t xml:space="preserve">(Ref. Pliego: Apartado 6.1.5 - Roles)</w:t>
      </w:r>
      <w:r>
        <w:t xml:space="preserve">.</w:t>
      </w:r>
    </w:p>
    <w:p>
      <w:pPr>
        <w:pStyle w:val="Compact"/>
        <w:numPr>
          <w:ilvl w:val="0"/>
          <w:numId w:val="1005"/>
        </w:numPr>
      </w:pPr>
      <w:r>
        <w:rPr>
          <w:b/>
          <w:bCs/>
        </w:rPr>
        <w:t xml:space="preserve">Intermediador:</w:t>
      </w:r>
      <w:r>
        <w:t xml:space="preserve"> </w:t>
      </w:r>
      <w:r>
        <w:t xml:space="preserve">Rol técnico o de negocio que facilita servicios auxiliares (ej. limpieza de corpus, anonimización, certificación) dentro del espacio</w:t>
      </w:r>
      <w:r>
        <w:t xml:space="preserve"> </w:t>
      </w:r>
      <w:r>
        <w:rPr>
          <w:rStyle w:val="VerbatimChar"/>
        </w:rPr>
        <w:t xml:space="preserve">(Ref. Pliego: Apartado 6.1.5 - Roles)</w:t>
      </w:r>
      <w:r>
        <w:t xml:space="preserve">.</w:t>
      </w:r>
    </w:p>
    <w:p>
      <w:pPr>
        <w:pStyle w:val="Compact"/>
        <w:numPr>
          <w:ilvl w:val="0"/>
          <w:numId w:val="1005"/>
        </w:numPr>
      </w:pPr>
      <w:r>
        <w:rPr>
          <w:b/>
          <w:bCs/>
        </w:rPr>
        <w:t xml:space="preserve">Activo de Datos:</w:t>
      </w:r>
      <w:r>
        <w:t xml:space="preserve"> </w:t>
      </w:r>
      <w:r>
        <w:t xml:space="preserve">Cualquier recurso digital (corpus texto/audio, modelo algorítmico, léxico) ofrecido en el catálogo bajo condiciones contractuales específicas.</w:t>
      </w:r>
    </w:p>
    <w:p>
      <w:r>
        <w:pict>
          <v:rect style="width:0;height:1.5pt" o:hralign="center" o:hrstd="t" o:hr="t"/>
        </w:pict>
      </w:r>
    </w:p>
    <w:bookmarkEnd w:id="25"/>
    <w:bookmarkEnd w:id="26"/>
    <w:bookmarkStart w:id="32" w:name="capítulo-2-marco-legal-y-de-confianza"/>
    <w:p>
      <w:pPr>
        <w:pStyle w:val="Heading1"/>
      </w:pPr>
      <w:r>
        <w:t xml:space="preserve">CAPÍTULO 2: MARCO LEGAL Y DE CONFIANZA</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Validación Legal</w:t>
      </w:r>
      <w:r>
        <w:br/>
      </w:r>
      <w:r>
        <w:rPr>
          <w:b/>
          <w:bCs/>
        </w:rPr>
        <w:t xml:space="preserve">Referencia del Proyecto:</w:t>
      </w:r>
      <w:r>
        <w:t xml:space="preserve"> </w:t>
      </w:r>
      <w:r>
        <w:t xml:space="preserve">Expediente 71-7-2.01-0004/2025 (Dimensión Legal y Normativa)</w:t>
      </w:r>
    </w:p>
    <w:p>
      <w:r>
        <w:pict>
          <v:rect style="width:0;height:1.5pt" o:hralign="center" o:hrstd="t" o:hr="t"/>
        </w:pict>
      </w:r>
    </w:p>
    <w:bookmarkStart w:id="27" w:name="Xefa736174e995138a40b7f7f1fb6d04de14fda5"/>
    <w:p>
      <w:pPr>
        <w:pStyle w:val="Heading2"/>
      </w:pPr>
      <w:r>
        <w:t xml:space="preserve">2.1. El Acuerdo de Adhesión (Accession Agreement)</w:t>
      </w:r>
    </w:p>
    <w:p>
      <w:pPr>
        <w:pStyle w:val="FirstParagraph"/>
      </w:pPr>
      <w:r>
        <w:t xml:space="preserve">La participación en el NEL-DS se formaliza mediante la firma electrónica de un único</w:t>
      </w:r>
      <w:r>
        <w:t xml:space="preserve"> </w:t>
      </w:r>
      <w:r>
        <w:rPr>
          <w:b/>
          <w:bCs/>
        </w:rPr>
        <w:t xml:space="preserve">Acuerdo de Adhesión</w:t>
      </w:r>
      <w:r>
        <w:t xml:space="preserve"> </w:t>
      </w:r>
      <w:r>
        <w:t xml:space="preserve">con la Autoridad del Espacio (CNIE).</w:t>
      </w:r>
    </w:p>
    <w:p>
      <w:pPr>
        <w:pStyle w:val="Compact"/>
        <w:numPr>
          <w:ilvl w:val="0"/>
          <w:numId w:val="1006"/>
        </w:numPr>
      </w:pPr>
      <w:r>
        <w:rPr>
          <w:b/>
          <w:bCs/>
        </w:rPr>
        <w:t xml:space="preserve">Modelo de Contratación:</w:t>
      </w:r>
      <w:r>
        <w:t xml:space="preserve"> </w:t>
      </w:r>
      <w:r>
        <w:t xml:space="preserve">Se establece un esquema de</w:t>
      </w:r>
      <w:r>
        <w:t xml:space="preserve"> </w:t>
      </w:r>
      <w:r>
        <w:t xml:space="preserve">“Club”</w:t>
      </w:r>
      <w:r>
        <w:t xml:space="preserve"> </w:t>
      </w:r>
      <w:r>
        <w:t xml:space="preserve">o Ecosistema. Los participantes no firman contratos bilaterales entre sí para unirse, sino que se adhieren a este</w:t>
      </w:r>
      <w:r>
        <w:t xml:space="preserve"> </w:t>
      </w:r>
      <w:r>
        <w:rPr>
          <w:i/>
          <w:iCs/>
        </w:rPr>
        <w:t xml:space="preserve">Rulebook</w:t>
      </w:r>
      <w:r>
        <w:t xml:space="preserve">.</w:t>
      </w:r>
    </w:p>
    <w:p>
      <w:pPr>
        <w:pStyle w:val="Compact"/>
        <w:numPr>
          <w:ilvl w:val="0"/>
          <w:numId w:val="1006"/>
        </w:numPr>
      </w:pPr>
      <w:r>
        <w:rPr>
          <w:b/>
          <w:bCs/>
        </w:rPr>
        <w:t xml:space="preserve">Efecto Vinculante:</w:t>
      </w:r>
      <w:r>
        <w:t xml:space="preserve"> </w:t>
      </w:r>
      <w:r>
        <w:t xml:space="preserve">La firma implica la aceptación de las reglas operativas, técnicas y legales aquí descritas</w:t>
      </w:r>
      <w:r>
        <w:t xml:space="preserve"> </w:t>
      </w:r>
      <w:r>
        <w:rPr>
          <w:rStyle w:val="VerbatimChar"/>
        </w:rPr>
        <w:t xml:space="preserve">(Ref. Pliego: Apartado 6.1.3 - Dimensión Legal)</w:t>
      </w:r>
      <w:r>
        <w:t xml:space="preserve">.</w:t>
      </w:r>
    </w:p>
    <w:p>
      <w:pPr>
        <w:pStyle w:val="Compact"/>
        <w:numPr>
          <w:ilvl w:val="0"/>
          <w:numId w:val="1006"/>
        </w:numPr>
      </w:pPr>
      <w:r>
        <w:rPr>
          <w:b/>
          <w:bCs/>
        </w:rPr>
        <w:t xml:space="preserve">Transitividad de la Confianza:</w:t>
      </w:r>
      <w:r>
        <w:t xml:space="preserve"> </w:t>
      </w:r>
      <w:r>
        <w:t xml:space="preserve">Todo participante acepta reconocer como válida la identidad de cualquier otro participante que haya sido homologado por la Autoridad bajo los mismos criterios.</w:t>
      </w:r>
    </w:p>
    <w:bookmarkEnd w:id="27"/>
    <w:bookmarkStart w:id="28" w:name="X272e12ea312c48b8cda5bc60d377ad604fbeb4d"/>
    <w:p>
      <w:pPr>
        <w:pStyle w:val="Heading2"/>
      </w:pPr>
      <w:r>
        <w:t xml:space="preserve">2.2. Soberanía del Dato y Propiedad Intelectual</w:t>
      </w:r>
    </w:p>
    <w:p>
      <w:pPr>
        <w:pStyle w:val="FirstParagraph"/>
      </w:pPr>
      <w:r>
        <w:t xml:space="preserve">El principio fundamental del NEL-DS es que la compartición de datos no implica la cesión de la propiedad, sino la licencia de uso bajo condiciones específicas.</w:t>
      </w:r>
    </w:p>
    <w:p>
      <w:pPr>
        <w:pStyle w:val="Compact"/>
        <w:numPr>
          <w:ilvl w:val="0"/>
          <w:numId w:val="1007"/>
        </w:numPr>
      </w:pPr>
      <w:r>
        <w:rPr>
          <w:b/>
          <w:bCs/>
        </w:rPr>
        <w:t xml:space="preserve">Titularidad:</w:t>
      </w:r>
      <w:r>
        <w:t xml:space="preserve"> </w:t>
      </w:r>
      <w:r>
        <w:t xml:space="preserve">El Proveedor de Datos declara y garantiza ser el titular de los derechos de Propiedad Intelectual sobre los activos que publica</w:t>
      </w:r>
      <w:r>
        <w:t xml:space="preserve"> </w:t>
      </w:r>
      <w:r>
        <w:rPr>
          <w:rStyle w:val="VerbatimChar"/>
        </w:rPr>
        <w:t xml:space="preserve">(Ref. Pliego: Apartado 5.6)</w:t>
      </w:r>
      <w:r>
        <w:t xml:space="preserve">.</w:t>
      </w:r>
    </w:p>
    <w:p>
      <w:pPr>
        <w:pStyle w:val="Compact"/>
        <w:numPr>
          <w:ilvl w:val="0"/>
          <w:numId w:val="1007"/>
        </w:numPr>
      </w:pPr>
      <w:r>
        <w:rPr>
          <w:b/>
          <w:bCs/>
        </w:rPr>
        <w:t xml:space="preserve">No Exclusividad:</w:t>
      </w:r>
      <w:r>
        <w:t xml:space="preserve"> </w:t>
      </w:r>
      <w:r>
        <w:t xml:space="preserve">La publicación de un activo en el NEL-DS no impide al Proveedor explotarlo por otros canales.</w:t>
      </w:r>
    </w:p>
    <w:p>
      <w:pPr>
        <w:pStyle w:val="Compact"/>
        <w:numPr>
          <w:ilvl w:val="0"/>
          <w:numId w:val="1007"/>
        </w:numPr>
      </w:pPr>
      <w:r>
        <w:rPr>
          <w:b/>
          <w:bCs/>
        </w:rPr>
        <w:t xml:space="preserve">Control de Uso (Usage Control):</w:t>
      </w:r>
      <w:r>
        <w:t xml:space="preserve"> </w:t>
      </w:r>
      <w:r>
        <w:t xml:space="preserve">El Proveedor tiene el derecho inalienable de definir técnicamente:</w:t>
      </w:r>
    </w:p>
    <w:p>
      <w:pPr>
        <w:pStyle w:val="Compact"/>
        <w:numPr>
          <w:ilvl w:val="1"/>
          <w:numId w:val="1008"/>
        </w:numPr>
      </w:pPr>
      <w:r>
        <w:rPr>
          <w:b/>
          <w:bCs/>
        </w:rPr>
        <w:t xml:space="preserve">Quién</w:t>
      </w:r>
      <w:r>
        <w:t xml:space="preserve"> </w:t>
      </w:r>
      <w:r>
        <w:t xml:space="preserve">puede acceder (ej.</w:t>
      </w:r>
      <w:r>
        <w:t xml:space="preserve"> </w:t>
      </w:r>
      <w:r>
        <w:t xml:space="preserve">“Solo Universidades”</w:t>
      </w:r>
      <w:r>
        <w:t xml:space="preserve">).</w:t>
      </w:r>
    </w:p>
    <w:p>
      <w:pPr>
        <w:pStyle w:val="Compact"/>
        <w:numPr>
          <w:ilvl w:val="1"/>
          <w:numId w:val="1008"/>
        </w:numPr>
      </w:pPr>
      <w:r>
        <w:rPr>
          <w:b/>
          <w:bCs/>
        </w:rPr>
        <w:t xml:space="preserve">Para qué</w:t>
      </w:r>
      <w:r>
        <w:t xml:space="preserve"> </w:t>
      </w:r>
      <w:r>
        <w:t xml:space="preserve">(ej.</w:t>
      </w:r>
      <w:r>
        <w:t xml:space="preserve"> </w:t>
      </w:r>
      <w:r>
        <w:t xml:space="preserve">“Solo investigación”</w:t>
      </w:r>
      <w:r>
        <w:t xml:space="preserve">,</w:t>
      </w:r>
      <w:r>
        <w:t xml:space="preserve"> </w:t>
      </w:r>
      <w:r>
        <w:t xml:space="preserve">“Entrenamiento de IA”</w:t>
      </w:r>
      <w:r>
        <w:t xml:space="preserve">).</w:t>
      </w:r>
    </w:p>
    <w:p>
      <w:pPr>
        <w:pStyle w:val="Compact"/>
        <w:numPr>
          <w:ilvl w:val="1"/>
          <w:numId w:val="1008"/>
        </w:numPr>
      </w:pPr>
      <w:r>
        <w:rPr>
          <w:b/>
          <w:bCs/>
        </w:rPr>
        <w:t xml:space="preserve">Durante cuánto tiempo</w:t>
      </w:r>
      <w:r>
        <w:t xml:space="preserve"> </w:t>
      </w:r>
      <w:r>
        <w:t xml:space="preserve">(ej.</w:t>
      </w:r>
      <w:r>
        <w:t xml:space="preserve"> </w:t>
      </w:r>
      <w:r>
        <w:t xml:space="preserve">“30 días”</w:t>
      </w:r>
      <w:r>
        <w:t xml:space="preserve">).</w:t>
      </w:r>
      <w:r>
        <w:t xml:space="preserve"> </w:t>
      </w:r>
      <w:r>
        <w:t xml:space="preserve">*Este control se ejerce mediante el Motor de Políticas del Conector</w:t>
      </w:r>
      <w:r>
        <w:t xml:space="preserve"> </w:t>
      </w:r>
      <w:r>
        <w:rPr>
          <w:rStyle w:val="VerbatimChar"/>
        </w:rPr>
        <w:t xml:space="preserve">(Ref. Pliego: Apartado 6.1.8.5)</w:t>
      </w:r>
      <w:r>
        <w:t xml:space="preserve">.</w:t>
      </w:r>
    </w:p>
    <w:bookmarkEnd w:id="28"/>
    <w:bookmarkStart w:id="29" w:name="políticas-de-uso-estandarizadas-odrl"/>
    <w:p>
      <w:pPr>
        <w:pStyle w:val="Heading2"/>
      </w:pPr>
      <w:r>
        <w:t xml:space="preserve">2.3. Políticas de Uso Estandarizadas (ODRL)</w:t>
      </w:r>
    </w:p>
    <w:p>
      <w:pPr>
        <w:pStyle w:val="FirstParagraph"/>
      </w:pPr>
      <w:r>
        <w:t xml:space="preserve">Para automatizar la negociación de contratos, las reglas legales deben expresarse en lenguaje</w:t>
      </w:r>
      <w:r>
        <w:t xml:space="preserve"> </w:t>
      </w:r>
      <w:r>
        <w:rPr>
          <w:b/>
          <w:bCs/>
        </w:rPr>
        <w:t xml:space="preserve">ODRL (Open Digital Rights Language)</w:t>
      </w:r>
      <w:r>
        <w:t xml:space="preserve">. Se definen las siguientes políticas marco que los participantes pueden seleccionar:</w:t>
      </w:r>
    </w:p>
    <w:tbl>
      <w:tblPr>
        <w:tblStyle w:val="Table"/>
        <w:tblW w:type="pct" w:w="5000"/>
        <w:tblLayout w:type="fixed"/>
        <w:tblLook w:firstRow="1" w:lastRow="0" w:firstColumn="0" w:lastColumn="0" w:noHBand="0" w:noVBand="0" w:val="0020"/>
      </w:tblPr>
      <w:tblGrid>
        <w:gridCol w:w="367"/>
        <w:gridCol w:w="835"/>
        <w:gridCol w:w="5513"/>
        <w:gridCol w:w="1203"/>
      </w:tblGrid>
      <w:tr>
        <w:trPr>
          <w:tblHeader w:val="on"/>
        </w:trPr>
        <w:tc>
          <w:tcPr/>
          <w:p>
            <w:pPr>
              <w:pStyle w:val="Compact"/>
              <w:jc w:val="left"/>
            </w:pPr>
            <w:r>
              <w:t xml:space="preserve">ID Política</w:t>
            </w:r>
          </w:p>
        </w:tc>
        <w:tc>
          <w:tcPr/>
          <w:p>
            <w:pPr>
              <w:pStyle w:val="Compact"/>
              <w:jc w:val="left"/>
            </w:pPr>
            <w:r>
              <w:t xml:space="preserve">Nombre Descriptivo</w:t>
            </w:r>
          </w:p>
        </w:tc>
        <w:tc>
          <w:tcPr/>
          <w:p>
            <w:pPr>
              <w:pStyle w:val="Compact"/>
              <w:jc w:val="left"/>
            </w:pPr>
            <w:r>
              <w:t xml:space="preserve">Descripción Legal (Resumen)</w:t>
            </w:r>
          </w:p>
        </w:tc>
        <w:tc>
          <w:tcPr/>
          <w:p>
            <w:pPr>
              <w:pStyle w:val="Compact"/>
              <w:jc w:val="left"/>
            </w:pPr>
            <w:r>
              <w:t xml:space="preserve">Código ODRL</w:t>
            </w:r>
          </w:p>
        </w:tc>
      </w:tr>
      <w:tr>
        <w:tc>
          <w:tcPr/>
          <w:p>
            <w:pPr>
              <w:pStyle w:val="Compact"/>
              <w:jc w:val="left"/>
            </w:pPr>
            <w:r>
              <w:rPr>
                <w:b/>
                <w:bCs/>
              </w:rPr>
              <w:t xml:space="preserve">POL-N1</w:t>
            </w:r>
          </w:p>
        </w:tc>
        <w:tc>
          <w:tcPr/>
          <w:p>
            <w:pPr>
              <w:pStyle w:val="Compact"/>
              <w:jc w:val="left"/>
            </w:pPr>
            <w:r>
              <w:rPr>
                <w:i/>
                <w:iCs/>
              </w:rPr>
              <w:t xml:space="preserve">Solo Entrenamiento IA</w:t>
            </w:r>
          </w:p>
        </w:tc>
        <w:tc>
          <w:tcPr/>
          <w:p>
            <w:pPr>
              <w:pStyle w:val="Compact"/>
              <w:jc w:val="left"/>
            </w:pPr>
            <w:r>
              <w:t xml:space="preserve">El Licenciatario puede usar los datos para entrenar modelos (machine learning), pero no puede reconstruir, visualizar ni extraer el contenido original (texto/audio).</w:t>
            </w:r>
          </w:p>
        </w:tc>
        <w:tc>
          <w:tcPr/>
          <w:p>
            <w:pPr>
              <w:pStyle w:val="Compact"/>
              <w:jc w:val="left"/>
            </w:pPr>
            <w:r>
              <w:rPr>
                <w:rStyle w:val="VerbatimChar"/>
              </w:rPr>
              <w:t xml:space="preserve">/code/policies/n1_training.json</w:t>
            </w:r>
          </w:p>
        </w:tc>
      </w:tr>
      <w:tr>
        <w:tc>
          <w:tcPr/>
          <w:p>
            <w:pPr>
              <w:pStyle w:val="Compact"/>
              <w:jc w:val="left"/>
            </w:pPr>
            <w:r>
              <w:rPr>
                <w:b/>
                <w:bCs/>
              </w:rPr>
              <w:t xml:space="preserve">POL-N2</w:t>
            </w:r>
          </w:p>
        </w:tc>
        <w:tc>
          <w:tcPr/>
          <w:p>
            <w:pPr>
              <w:pStyle w:val="Compact"/>
              <w:jc w:val="left"/>
            </w:pPr>
            <w:r>
              <w:rPr>
                <w:i/>
                <w:iCs/>
              </w:rPr>
              <w:t xml:space="preserve">Investigación Académica</w:t>
            </w:r>
          </w:p>
        </w:tc>
        <w:tc>
          <w:tcPr/>
          <w:p>
            <w:pPr>
              <w:pStyle w:val="Compact"/>
              <w:jc w:val="left"/>
            </w:pPr>
            <w:r>
              <w:t xml:space="preserve">Uso permitido exclusivamente para proyectos de investigación no comercial. Requiere acreditar estatus de Universidad/Centro I+D.</w:t>
            </w:r>
          </w:p>
        </w:tc>
        <w:tc>
          <w:tcPr/>
          <w:p>
            <w:pPr>
              <w:pStyle w:val="Compact"/>
              <w:jc w:val="left"/>
            </w:pPr>
            <w:r>
              <w:rPr>
                <w:rStyle w:val="VerbatimChar"/>
              </w:rPr>
              <w:t xml:space="preserve">/code/policies/n2_academic.json</w:t>
            </w:r>
          </w:p>
        </w:tc>
      </w:tr>
      <w:tr>
        <w:tc>
          <w:tcPr/>
          <w:p>
            <w:pPr>
              <w:pStyle w:val="Compact"/>
              <w:jc w:val="left"/>
            </w:pPr>
            <w:r>
              <w:rPr>
                <w:b/>
                <w:bCs/>
              </w:rPr>
              <w:t xml:space="preserve">POL-N3</w:t>
            </w:r>
          </w:p>
        </w:tc>
        <w:tc>
          <w:tcPr/>
          <w:p>
            <w:pPr>
              <w:pStyle w:val="Compact"/>
              <w:jc w:val="left"/>
            </w:pPr>
            <w:r>
              <w:rPr>
                <w:i/>
                <w:iCs/>
              </w:rPr>
              <w:t xml:space="preserve">Ventana Temporal</w:t>
            </w:r>
          </w:p>
        </w:tc>
        <w:tc>
          <w:tcPr/>
          <w:p>
            <w:pPr>
              <w:pStyle w:val="Compact"/>
              <w:jc w:val="left"/>
            </w:pPr>
            <w:r>
              <w:t xml:space="preserve">El derecho de uso expira automáticamente tras un periodo definido (ej. 30 días) desde la descarga.</w:t>
            </w:r>
          </w:p>
        </w:tc>
        <w:tc>
          <w:tcPr/>
          <w:p>
            <w:pPr>
              <w:pStyle w:val="Compact"/>
              <w:jc w:val="left"/>
            </w:pPr>
            <w:r>
              <w:rPr>
                <w:rStyle w:val="VerbatimChar"/>
              </w:rPr>
              <w:t xml:space="preserve">/code/policies/n3_timelimit.json</w:t>
            </w:r>
          </w:p>
        </w:tc>
      </w:tr>
      <w:tr>
        <w:tc>
          <w:tcPr/>
          <w:p>
            <w:pPr>
              <w:pStyle w:val="Compact"/>
              <w:jc w:val="left"/>
            </w:pPr>
            <w:r>
              <w:rPr>
                <w:b/>
                <w:bCs/>
              </w:rPr>
              <w:t xml:space="preserve">POL-N4</w:t>
            </w:r>
          </w:p>
        </w:tc>
        <w:tc>
          <w:tcPr/>
          <w:p>
            <w:pPr>
              <w:pStyle w:val="Compact"/>
              <w:jc w:val="left"/>
            </w:pPr>
            <w:r>
              <w:rPr>
                <w:i/>
                <w:iCs/>
              </w:rPr>
              <w:t xml:space="preserve">Atribución Obligatoria</w:t>
            </w:r>
          </w:p>
        </w:tc>
        <w:tc>
          <w:tcPr/>
          <w:p>
            <w:pPr>
              <w:pStyle w:val="Compact"/>
              <w:jc w:val="left"/>
            </w:pPr>
            <w:r>
              <w:t xml:space="preserve">Se permite el uso comercial, condicionado a citar la fuente original en los metadatos del producto resultante.</w:t>
            </w:r>
          </w:p>
        </w:tc>
        <w:tc>
          <w:tcPr/>
          <w:p>
            <w:pPr>
              <w:pStyle w:val="Compact"/>
              <w:jc w:val="left"/>
            </w:pPr>
            <w:r>
              <w:rPr>
                <w:rStyle w:val="VerbatimChar"/>
              </w:rPr>
              <w:t xml:space="preserve">/code/policies/n4_attribution.json</w:t>
            </w:r>
          </w:p>
        </w:tc>
      </w:tr>
    </w:tbl>
    <w:bookmarkEnd w:id="29"/>
    <w:bookmarkStart w:id="30" w:name="protección-de-datos-y-ética-rgpdai-act"/>
    <w:p>
      <w:pPr>
        <w:pStyle w:val="Heading2"/>
      </w:pPr>
      <w:r>
        <w:t xml:space="preserve">2.4. Protección de Datos y Ética (RGPD/AI Act)</w:t>
      </w:r>
    </w:p>
    <w:p>
      <w:pPr>
        <w:pStyle w:val="FirstParagraph"/>
      </w:pPr>
      <w:r>
        <w:t xml:space="preserve">El NEL-DS opera en estricto cumplimiento de la normativa europea y nacional.</w:t>
      </w:r>
    </w:p>
    <w:p>
      <w:pPr>
        <w:pStyle w:val="Compact"/>
        <w:numPr>
          <w:ilvl w:val="0"/>
          <w:numId w:val="1009"/>
        </w:numPr>
      </w:pPr>
      <w:r>
        <w:rPr>
          <w:b/>
          <w:bCs/>
        </w:rPr>
        <w:t xml:space="preserve">Datos Personales (RGPD):</w:t>
      </w:r>
      <w:r>
        <w:t xml:space="preserve"> </w:t>
      </w:r>
      <w:r>
        <w:t xml:space="preserve">* Queda prohibida la publicación de datos personales no anonimizados, salvo base legitimadora expresa</w:t>
      </w:r>
      <w:r>
        <w:t xml:space="preserve"> </w:t>
      </w:r>
      <w:r>
        <w:rPr>
          <w:rStyle w:val="VerbatimChar"/>
        </w:rPr>
        <w:t xml:space="preserve">(Ref. Pliego: Apartado 5.18.2)</w:t>
      </w:r>
      <w:r>
        <w:t xml:space="preserve">.</w:t>
      </w:r>
    </w:p>
    <w:p>
      <w:pPr>
        <w:pStyle w:val="Compact"/>
        <w:numPr>
          <w:ilvl w:val="1"/>
          <w:numId w:val="1010"/>
        </w:numPr>
      </w:pPr>
      <w:r>
        <w:t xml:space="preserve">Para el</w:t>
      </w:r>
      <w:r>
        <w:t xml:space="preserve"> </w:t>
      </w:r>
      <w:r>
        <w:rPr>
          <w:b/>
          <w:bCs/>
        </w:rPr>
        <w:t xml:space="preserve">Corpus Oral</w:t>
      </w:r>
      <w:r>
        <w:t xml:space="preserve">, es obligatorio aplicar técnicas de anonimización de voz y supresión de metadatos identificativos antes de su ingesta</w:t>
      </w:r>
      <w:r>
        <w:t xml:space="preserve"> </w:t>
      </w:r>
      <w:r>
        <w:rPr>
          <w:rStyle w:val="VerbatimChar"/>
        </w:rPr>
        <w:t xml:space="preserve">(Ref. Pliego: Apartado 6.2.4.3)</w:t>
      </w:r>
      <w:r>
        <w:t xml:space="preserve">.</w:t>
      </w:r>
    </w:p>
    <w:p>
      <w:pPr>
        <w:pStyle w:val="Compact"/>
        <w:numPr>
          <w:ilvl w:val="0"/>
          <w:numId w:val="1009"/>
        </w:numPr>
      </w:pPr>
      <w:r>
        <w:rPr>
          <w:b/>
          <w:bCs/>
        </w:rPr>
        <w:t xml:space="preserve">Ética de la IA:</w:t>
      </w:r>
      <w:r>
        <w:t xml:space="preserve"> </w:t>
      </w:r>
      <w:r>
        <w:t xml:space="preserve">Los participantes se comprometen a utilizar los datos para entrenar modelos que respeten los principios de no discriminación y transparencia de la</w:t>
      </w:r>
      <w:r>
        <w:t xml:space="preserve"> </w:t>
      </w:r>
      <w:r>
        <w:rPr>
          <w:i/>
          <w:iCs/>
        </w:rPr>
        <w:t xml:space="preserve">AI Act</w:t>
      </w:r>
      <w:r>
        <w:t xml:space="preserve"> </w:t>
      </w:r>
      <w:r>
        <w:t xml:space="preserve">europea.</w:t>
      </w:r>
    </w:p>
    <w:bookmarkEnd w:id="30"/>
    <w:bookmarkStart w:id="31" w:name="responsabilidad-e-indemnización"/>
    <w:p>
      <w:pPr>
        <w:pStyle w:val="Heading2"/>
      </w:pPr>
      <w:r>
        <w:t xml:space="preserve">2.5. Responsabilidad e Indemnización</w:t>
      </w:r>
    </w:p>
    <w:p>
      <w:pPr>
        <w:pStyle w:val="Compact"/>
        <w:numPr>
          <w:ilvl w:val="0"/>
          <w:numId w:val="1011"/>
        </w:numPr>
      </w:pPr>
      <w:r>
        <w:rPr>
          <w:b/>
          <w:bCs/>
        </w:rPr>
        <w:t xml:space="preserve">Entre Pares:</w:t>
      </w:r>
      <w:r>
        <w:t xml:space="preserve"> </w:t>
      </w:r>
      <w:r>
        <w:t xml:space="preserve">El Proveedor es el único responsable de la calidad y legalidad de los datos frente al Consumidor.</w:t>
      </w:r>
    </w:p>
    <w:p>
      <w:pPr>
        <w:pStyle w:val="Compact"/>
        <w:numPr>
          <w:ilvl w:val="0"/>
          <w:numId w:val="1011"/>
        </w:numPr>
      </w:pPr>
      <w:r>
        <w:rPr>
          <w:b/>
          <w:bCs/>
        </w:rPr>
        <w:t xml:space="preserve">De la Autoridad:</w:t>
      </w:r>
      <w:r>
        <w:t xml:space="preserve"> </w:t>
      </w:r>
      <w:r>
        <w:t xml:space="preserve">El CNIE, como operador de la plataforma, no inspecciona los datos y se exime de responsabilidad sobre el contenido intercambiado peer-to-peer, limitando su responsabilidad a la disponibilidad de los servicios centrales (Catálogo, Identidad)</w:t>
      </w:r>
      <w:r>
        <w:t xml:space="preserve"> </w:t>
      </w:r>
      <w:r>
        <w:rPr>
          <w:rStyle w:val="VerbatimChar"/>
        </w:rPr>
        <w:t xml:space="preserve">(Ref. Pliego: Apartado 6.1.3 - Dimensión Legal)</w:t>
      </w:r>
      <w:r>
        <w:t xml:space="preserve">.</w:t>
      </w:r>
    </w:p>
    <w:p>
      <w:r>
        <w:pict>
          <v:rect style="width:0;height:1.5pt" o:hralign="center" o:hrstd="t" o:hr="t"/>
        </w:pict>
      </w:r>
    </w:p>
    <w:bookmarkEnd w:id="31"/>
    <w:bookmarkEnd w:id="32"/>
    <w:bookmarkStart w:id="46" w:name="capítulo-3-marco-operativo-y-procesos"/>
    <w:p>
      <w:pPr>
        <w:pStyle w:val="Heading1"/>
      </w:pPr>
      <w:r>
        <w:t xml:space="preserve">CAPÍTULO 3: MARCO OPERATIVO Y PROCESOS</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Validación Operativa</w:t>
      </w:r>
      <w:r>
        <w:br/>
      </w:r>
      <w:r>
        <w:rPr>
          <w:b/>
          <w:bCs/>
        </w:rPr>
        <w:t xml:space="preserve">Referencia del Proyecto:</w:t>
      </w:r>
      <w:r>
        <w:t xml:space="preserve"> </w:t>
      </w:r>
      <w:r>
        <w:t xml:space="preserve">Expediente 71-7-2.01-0004/2025 (Dimensión Operativa - Procesos)</w:t>
      </w:r>
    </w:p>
    <w:p>
      <w:r>
        <w:pict>
          <v:rect style="width:0;height:1.5pt" o:hralign="center" o:hrstd="t" o:hr="t"/>
        </w:pict>
      </w:r>
    </w:p>
    <w:bookmarkStart w:id="35" w:name="taxonomía-de-roles-operativos"/>
    <w:p>
      <w:pPr>
        <w:pStyle w:val="Heading2"/>
      </w:pPr>
      <w:r>
        <w:t xml:space="preserve">3.1. Taxonomía de Roles Operativos</w:t>
      </w:r>
    </w:p>
    <w:p>
      <w:pPr>
        <w:pStyle w:val="FirstParagraph"/>
      </w:pPr>
      <w:r>
        <w:t xml:space="preserve">Se establece la siguiente matriz de responsabilidades para la operación diaria del NEL-DS, conforme a la estructura definida en el Pliego</w:t>
      </w:r>
      <w:r>
        <w:t xml:space="preserve"> </w:t>
      </w:r>
      <w:r>
        <w:rPr>
          <w:rStyle w:val="VerbatimChar"/>
        </w:rPr>
        <w:t xml:space="preserve">(Ref. Pliego: Apartado 6.1.5)</w:t>
      </w:r>
      <w:r>
        <w:t xml:space="preserve">:</w:t>
      </w:r>
    </w:p>
    <w:bookmarkStart w:id="33" w:name="a.-roles-de-gestión-infraestructura"/>
    <w:p>
      <w:pPr>
        <w:pStyle w:val="Heading3"/>
      </w:pPr>
      <w:r>
        <w:t xml:space="preserve">A. Roles de Gestión (Infraestructura)</w:t>
      </w:r>
    </w:p>
    <w:p>
      <w:pPr>
        <w:pStyle w:val="Compact"/>
        <w:numPr>
          <w:ilvl w:val="0"/>
          <w:numId w:val="1012"/>
        </w:numPr>
      </w:pPr>
      <w:r>
        <w:rPr>
          <w:b/>
          <w:bCs/>
        </w:rPr>
        <w:t xml:space="preserve">Autoridad del Espacio (CNIE):</w:t>
      </w:r>
    </w:p>
    <w:p>
      <w:pPr>
        <w:pStyle w:val="Compact"/>
        <w:numPr>
          <w:ilvl w:val="1"/>
          <w:numId w:val="1013"/>
        </w:numPr>
      </w:pPr>
      <w:r>
        <w:t xml:space="preserve">Responsable de la gobernanza, admisión (Onboarding) y expulsión (Offboarding) de miembros.</w:t>
      </w:r>
    </w:p>
    <w:p>
      <w:pPr>
        <w:pStyle w:val="Compact"/>
        <w:numPr>
          <w:ilvl w:val="1"/>
          <w:numId w:val="1013"/>
        </w:numPr>
      </w:pPr>
      <w:r>
        <w:t xml:space="preserve">Administra las políticas de acceso globales y el catálogo raíz.</w:t>
      </w:r>
    </w:p>
    <w:p>
      <w:pPr>
        <w:pStyle w:val="Compact"/>
        <w:numPr>
          <w:ilvl w:val="0"/>
          <w:numId w:val="1012"/>
        </w:numPr>
      </w:pPr>
      <w:r>
        <w:rPr>
          <w:b/>
          <w:bCs/>
        </w:rPr>
        <w:t xml:space="preserve">Operador de Servicios Centrales:</w:t>
      </w:r>
    </w:p>
    <w:p>
      <w:pPr>
        <w:pStyle w:val="Compact"/>
        <w:numPr>
          <w:ilvl w:val="1"/>
          <w:numId w:val="1014"/>
        </w:numPr>
      </w:pPr>
      <w:r>
        <w:t xml:space="preserve">Entidad técnica encargada del mantenimiento de los componentes comunes:</w:t>
      </w:r>
      <w:r>
        <w:t xml:space="preserve"> </w:t>
      </w:r>
      <w:r>
        <w:rPr>
          <w:i/>
          <w:iCs/>
        </w:rPr>
        <w:t xml:space="preserve">Identity Provider</w:t>
      </w:r>
      <w:r>
        <w:t xml:space="preserve">,</w:t>
      </w:r>
      <w:r>
        <w:t xml:space="preserve"> </w:t>
      </w:r>
      <w:r>
        <w:rPr>
          <w:i/>
          <w:iCs/>
        </w:rPr>
        <w:t xml:space="preserve">Metadata Broker</w:t>
      </w:r>
      <w:r>
        <w:t xml:space="preserve"> </w:t>
      </w:r>
      <w:r>
        <w:t xml:space="preserve">y</w:t>
      </w:r>
      <w:r>
        <w:t xml:space="preserve"> </w:t>
      </w:r>
      <w:r>
        <w:rPr>
          <w:i/>
          <w:iCs/>
        </w:rPr>
        <w:t xml:space="preserve">Clearing House</w:t>
      </w:r>
      <w:r>
        <w:t xml:space="preserve"> </w:t>
      </w:r>
      <w:r>
        <w:t xml:space="preserve">(Registro).</w:t>
      </w:r>
    </w:p>
    <w:p>
      <w:pPr>
        <w:pStyle w:val="Compact"/>
        <w:numPr>
          <w:ilvl w:val="1"/>
          <w:numId w:val="1014"/>
        </w:numPr>
      </w:pPr>
      <w:r>
        <w:t xml:space="preserve">Garantiza los SLAs de disponibilidad de la plataforma central</w:t>
      </w:r>
      <w:r>
        <w:t xml:space="preserve"> </w:t>
      </w:r>
      <w:r>
        <w:rPr>
          <w:rStyle w:val="VerbatimChar"/>
        </w:rPr>
        <w:t xml:space="preserve">(Ref. Pliego: Apartado 6.1.12.2)</w:t>
      </w:r>
      <w:r>
        <w:t xml:space="preserve">.</w:t>
      </w:r>
    </w:p>
    <w:p>
      <w:pPr>
        <w:pStyle w:val="Compact"/>
        <w:numPr>
          <w:ilvl w:val="0"/>
          <w:numId w:val="1012"/>
        </w:numPr>
      </w:pPr>
      <w:r>
        <w:rPr>
          <w:b/>
          <w:bCs/>
        </w:rPr>
        <w:t xml:space="preserve">Emisor de Confianza (Trust Anchor):</w:t>
      </w:r>
    </w:p>
    <w:p>
      <w:pPr>
        <w:pStyle w:val="Compact"/>
        <w:numPr>
          <w:ilvl w:val="1"/>
          <w:numId w:val="1015"/>
        </w:numPr>
      </w:pPr>
      <w:r>
        <w:t xml:space="preserve">Entidad externa o interna habilitada para emitir y firmar Credenciales Verificables (VCs) y certificados X.509 que validan la identidad de los participantes</w:t>
      </w:r>
      <w:r>
        <w:t xml:space="preserve"> </w:t>
      </w:r>
      <w:r>
        <w:rPr>
          <w:rStyle w:val="VerbatimChar"/>
        </w:rPr>
        <w:t xml:space="preserve">(Ref. Pliego: Apartado 6.1.11.3)</w:t>
      </w:r>
      <w:r>
        <w:t xml:space="preserve">.</w:t>
      </w:r>
    </w:p>
    <w:bookmarkEnd w:id="33"/>
    <w:bookmarkStart w:id="34" w:name="b.-roles-de-participación-negocio"/>
    <w:p>
      <w:pPr>
        <w:pStyle w:val="Heading3"/>
      </w:pPr>
      <w:r>
        <w:t xml:space="preserve">B. Roles de Participación (Negocio)</w:t>
      </w:r>
    </w:p>
    <w:p>
      <w:pPr>
        <w:pStyle w:val="Compact"/>
        <w:numPr>
          <w:ilvl w:val="0"/>
          <w:numId w:val="1016"/>
        </w:numPr>
      </w:pPr>
      <w:r>
        <w:rPr>
          <w:b/>
          <w:bCs/>
        </w:rPr>
        <w:t xml:space="preserve">Proveedor de Datos (Data Provider):</w:t>
      </w:r>
    </w:p>
    <w:p>
      <w:pPr>
        <w:pStyle w:val="Compact"/>
        <w:numPr>
          <w:ilvl w:val="1"/>
          <w:numId w:val="1017"/>
        </w:numPr>
      </w:pPr>
      <w:r>
        <w:t xml:space="preserve">Publica la oferta de activos en el catálogo.</w:t>
      </w:r>
    </w:p>
    <w:p>
      <w:pPr>
        <w:pStyle w:val="Compact"/>
        <w:numPr>
          <w:ilvl w:val="1"/>
          <w:numId w:val="1017"/>
        </w:numPr>
      </w:pPr>
      <w:r>
        <w:t xml:space="preserve">Configura las políticas de uso y contrato en su Conector.</w:t>
      </w:r>
    </w:p>
    <w:p>
      <w:pPr>
        <w:pStyle w:val="Compact"/>
        <w:numPr>
          <w:ilvl w:val="0"/>
          <w:numId w:val="1016"/>
        </w:numPr>
      </w:pPr>
      <w:r>
        <w:rPr>
          <w:b/>
          <w:bCs/>
        </w:rPr>
        <w:t xml:space="preserve">Consumidor de Datos (Data Consumer):</w:t>
      </w:r>
    </w:p>
    <w:p>
      <w:pPr>
        <w:pStyle w:val="Compact"/>
        <w:numPr>
          <w:ilvl w:val="1"/>
          <w:numId w:val="1018"/>
        </w:numPr>
      </w:pPr>
      <w:r>
        <w:t xml:space="preserve">Busca activos en el catálogo y negocia contratos de uso.</w:t>
      </w:r>
    </w:p>
    <w:p>
      <w:pPr>
        <w:pStyle w:val="Compact"/>
        <w:numPr>
          <w:ilvl w:val="1"/>
          <w:numId w:val="1018"/>
        </w:numPr>
      </w:pPr>
      <w:r>
        <w:t xml:space="preserve">Consume los datos respetando las restricciones técnicas impuestas.</w:t>
      </w:r>
    </w:p>
    <w:p>
      <w:pPr>
        <w:pStyle w:val="Compact"/>
        <w:numPr>
          <w:ilvl w:val="0"/>
          <w:numId w:val="1016"/>
        </w:numPr>
      </w:pPr>
      <w:r>
        <w:rPr>
          <w:b/>
          <w:bCs/>
        </w:rPr>
        <w:t xml:space="preserve">Intermediario / Proveedor Tecnológico:</w:t>
      </w:r>
    </w:p>
    <w:p>
      <w:pPr>
        <w:pStyle w:val="Compact"/>
        <w:numPr>
          <w:ilvl w:val="1"/>
          <w:numId w:val="1019"/>
        </w:numPr>
      </w:pPr>
      <w:r>
        <w:t xml:space="preserve">Facilita servicios de valor añadido (ej. limpieza de corpus, entrenamiento de modelos) o provee infraestructura técnica a terceros</w:t>
      </w:r>
      <w:r>
        <w:t xml:space="preserve"> </w:t>
      </w:r>
      <w:r>
        <w:rPr>
          <w:rStyle w:val="VerbatimChar"/>
        </w:rPr>
        <w:t xml:space="preserve">(Ref. Pliego: Apartado 6.1.5)</w:t>
      </w:r>
      <w:r>
        <w:t xml:space="preserve">.</w:t>
      </w:r>
    </w:p>
    <w:p>
      <w:r>
        <w:pict>
          <v:rect style="width:0;height:1.5pt" o:hralign="center" o:hrstd="t" o:hr="t"/>
        </w:pict>
      </w:r>
    </w:p>
    <w:bookmarkEnd w:id="34"/>
    <w:bookmarkEnd w:id="35"/>
    <w:bookmarkStart w:id="40" w:name="proceso-de-admisión-onboarding"/>
    <w:p>
      <w:pPr>
        <w:pStyle w:val="Heading2"/>
      </w:pPr>
      <w:r>
        <w:t xml:space="preserve">3.2. Proceso de Admisión (Onboarding)</w:t>
      </w:r>
    </w:p>
    <w:p>
      <w:pPr>
        <w:pStyle w:val="FirstParagraph"/>
      </w:pPr>
      <w:r>
        <w:t xml:space="preserve">El proceso para convertirse en Participante del NEL-DS consta de cuatro fases secuenciales obligatorias</w:t>
      </w:r>
      <w:r>
        <w:t xml:space="preserve"> </w:t>
      </w:r>
      <w:r>
        <w:rPr>
          <w:rStyle w:val="VerbatimChar"/>
        </w:rPr>
        <w:t xml:space="preserve">(Ref. Pliego: Apartado 6.1.11.2)</w:t>
      </w:r>
      <w:r>
        <w:t xml:space="preserve">:</w:t>
      </w:r>
    </w:p>
    <w:bookmarkStart w:id="36" w:name="fase-1-identificación-y-registro-kyc"/>
    <w:p>
      <w:pPr>
        <w:pStyle w:val="Heading3"/>
      </w:pPr>
      <w:r>
        <w:t xml:space="preserve">Fase 1: Identificación y Registro (KYC)</w:t>
      </w:r>
    </w:p>
    <w:p>
      <w:pPr>
        <w:pStyle w:val="Compact"/>
        <w:numPr>
          <w:ilvl w:val="0"/>
          <w:numId w:val="1020"/>
        </w:numPr>
      </w:pPr>
      <w:r>
        <w:t xml:space="preserve">El Solicitante completa el formulario de adhesión en el Portal Web del NEL-DS.</w:t>
      </w:r>
    </w:p>
    <w:p>
      <w:pPr>
        <w:pStyle w:val="Compact"/>
        <w:numPr>
          <w:ilvl w:val="0"/>
          <w:numId w:val="1020"/>
        </w:numPr>
      </w:pPr>
      <w:r>
        <w:t xml:space="preserve">Debe aportar la documentación legal requerida (NIF, escrituras) para verificar su identidad jurídica.</w:t>
      </w:r>
    </w:p>
    <w:p>
      <w:pPr>
        <w:pStyle w:val="Compact"/>
        <w:numPr>
          <w:ilvl w:val="0"/>
          <w:numId w:val="1020"/>
        </w:numPr>
      </w:pPr>
      <w:r>
        <w:rPr>
          <w:b/>
          <w:bCs/>
        </w:rPr>
        <w:t xml:space="preserve">Resultado:</w:t>
      </w:r>
      <w:r>
        <w:t xml:space="preserve"> </w:t>
      </w:r>
      <w:r>
        <w:t xml:space="preserve">Validación administrativa por la Autoridad.</w:t>
      </w:r>
    </w:p>
    <w:bookmarkEnd w:id="36"/>
    <w:bookmarkStart w:id="37" w:name="fase-2-despliegue-del-conector"/>
    <w:p>
      <w:pPr>
        <w:pStyle w:val="Heading3"/>
      </w:pPr>
      <w:r>
        <w:t xml:space="preserve">Fase 2: Despliegue del Conector</w:t>
      </w:r>
    </w:p>
    <w:p>
      <w:pPr>
        <w:pStyle w:val="FirstParagraph"/>
      </w:pPr>
      <w:r>
        <w:t xml:space="preserve">El Solicitante debe seleccionar una de las dos modalidades de despliegue permitidas</w:t>
      </w:r>
      <w:r>
        <w:t xml:space="preserve"> </w:t>
      </w:r>
      <w:r>
        <w:rPr>
          <w:rStyle w:val="VerbatimChar"/>
        </w:rPr>
        <w:t xml:space="preserve">(Ref. Pliego: Apartado 6.1.8)</w:t>
      </w:r>
      <w:r>
        <w:t xml:space="preserve">:</w:t>
      </w:r>
      <w:r>
        <w:t xml:space="preserve"> </w:t>
      </w:r>
      <w:r>
        <w:t xml:space="preserve">*</w:t>
      </w:r>
      <w:r>
        <w:t xml:space="preserve"> </w:t>
      </w:r>
      <w:r>
        <w:rPr>
          <w:b/>
          <w:bCs/>
        </w:rPr>
        <w:t xml:space="preserve">Modalidad A (On-Premise):</w:t>
      </w:r>
      <w:r>
        <w:t xml:space="preserve"> </w:t>
      </w:r>
      <w:r>
        <w:t xml:space="preserve">El participante descarga e instala el Paquete Conector en su propia infraestructura.</w:t>
      </w:r>
      <w:r>
        <w:t xml:space="preserve"> </w:t>
      </w:r>
      <w:r>
        <w:t xml:space="preserve">*</w:t>
      </w:r>
      <w:r>
        <w:t xml:space="preserve"> </w:t>
      </w:r>
      <w:r>
        <w:rPr>
          <w:b/>
          <w:bCs/>
        </w:rPr>
        <w:t xml:space="preserve">Modalidad B (SaaS):</w:t>
      </w:r>
      <w:r>
        <w:t xml:space="preserve"> </w:t>
      </w:r>
      <w:r>
        <w:t xml:space="preserve">El participante solicita una instancia gestionada en la nube de la Fundación (CNIE).</w:t>
      </w:r>
    </w:p>
    <w:bookmarkEnd w:id="37"/>
    <w:bookmarkStart w:id="38" w:name="fase-3-homologación-técnica"/>
    <w:p>
      <w:pPr>
        <w:pStyle w:val="Heading3"/>
      </w:pPr>
      <w:r>
        <w:t xml:space="preserve">Fase 3: Homologación Técnica</w:t>
      </w:r>
    </w:p>
    <w:p>
      <w:pPr>
        <w:pStyle w:val="Compact"/>
        <w:numPr>
          <w:ilvl w:val="0"/>
          <w:numId w:val="1021"/>
        </w:numPr>
      </w:pPr>
      <w:r>
        <w:t xml:space="preserve">El Conector del Solicitante debe conectarse al</w:t>
      </w:r>
      <w:r>
        <w:t xml:space="preserve"> </w:t>
      </w:r>
      <w:r>
        <w:rPr>
          <w:b/>
          <w:bCs/>
        </w:rPr>
        <w:t xml:space="preserve">Entorno de Pruebas (Sandbox)</w:t>
      </w:r>
      <w:r>
        <w:t xml:space="preserve">.</w:t>
      </w:r>
    </w:p>
    <w:p>
      <w:pPr>
        <w:pStyle w:val="Compact"/>
        <w:numPr>
          <w:ilvl w:val="0"/>
          <w:numId w:val="1021"/>
        </w:numPr>
      </w:pPr>
      <w:r>
        <w:t xml:space="preserve">Se ejecuta una batería automática de tests de conectividad, seguridad e interoperabilidad (Test de Interoperabilidad).</w:t>
      </w:r>
    </w:p>
    <w:p>
      <w:pPr>
        <w:pStyle w:val="Compact"/>
        <w:numPr>
          <w:ilvl w:val="0"/>
          <w:numId w:val="1021"/>
        </w:numPr>
      </w:pPr>
      <w:r>
        <w:rPr>
          <w:b/>
          <w:bCs/>
        </w:rPr>
        <w:t xml:space="preserve">Resultado:</w:t>
      </w:r>
      <w:r>
        <w:t xml:space="preserve"> </w:t>
      </w:r>
      <w:r>
        <w:t xml:space="preserve">Informe de Aptitud Técnica</w:t>
      </w:r>
      <w:r>
        <w:t xml:space="preserve"> </w:t>
      </w:r>
      <w:r>
        <w:rPr>
          <w:rStyle w:val="VerbatimChar"/>
        </w:rPr>
        <w:t xml:space="preserve">(Ref. Pliego: Apartado 6.1.11.1 - III. Pruebas)</w:t>
      </w:r>
      <w:r>
        <w:t xml:space="preserve">.</w:t>
      </w:r>
    </w:p>
    <w:bookmarkEnd w:id="38"/>
    <w:bookmarkStart w:id="39" w:name="fase-4-emisión-de-credenciales"/>
    <w:p>
      <w:pPr>
        <w:pStyle w:val="Heading3"/>
      </w:pPr>
      <w:r>
        <w:t xml:space="preserve">Fase 4: Emisión de Credenciales</w:t>
      </w:r>
    </w:p>
    <w:p>
      <w:pPr>
        <w:pStyle w:val="Compact"/>
        <w:numPr>
          <w:ilvl w:val="0"/>
          <w:numId w:val="1022"/>
        </w:numPr>
      </w:pPr>
      <w:r>
        <w:t xml:space="preserve">Tras superar la homologación, el Emisor de Confianza expide una</w:t>
      </w:r>
      <w:r>
        <w:t xml:space="preserve"> </w:t>
      </w:r>
      <w:r>
        <w:rPr>
          <w:b/>
          <w:bCs/>
        </w:rPr>
        <w:t xml:space="preserve">Credencial Verificable (VC)</w:t>
      </w:r>
      <w:r>
        <w:t xml:space="preserve"> </w:t>
      </w:r>
      <w:r>
        <w:t xml:space="preserve">vinculada al DID (Identidad Digital) del participante.</w:t>
      </w:r>
    </w:p>
    <w:p>
      <w:pPr>
        <w:pStyle w:val="Compact"/>
        <w:numPr>
          <w:ilvl w:val="0"/>
          <w:numId w:val="1022"/>
        </w:numPr>
      </w:pPr>
      <w:r>
        <w:t xml:space="preserve">El Participante carga esta credencial en su Conector para acceder al Entorno de Producción.</w:t>
      </w:r>
    </w:p>
    <w:p>
      <w:r>
        <w:pict>
          <v:rect style="width:0;height:1.5pt" o:hralign="center" o:hrstd="t" o:hr="t"/>
        </w:pict>
      </w:r>
    </w:p>
    <w:bookmarkEnd w:id="39"/>
    <w:bookmarkEnd w:id="40"/>
    <w:bookmarkStart w:id="44" w:name="ciclo-de-vida-del-intercambio-de-datos"/>
    <w:p>
      <w:pPr>
        <w:pStyle w:val="Heading2"/>
      </w:pPr>
      <w:r>
        <w:t xml:space="preserve">3.3. Ciclo de Vida del Intercambio de Datos</w:t>
      </w:r>
    </w:p>
    <w:p>
      <w:pPr>
        <w:pStyle w:val="FirstParagraph"/>
      </w:pPr>
      <w:r>
        <w:t xml:space="preserve">Los participantes operan bajo el modelo</w:t>
      </w:r>
      <w:r>
        <w:t xml:space="preserve"> </w:t>
      </w:r>
      <w:r>
        <w:t xml:space="preserve">“Publish-Find-Bind”</w:t>
      </w:r>
      <w:r>
        <w:t xml:space="preserve"> </w:t>
      </w:r>
      <w:r>
        <w:t xml:space="preserve">(Publicar-Buscar-Vincular), ejecutado de forma descentralizada:</w:t>
      </w:r>
    </w:p>
    <w:bookmarkStart w:id="41" w:name="publicación-publish"/>
    <w:p>
      <w:pPr>
        <w:pStyle w:val="Heading3"/>
      </w:pPr>
      <w:r>
        <w:t xml:space="preserve">1. Publicación (Publish)</w:t>
      </w:r>
    </w:p>
    <w:p>
      <w:pPr>
        <w:pStyle w:val="Compact"/>
        <w:numPr>
          <w:ilvl w:val="0"/>
          <w:numId w:val="1023"/>
        </w:numPr>
      </w:pPr>
      <w:r>
        <w:t xml:space="preserve">El Proveedor registra los metadatos de su activo (título, descripción, idioma, formato) en su Conector local.</w:t>
      </w:r>
    </w:p>
    <w:p>
      <w:pPr>
        <w:pStyle w:val="Compact"/>
        <w:numPr>
          <w:ilvl w:val="0"/>
          <w:numId w:val="1023"/>
        </w:numPr>
      </w:pPr>
      <w:r>
        <w:t xml:space="preserve">El Conector sincroniza automáticamente estos metadatos con el</w:t>
      </w:r>
      <w:r>
        <w:t xml:space="preserve"> </w:t>
      </w:r>
      <w:r>
        <w:rPr>
          <w:b/>
          <w:bCs/>
        </w:rPr>
        <w:t xml:space="preserve">Catálogo Central</w:t>
      </w:r>
      <w:r>
        <w:t xml:space="preserve"> </w:t>
      </w:r>
      <w:r>
        <w:t xml:space="preserve">(Broker) para hacerlos descubribles, sin subir los datos reales</w:t>
      </w:r>
      <w:r>
        <w:t xml:space="preserve"> </w:t>
      </w:r>
      <w:r>
        <w:rPr>
          <w:rStyle w:val="VerbatimChar"/>
        </w:rPr>
        <w:t xml:space="preserve">(Ref. Pliego: Apartado 6.1.6.2)</w:t>
      </w:r>
      <w:r>
        <w:t xml:space="preserve">.</w:t>
      </w:r>
    </w:p>
    <w:bookmarkEnd w:id="41"/>
    <w:bookmarkStart w:id="42" w:name="negociación-negotiation"/>
    <w:p>
      <w:pPr>
        <w:pStyle w:val="Heading3"/>
      </w:pPr>
      <w:r>
        <w:t xml:space="preserve">2. Negociación (Negotiation)</w:t>
      </w:r>
    </w:p>
    <w:p>
      <w:pPr>
        <w:pStyle w:val="Compact"/>
        <w:numPr>
          <w:ilvl w:val="0"/>
          <w:numId w:val="1024"/>
        </w:numPr>
      </w:pPr>
      <w:r>
        <w:t xml:space="preserve">El Consumidor localiza el activo en el Catálogo y envía una</w:t>
      </w:r>
      <w:r>
        <w:t xml:space="preserve"> </w:t>
      </w:r>
      <w:r>
        <w:rPr>
          <w:b/>
          <w:bCs/>
        </w:rPr>
        <w:t xml:space="preserve">Solicitud de Contrato</w:t>
      </w:r>
      <w:r>
        <w:t xml:space="preserve"> </w:t>
      </w:r>
      <w:r>
        <w:t xml:space="preserve">a través de su Conector.</w:t>
      </w:r>
    </w:p>
    <w:p>
      <w:pPr>
        <w:pStyle w:val="Compact"/>
        <w:numPr>
          <w:ilvl w:val="0"/>
          <w:numId w:val="1024"/>
        </w:numPr>
      </w:pPr>
      <w:r>
        <w:t xml:space="preserve">El Conector del Proveedor evalúa automáticamente si el Consumidor cumple las políticas (ej.</w:t>
      </w:r>
      <w:r>
        <w:t xml:space="preserve"> </w:t>
      </w:r>
      <w:r>
        <w:t xml:space="preserve">“¿Es una universidad?”</w:t>
      </w:r>
      <w:r>
        <w:t xml:space="preserve">).</w:t>
      </w:r>
    </w:p>
    <w:p>
      <w:pPr>
        <w:pStyle w:val="Compact"/>
        <w:numPr>
          <w:ilvl w:val="0"/>
          <w:numId w:val="1024"/>
        </w:numPr>
      </w:pPr>
      <w:r>
        <w:t xml:space="preserve">Si se acepta, se firma digitalmente un</w:t>
      </w:r>
      <w:r>
        <w:t xml:space="preserve"> </w:t>
      </w:r>
      <w:r>
        <w:rPr>
          <w:b/>
          <w:bCs/>
        </w:rPr>
        <w:t xml:space="preserve">Acuerdo de Contrato</w:t>
      </w:r>
      <w:r>
        <w:t xml:space="preserve"> </w:t>
      </w:r>
      <w:r>
        <w:t xml:space="preserve">que se almacena en ambos conectores</w:t>
      </w:r>
      <w:r>
        <w:t xml:space="preserve"> </w:t>
      </w:r>
      <w:r>
        <w:rPr>
          <w:rStyle w:val="VerbatimChar"/>
        </w:rPr>
        <w:t xml:space="preserve">(Ref. Pliego: Apartado 6.1.11.4)</w:t>
      </w:r>
      <w:r>
        <w:t xml:space="preserve">.</w:t>
      </w:r>
    </w:p>
    <w:bookmarkEnd w:id="42"/>
    <w:bookmarkStart w:id="43" w:name="transferencia-y-registro-transfer-log"/>
    <w:p>
      <w:pPr>
        <w:pStyle w:val="Heading3"/>
      </w:pPr>
      <w:r>
        <w:t xml:space="preserve">3. Transferencia y Registro (Transfer &amp; Log)</w:t>
      </w:r>
    </w:p>
    <w:p>
      <w:pPr>
        <w:pStyle w:val="Compact"/>
        <w:numPr>
          <w:ilvl w:val="0"/>
          <w:numId w:val="1025"/>
        </w:numPr>
      </w:pPr>
      <w:r>
        <w:t xml:space="preserve">Se establece un canal seguro y cifrado punto a punto para la transferencia del activo.</w:t>
      </w:r>
    </w:p>
    <w:p>
      <w:pPr>
        <w:pStyle w:val="Compact"/>
        <w:numPr>
          <w:ilvl w:val="0"/>
          <w:numId w:val="1025"/>
        </w:numPr>
      </w:pPr>
      <w:r>
        <w:t xml:space="preserve">La transacción se registra (metadatos de la operación, hash del contrato) en el</w:t>
      </w:r>
      <w:r>
        <w:t xml:space="preserve"> </w:t>
      </w:r>
      <w:r>
        <w:rPr>
          <w:b/>
          <w:bCs/>
        </w:rPr>
        <w:t xml:space="preserve">Centro de Intercambio de Información (Clearing House)</w:t>
      </w:r>
      <w:r>
        <w:t xml:space="preserve"> </w:t>
      </w:r>
      <w:r>
        <w:t xml:space="preserve">para garantizar la trazabilidad y no repudio</w:t>
      </w:r>
      <w:r>
        <w:t xml:space="preserve"> </w:t>
      </w:r>
      <w:r>
        <w:rPr>
          <w:rStyle w:val="VerbatimChar"/>
        </w:rPr>
        <w:t xml:space="preserve">(Ref. Pliego: Apartado 6.1.10)</w:t>
      </w:r>
      <w:r>
        <w:t xml:space="preserve">.</w:t>
      </w:r>
    </w:p>
    <w:p>
      <w:r>
        <w:pict>
          <v:rect style="width:0;height:1.5pt" o:hralign="center" o:hrstd="t" o:hr="t"/>
        </w:pict>
      </w:r>
    </w:p>
    <w:bookmarkEnd w:id="43"/>
    <w:bookmarkEnd w:id="44"/>
    <w:bookmarkStart w:id="45" w:name="salida-del-espacio-offboarding"/>
    <w:p>
      <w:pPr>
        <w:pStyle w:val="Heading2"/>
      </w:pPr>
      <w:r>
        <w:t xml:space="preserve">3.4. Salida del Espacio (Offboarding)</w:t>
      </w:r>
    </w:p>
    <w:p>
      <w:pPr>
        <w:pStyle w:val="Compact"/>
        <w:numPr>
          <w:ilvl w:val="0"/>
          <w:numId w:val="1026"/>
        </w:numPr>
      </w:pPr>
      <w:r>
        <w:rPr>
          <w:b/>
          <w:bCs/>
        </w:rPr>
        <w:t xml:space="preserve">Salida Voluntaria:</w:t>
      </w:r>
      <w:r>
        <w:t xml:space="preserve"> </w:t>
      </w:r>
      <w:r>
        <w:t xml:space="preserve">Mediante notificación a la Autoridad con 30 días de antelación. Implica la revocación de certificados y la baja en el Catálogo.</w:t>
      </w:r>
    </w:p>
    <w:p>
      <w:pPr>
        <w:pStyle w:val="Compact"/>
        <w:numPr>
          <w:ilvl w:val="0"/>
          <w:numId w:val="1026"/>
        </w:numPr>
      </w:pPr>
      <w:r>
        <w:rPr>
          <w:b/>
          <w:bCs/>
        </w:rPr>
        <w:t xml:space="preserve">Expulsión Forzosa:</w:t>
      </w:r>
      <w:r>
        <w:t xml:space="preserve"> </w:t>
      </w:r>
      <w:r>
        <w:t xml:space="preserve">La Autoridad revocará inmediatamente las credenciales de cualquier participante que viole el Acuerdo de Adhesión o comprometa la seguridad del ecosistema.</w:t>
      </w:r>
    </w:p>
    <w:p>
      <w:pPr>
        <w:pStyle w:val="Compact"/>
        <w:numPr>
          <w:ilvl w:val="0"/>
          <w:numId w:val="1026"/>
        </w:numPr>
      </w:pPr>
      <w:r>
        <w:rPr>
          <w:b/>
          <w:bCs/>
        </w:rPr>
        <w:t xml:space="preserve">Persistencia:</w:t>
      </w:r>
      <w:r>
        <w:t xml:space="preserve"> </w:t>
      </w:r>
      <w:r>
        <w:t xml:space="preserve">La salida no exime de las obligaciones de confidencialidad ni de los derechos de uso adquiridos legítimamente antes de la fecha de baja, salvo estipulación contraria en las políticas de uso (Cláusula de Supervivencia).</w:t>
      </w:r>
    </w:p>
    <w:p>
      <w:r>
        <w:pict>
          <v:rect style="width:0;height:1.5pt" o:hralign="center" o:hrstd="t" o:hr="t"/>
        </w:pict>
      </w:r>
    </w:p>
    <w:bookmarkEnd w:id="45"/>
    <w:bookmarkEnd w:id="46"/>
    <w:bookmarkStart w:id="58" w:name="X6f2d0fe0f7c9baf8a0d407f19fdb7e045c3a653"/>
    <w:p>
      <w:pPr>
        <w:pStyle w:val="Heading1"/>
      </w:pPr>
      <w:r>
        <w:t xml:space="preserve">CAPÍTULO 4: MARCO TÉCNICO Y ESTÁNDARES DE INTEROPERABILIDAD</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Validación de Arquitectura</w:t>
      </w:r>
      <w:r>
        <w:br/>
      </w:r>
      <w:r>
        <w:rPr>
          <w:b/>
          <w:bCs/>
        </w:rPr>
        <w:t xml:space="preserve">Referencia del Proyecto:</w:t>
      </w:r>
      <w:r>
        <w:t xml:space="preserve"> </w:t>
      </w:r>
      <w:r>
        <w:t xml:space="preserve">Expediente 71-7-2.01-0004/2025 (Dimensión Técnica)</w:t>
      </w:r>
    </w:p>
    <w:p>
      <w:r>
        <w:pict>
          <v:rect style="width:0;height:1.5pt" o:hralign="center" o:hrstd="t" o:hr="t"/>
        </w:pict>
      </w:r>
    </w:p>
    <w:bookmarkStart w:id="48" w:name="arquitectura-de-referencia"/>
    <w:p>
      <w:pPr>
        <w:pStyle w:val="Heading2"/>
      </w:pPr>
      <w:r>
        <w:t xml:space="preserve">4.1. Arquitectura de Referencia</w:t>
      </w:r>
    </w:p>
    <w:p>
      <w:pPr>
        <w:pStyle w:val="FirstParagraph"/>
      </w:pPr>
      <w:r>
        <w:t xml:space="preserve">El NEL-DS implementa una arquitectura distribuida y federada, alineada con el modelo</w:t>
      </w:r>
      <w:r>
        <w:t xml:space="preserve"> </w:t>
      </w:r>
      <w:r>
        <w:rPr>
          <w:b/>
          <w:bCs/>
        </w:rPr>
        <w:t xml:space="preserve">IDS-RAM 4.0</w:t>
      </w:r>
      <w:r>
        <w:t xml:space="preserve"> </w:t>
      </w:r>
      <w:r>
        <w:t xml:space="preserve">(International Data Spaces Reference Architecture Model) y las especificaciones de convergencia técnica del</w:t>
      </w:r>
      <w:r>
        <w:t xml:space="preserve"> </w:t>
      </w:r>
      <w:r>
        <w:rPr>
          <w:b/>
          <w:bCs/>
        </w:rPr>
        <w:t xml:space="preserve">DSSC</w:t>
      </w:r>
      <w:r>
        <w:t xml:space="preserve"> </w:t>
      </w:r>
      <w:r>
        <w:t xml:space="preserve">(Data Spaces Support Centre)</w:t>
      </w:r>
      <w:r>
        <w:t xml:space="preserve"> </w:t>
      </w:r>
      <w:r>
        <w:rPr>
          <w:rStyle w:val="VerbatimChar"/>
        </w:rPr>
        <w:t xml:space="preserve">(Ref. Pliego: Apartado 5.5 y 6.1.4)</w:t>
      </w:r>
      <w:r>
        <w:t xml:space="preserve">.</w:t>
      </w:r>
    </w:p>
    <w:bookmarkStart w:id="47" w:name="principios-arquitectónicos"/>
    <w:p>
      <w:pPr>
        <w:pStyle w:val="Heading3"/>
      </w:pPr>
      <w:r>
        <w:t xml:space="preserve">Principios Arquitectónicos</w:t>
      </w:r>
    </w:p>
    <w:p>
      <w:pPr>
        <w:pStyle w:val="Compact"/>
        <w:numPr>
          <w:ilvl w:val="0"/>
          <w:numId w:val="1027"/>
        </w:numPr>
      </w:pPr>
      <w:r>
        <w:rPr>
          <w:b/>
          <w:bCs/>
        </w:rPr>
        <w:t xml:space="preserve">Descentralización:</w:t>
      </w:r>
      <w:r>
        <w:t xml:space="preserve"> </w:t>
      </w:r>
      <w:r>
        <w:t xml:space="preserve">No existe un almacenamiento central de datos. Los activos residen en los sistemas de origen (infraestructura del Proveedor) y se transfieren</w:t>
      </w:r>
      <w:r>
        <w:t xml:space="preserve"> </w:t>
      </w:r>
      <w:r>
        <w:rPr>
          <w:i/>
          <w:iCs/>
        </w:rPr>
        <w:t xml:space="preserve">Peer-to-Peer</w:t>
      </w:r>
      <w:r>
        <w:t xml:space="preserve"> </w:t>
      </w:r>
      <w:r>
        <w:t xml:space="preserve">(P2P) al Consumidor.</w:t>
      </w:r>
    </w:p>
    <w:p>
      <w:pPr>
        <w:pStyle w:val="Compact"/>
        <w:numPr>
          <w:ilvl w:val="0"/>
          <w:numId w:val="1027"/>
        </w:numPr>
      </w:pPr>
      <w:r>
        <w:rPr>
          <w:b/>
          <w:bCs/>
        </w:rPr>
        <w:t xml:space="preserve">Separación de Planos:</w:t>
      </w:r>
      <w:r>
        <w:t xml:space="preserve"> </w:t>
      </w:r>
      <w:r>
        <w:t xml:space="preserve">Se distingue estrictamente entre el</w:t>
      </w:r>
      <w:r>
        <w:t xml:space="preserve"> </w:t>
      </w:r>
      <w:r>
        <w:rPr>
          <w:b/>
          <w:bCs/>
        </w:rPr>
        <w:t xml:space="preserve">Plano de Control</w:t>
      </w:r>
      <w:r>
        <w:t xml:space="preserve"> </w:t>
      </w:r>
      <w:r>
        <w:t xml:space="preserve">(gestión de identidad, metadatos y contratos) y el</w:t>
      </w:r>
      <w:r>
        <w:t xml:space="preserve"> </w:t>
      </w:r>
      <w:r>
        <w:rPr>
          <w:b/>
          <w:bCs/>
        </w:rPr>
        <w:t xml:space="preserve">Plano de Datos</w:t>
      </w:r>
      <w:r>
        <w:t xml:space="preserve"> </w:t>
      </w:r>
      <w:r>
        <w:t xml:space="preserve">(transferencia del contenido real).</w:t>
      </w:r>
    </w:p>
    <w:p>
      <w:pPr>
        <w:pStyle w:val="Compact"/>
        <w:numPr>
          <w:ilvl w:val="0"/>
          <w:numId w:val="1027"/>
        </w:numPr>
      </w:pPr>
      <w:r>
        <w:rPr>
          <w:b/>
          <w:bCs/>
        </w:rPr>
        <w:t xml:space="preserve">Neutralidad Tecnológica:</w:t>
      </w:r>
      <w:r>
        <w:t xml:space="preserve"> </w:t>
      </w:r>
      <w:r>
        <w:t xml:space="preserve">Los componentes son agnósticos a la infraestructura subyacente (Cloud, On-Premise, Edge)</w:t>
      </w:r>
      <w:r>
        <w:t xml:space="preserve"> </w:t>
      </w:r>
      <w:r>
        <w:rPr>
          <w:rStyle w:val="VerbatimChar"/>
        </w:rPr>
        <w:t xml:space="preserve">(Ref. Pliego: Apartado 5.17.2)</w:t>
      </w:r>
      <w:r>
        <w:t xml:space="preserve">.</w:t>
      </w:r>
    </w:p>
    <w:p>
      <w:r>
        <w:pict>
          <v:rect style="width:0;height:1.5pt" o:hralign="center" o:hrstd="t" o:hr="t"/>
        </w:pict>
      </w:r>
    </w:p>
    <w:bookmarkEnd w:id="47"/>
    <w:bookmarkEnd w:id="48"/>
    <w:bookmarkStart w:id="51" w:name="especificaciones-del-paquete-conector"/>
    <w:p>
      <w:pPr>
        <w:pStyle w:val="Heading2"/>
      </w:pPr>
      <w:r>
        <w:t xml:space="preserve">4.2. Especificaciones del Paquete Conector</w:t>
      </w:r>
    </w:p>
    <w:p>
      <w:pPr>
        <w:pStyle w:val="FirstParagraph"/>
      </w:pPr>
      <w:r>
        <w:t xml:space="preserve">El</w:t>
      </w:r>
      <w:r>
        <w:t xml:space="preserve"> </w:t>
      </w:r>
      <w:r>
        <w:rPr>
          <w:b/>
          <w:bCs/>
        </w:rPr>
        <w:t xml:space="preserve">Conector</w:t>
      </w:r>
      <w:r>
        <w:t xml:space="preserve"> </w:t>
      </w:r>
      <w:r>
        <w:t xml:space="preserve">es el componente de software obligatorio que actúa como puerta de enlace segura para cualquier participante. Debe cumplir las siguientes especificaciones técnicas</w:t>
      </w:r>
      <w:r>
        <w:t xml:space="preserve"> </w:t>
      </w:r>
      <w:r>
        <w:rPr>
          <w:rStyle w:val="VerbatimChar"/>
        </w:rPr>
        <w:t xml:space="preserve">(Ref. Pliego: Apartado 6.1.8)</w:t>
      </w:r>
      <w:r>
        <w:t xml:space="preserve">:</w:t>
      </w:r>
    </w:p>
    <w:bookmarkStart w:id="49" w:name="a.-requisitos-funcionales-del-conector"/>
    <w:p>
      <w:pPr>
        <w:pStyle w:val="Heading3"/>
      </w:pPr>
      <w:r>
        <w:t xml:space="preserve">A. Requisitos Funcionales del Conector</w:t>
      </w:r>
    </w:p>
    <w:p>
      <w:pPr>
        <w:pStyle w:val="Compact"/>
        <w:numPr>
          <w:ilvl w:val="0"/>
          <w:numId w:val="1028"/>
        </w:numPr>
      </w:pPr>
      <w:r>
        <w:rPr>
          <w:b/>
          <w:bCs/>
        </w:rPr>
        <w:t xml:space="preserve">Protocolo de Comunicación:</w:t>
      </w:r>
      <w:r>
        <w:t xml:space="preserve"> </w:t>
      </w:r>
      <w:r>
        <w:t xml:space="preserve">Debe soportar</w:t>
      </w:r>
      <w:r>
        <w:t xml:space="preserve"> </w:t>
      </w:r>
      <w:r>
        <w:rPr>
          <w:b/>
          <w:bCs/>
        </w:rPr>
        <w:t xml:space="preserve">IDSCP2</w:t>
      </w:r>
      <w:r>
        <w:t xml:space="preserve"> </w:t>
      </w:r>
      <w:r>
        <w:t xml:space="preserve">(IDS Communication Protocol) o</w:t>
      </w:r>
      <w:r>
        <w:t xml:space="preserve"> </w:t>
      </w:r>
      <w:r>
        <w:rPr>
          <w:b/>
          <w:bCs/>
        </w:rPr>
        <w:t xml:space="preserve">HTTPS sobre mTLS</w:t>
      </w:r>
      <w:r>
        <w:t xml:space="preserve"> </w:t>
      </w:r>
      <w:r>
        <w:t xml:space="preserve">para asegurar el canal de datos.</w:t>
      </w:r>
    </w:p>
    <w:p>
      <w:pPr>
        <w:pStyle w:val="Compact"/>
        <w:numPr>
          <w:ilvl w:val="0"/>
          <w:numId w:val="1028"/>
        </w:numPr>
      </w:pPr>
      <w:r>
        <w:rPr>
          <w:b/>
          <w:bCs/>
        </w:rPr>
        <w:t xml:space="preserve">Motor de Políticas (Policy Engine):</w:t>
      </w:r>
      <w:r>
        <w:t xml:space="preserve"> </w:t>
      </w:r>
      <w:r>
        <w:t xml:space="preserve">Capacidad nativa para interpretar y ejecutar políticas de uso escritas en lenguaje</w:t>
      </w:r>
      <w:r>
        <w:t xml:space="preserve"> </w:t>
      </w:r>
      <w:r>
        <w:rPr>
          <w:b/>
          <w:bCs/>
        </w:rPr>
        <w:t xml:space="preserve">ODRL</w:t>
      </w:r>
      <w:r>
        <w:t xml:space="preserve"> </w:t>
      </w:r>
      <w:r>
        <w:t xml:space="preserve">(W3C), bloqueando la transferencia si no se cumplen las condiciones</w:t>
      </w:r>
      <w:r>
        <w:t xml:space="preserve"> </w:t>
      </w:r>
      <w:r>
        <w:rPr>
          <w:rStyle w:val="VerbatimChar"/>
        </w:rPr>
        <w:t xml:space="preserve">(Ref. Pliego: Apartado 6.1.8.5)</w:t>
      </w:r>
      <w:r>
        <w:t xml:space="preserve">.</w:t>
      </w:r>
    </w:p>
    <w:p>
      <w:pPr>
        <w:pStyle w:val="Compact"/>
        <w:numPr>
          <w:ilvl w:val="0"/>
          <w:numId w:val="1028"/>
        </w:numPr>
      </w:pPr>
      <w:r>
        <w:rPr>
          <w:b/>
          <w:bCs/>
        </w:rPr>
        <w:t xml:space="preserve">Gestión de Identidad:</w:t>
      </w:r>
      <w:r>
        <w:t xml:space="preserve"> </w:t>
      </w:r>
      <w:r>
        <w:t xml:space="preserve">Integración con carteras de identidad (Wallets) para almacenar y presentar Credenciales Verificables (VCs) y certificados X.509.</w:t>
      </w:r>
    </w:p>
    <w:bookmarkEnd w:id="49"/>
    <w:bookmarkStart w:id="50" w:name="b.-modalidades-de-despliegue-permitidas"/>
    <w:p>
      <w:pPr>
        <w:pStyle w:val="Heading3"/>
      </w:pPr>
      <w:r>
        <w:t xml:space="preserve">B. Modalidades de Despliegue Permitidas</w:t>
      </w:r>
    </w:p>
    <w:p>
      <w:pPr>
        <w:pStyle w:val="FirstParagraph"/>
      </w:pPr>
      <w:r>
        <w:t xml:space="preserve">Para garantizar la universalidad del acceso, se soportan dos topologías de despliegue</w:t>
      </w:r>
      <w:r>
        <w:t xml:space="preserve"> </w:t>
      </w:r>
      <w:r>
        <w:rPr>
          <w:rStyle w:val="VerbatimChar"/>
        </w:rPr>
        <w:t xml:space="preserve">(Ref. Pliego: Apartado 6.1.8 - Alojamiento)</w:t>
      </w:r>
      <w:r>
        <w:t xml:space="preserve">:</w:t>
      </w:r>
      <w:r>
        <w:t xml:space="preserve"> </w:t>
      </w:r>
      <w:r>
        <w:t xml:space="preserve">1.</w:t>
      </w:r>
      <w:r>
        <w:t xml:space="preserve"> </w:t>
      </w:r>
      <w:r>
        <w:rPr>
          <w:b/>
          <w:bCs/>
        </w:rPr>
        <w:t xml:space="preserve">Conector On-Premise (Self-Hosted):</w:t>
      </w:r>
      <w:r>
        <w:t xml:space="preserve"> </w:t>
      </w:r>
      <w:r>
        <w:t xml:space="preserve">Despliegue mediante contenedores (Docker/Kubernetes) en la infraestructura propia del Participante. Requiere IP pública estática y certificados válidos.</w:t>
      </w:r>
      <w:r>
        <w:t xml:space="preserve"> </w:t>
      </w:r>
      <w:r>
        <w:t xml:space="preserve">2.</w:t>
      </w:r>
      <w:r>
        <w:t xml:space="preserve"> </w:t>
      </w:r>
      <w:r>
        <w:rPr>
          <w:b/>
          <w:bCs/>
        </w:rPr>
        <w:t xml:space="preserve">Conector SaaS (Managed):</w:t>
      </w:r>
      <w:r>
        <w:t xml:space="preserve"> </w:t>
      </w:r>
      <w:r>
        <w:t xml:space="preserve">Instancia gestionada (</w:t>
      </w:r>
      <w:r>
        <w:t xml:space="preserve">“Connectors-as-a-Service”</w:t>
      </w:r>
      <w:r>
        <w:t xml:space="preserve">) alojada en la infraestructura de computación del CNIE (Lote 4), facilitando el acceso a entidades con menor madurez digital.</w:t>
      </w:r>
    </w:p>
    <w:p>
      <w:r>
        <w:pict>
          <v:rect style="width:0;height:1.5pt" o:hralign="center" o:hrstd="t" o:hr="t"/>
        </w:pict>
      </w:r>
    </w:p>
    <w:bookmarkEnd w:id="50"/>
    <w:bookmarkEnd w:id="51"/>
    <w:bookmarkStart w:id="54" w:name="estándares-semánticos-y-metadatos"/>
    <w:p>
      <w:pPr>
        <w:pStyle w:val="Heading2"/>
      </w:pPr>
      <w:r>
        <w:t xml:space="preserve">4.3. Estándares Semánticos y Metadatos</w:t>
      </w:r>
    </w:p>
    <w:p>
      <w:pPr>
        <w:pStyle w:val="FirstParagraph"/>
      </w:pPr>
      <w:r>
        <w:t xml:space="preserve">Para evitar silos de información y garantizar la descubribilidad de los recursos lingüísticos, se imponen los siguientes estándares de interoperabilidad semántica</w:t>
      </w:r>
      <w:r>
        <w:t xml:space="preserve"> </w:t>
      </w:r>
      <w:r>
        <w:rPr>
          <w:rStyle w:val="VerbatimChar"/>
        </w:rPr>
        <w:t xml:space="preserve">(Ref. Pliego: Apartado 6.1.9 y 6.1.12.1)</w:t>
      </w:r>
      <w:r>
        <w:t xml:space="preserve">:</w:t>
      </w:r>
    </w:p>
    <w:bookmarkStart w:id="52" w:name="modelo-de-datos-del-catálogo"/>
    <w:p>
      <w:pPr>
        <w:pStyle w:val="Heading3"/>
      </w:pPr>
      <w:r>
        <w:t xml:space="preserve">Modelo de Datos del Catálogo</w:t>
      </w:r>
    </w:p>
    <w:p>
      <w:pPr>
        <w:pStyle w:val="Compact"/>
        <w:numPr>
          <w:ilvl w:val="0"/>
          <w:numId w:val="1029"/>
        </w:numPr>
      </w:pPr>
      <w:r>
        <w:rPr>
          <w:b/>
          <w:bCs/>
        </w:rPr>
        <w:t xml:space="preserve">Vocabulario Base:</w:t>
      </w:r>
      <w:r>
        <w:t xml:space="preserve"> </w:t>
      </w:r>
      <w:r>
        <w:t xml:space="preserve">Se adopta el estándar</w:t>
      </w:r>
      <w:r>
        <w:t xml:space="preserve"> </w:t>
      </w:r>
      <w:r>
        <w:rPr>
          <w:b/>
          <w:bCs/>
        </w:rPr>
        <w:t xml:space="preserve">DCAT-AP</w:t>
      </w:r>
      <w:r>
        <w:t xml:space="preserve"> </w:t>
      </w:r>
      <w:r>
        <w:t xml:space="preserve">(Data Catalog Vocabulary - Application Profile) como esquema raíz para la publicación de metadatos.</w:t>
      </w:r>
    </w:p>
    <w:p>
      <w:pPr>
        <w:pStyle w:val="Compact"/>
        <w:numPr>
          <w:ilvl w:val="0"/>
          <w:numId w:val="1029"/>
        </w:numPr>
      </w:pPr>
      <w:r>
        <w:rPr>
          <w:b/>
          <w:bCs/>
        </w:rPr>
        <w:t xml:space="preserve">Extensiones Sectoriales:</w:t>
      </w:r>
      <w:r>
        <w:t xml:space="preserve"> </w:t>
      </w:r>
      <w:r>
        <w:t xml:space="preserve">Se incorporarán propiedades específicas del dominio lingüístico alineadas con el</w:t>
      </w:r>
      <w:r>
        <w:t xml:space="preserve"> </w:t>
      </w:r>
      <w:r>
        <w:rPr>
          <w:b/>
          <w:bCs/>
        </w:rPr>
        <w:t xml:space="preserve">Language Data Space (LDS)</w:t>
      </w:r>
      <w:r>
        <w:t xml:space="preserve"> </w:t>
      </w:r>
      <w:r>
        <w:t xml:space="preserve">y</w:t>
      </w:r>
      <w:r>
        <w:t xml:space="preserve"> </w:t>
      </w:r>
      <w:r>
        <w:rPr>
          <w:b/>
          <w:bCs/>
        </w:rPr>
        <w:t xml:space="preserve">ELG (European Language Grid)</w:t>
      </w:r>
      <w:r>
        <w:t xml:space="preserve">, tales como:</w:t>
      </w:r>
    </w:p>
    <w:p>
      <w:pPr>
        <w:pStyle w:val="Compact"/>
        <w:numPr>
          <w:ilvl w:val="1"/>
          <w:numId w:val="1030"/>
        </w:numPr>
      </w:pPr>
      <w:r>
        <w:rPr>
          <w:rStyle w:val="VerbatimChar"/>
        </w:rPr>
        <w:t xml:space="preserve">lds:language</w:t>
      </w:r>
      <w:r>
        <w:t xml:space="preserve"> </w:t>
      </w:r>
      <w:r>
        <w:t xml:space="preserve">(Código ISO 639-1/3)</w:t>
      </w:r>
    </w:p>
    <w:p>
      <w:pPr>
        <w:pStyle w:val="Compact"/>
        <w:numPr>
          <w:ilvl w:val="1"/>
          <w:numId w:val="1030"/>
        </w:numPr>
      </w:pPr>
      <w:r>
        <w:rPr>
          <w:rStyle w:val="VerbatimChar"/>
        </w:rPr>
        <w:t xml:space="preserve">lds:dialect</w:t>
      </w:r>
      <w:r>
        <w:t xml:space="preserve"> </w:t>
      </w:r>
      <w:r>
        <w:t xml:space="preserve">(Región/Variante)</w:t>
      </w:r>
    </w:p>
    <w:p>
      <w:pPr>
        <w:pStyle w:val="Compact"/>
        <w:numPr>
          <w:ilvl w:val="1"/>
          <w:numId w:val="1030"/>
        </w:numPr>
      </w:pPr>
      <w:r>
        <w:rPr>
          <w:rStyle w:val="VerbatimChar"/>
        </w:rPr>
        <w:t xml:space="preserve">lds:mediaType</w:t>
      </w:r>
      <w:r>
        <w:t xml:space="preserve"> </w:t>
      </w:r>
      <w:r>
        <w:t xml:space="preserve">(audio/wav, text/plain, model/onnx)</w:t>
      </w:r>
    </w:p>
    <w:p>
      <w:pPr>
        <w:pStyle w:val="Compact"/>
        <w:numPr>
          <w:ilvl w:val="1"/>
          <w:numId w:val="1030"/>
        </w:numPr>
      </w:pPr>
      <w:r>
        <w:rPr>
          <w:rStyle w:val="VerbatimChar"/>
        </w:rPr>
        <w:t xml:space="preserve">lds:domain</w:t>
      </w:r>
      <w:r>
        <w:t xml:space="preserve"> </w:t>
      </w:r>
      <w:r>
        <w:t xml:space="preserve">(Legal, Médico, Turismo)</w:t>
      </w:r>
    </w:p>
    <w:bookmarkEnd w:id="52"/>
    <w:bookmarkStart w:id="53" w:name="intercambio-de-información"/>
    <w:p>
      <w:pPr>
        <w:pStyle w:val="Heading3"/>
      </w:pPr>
      <w:r>
        <w:t xml:space="preserve">Intercambio de Información</w:t>
      </w:r>
    </w:p>
    <w:p>
      <w:pPr>
        <w:pStyle w:val="Compact"/>
        <w:numPr>
          <w:ilvl w:val="0"/>
          <w:numId w:val="1031"/>
        </w:numPr>
      </w:pPr>
      <w:r>
        <w:t xml:space="preserve">Las interfaces de metadatos (Broker) deben exponerse mediante</w:t>
      </w:r>
      <w:r>
        <w:t xml:space="preserve"> </w:t>
      </w:r>
      <w:r>
        <w:rPr>
          <w:b/>
          <w:bCs/>
        </w:rPr>
        <w:t xml:space="preserve">API REST</w:t>
      </w:r>
      <w:r>
        <w:t xml:space="preserve"> </w:t>
      </w:r>
      <w:r>
        <w:t xml:space="preserve">documentadas con</w:t>
      </w:r>
      <w:r>
        <w:t xml:space="preserve"> </w:t>
      </w:r>
      <w:r>
        <w:rPr>
          <w:b/>
          <w:bCs/>
        </w:rPr>
        <w:t xml:space="preserve">OpenAPI 3.0</w:t>
      </w:r>
      <w:r>
        <w:t xml:space="preserve"> </w:t>
      </w:r>
      <w:r>
        <w:rPr>
          <w:rStyle w:val="VerbatimChar"/>
        </w:rPr>
        <w:t xml:space="preserve">(Ref. Pliego: Apartado 6.1.12.1)</w:t>
      </w:r>
      <w:r>
        <w:t xml:space="preserve">.</w:t>
      </w:r>
    </w:p>
    <w:p>
      <w:pPr>
        <w:pStyle w:val="Compact"/>
        <w:numPr>
          <w:ilvl w:val="0"/>
          <w:numId w:val="1031"/>
        </w:numPr>
      </w:pPr>
      <w:r>
        <w:t xml:space="preserve">Los metadatos se serializarán preferentemente en formato</w:t>
      </w:r>
      <w:r>
        <w:t xml:space="preserve"> </w:t>
      </w:r>
      <w:r>
        <w:rPr>
          <w:b/>
          <w:bCs/>
        </w:rPr>
        <w:t xml:space="preserve">JSON-LD</w:t>
      </w:r>
      <w:r>
        <w:t xml:space="preserve"> </w:t>
      </w:r>
      <w:r>
        <w:t xml:space="preserve">para facilitar su vinculación semántica.</w:t>
      </w:r>
    </w:p>
    <w:p>
      <w:r>
        <w:pict>
          <v:rect style="width:0;height:1.5pt" o:hralign="center" o:hrstd="t" o:hr="t"/>
        </w:pict>
      </w:r>
    </w:p>
    <w:bookmarkEnd w:id="53"/>
    <w:bookmarkEnd w:id="54"/>
    <w:bookmarkStart w:id="56" w:name="X2bc702264c8a6e03c290a16f58c62c0f244a9d0"/>
    <w:p>
      <w:pPr>
        <w:pStyle w:val="Heading2"/>
      </w:pPr>
      <w:r>
        <w:t xml:space="preserve">4.4. Marco de Identidad y Confianza (Trust Framework)</w:t>
      </w:r>
    </w:p>
    <w:p>
      <w:pPr>
        <w:pStyle w:val="FirstParagraph"/>
      </w:pPr>
      <w:r>
        <w:t xml:space="preserve">La seguridad del espacio se basa en una cadena de confianza criptográfica, alineada con los requisitos de</w:t>
      </w:r>
      <w:r>
        <w:t xml:space="preserve"> </w:t>
      </w:r>
      <w:r>
        <w:rPr>
          <w:b/>
          <w:bCs/>
        </w:rPr>
        <w:t xml:space="preserve">Gaia-X</w:t>
      </w:r>
      <w:r>
        <w:t xml:space="preserve"> </w:t>
      </w:r>
      <w:r>
        <w:t xml:space="preserve">y el futuro reglamento</w:t>
      </w:r>
      <w:r>
        <w:t xml:space="preserve"> </w:t>
      </w:r>
      <w:r>
        <w:rPr>
          <w:b/>
          <w:bCs/>
        </w:rPr>
        <w:t xml:space="preserve">eIDAS 2</w:t>
      </w:r>
      <w:r>
        <w:t xml:space="preserve"> </w:t>
      </w:r>
      <w:r>
        <w:rPr>
          <w:rStyle w:val="VerbatimChar"/>
        </w:rPr>
        <w:t xml:space="preserve">(Ref. Pliego: Apartado 5.18.3 y 6.1.11.3)</w:t>
      </w:r>
      <w:r>
        <w:t xml:space="preserve">.</w:t>
      </w:r>
    </w:p>
    <w:bookmarkStart w:id="55" w:name="componentes-de-identidad"/>
    <w:p>
      <w:pPr>
        <w:pStyle w:val="Heading3"/>
      </w:pPr>
      <w:r>
        <w:t xml:space="preserve">Componentes de Identidad</w:t>
      </w:r>
    </w:p>
    <w:p>
      <w:pPr>
        <w:pStyle w:val="Compact"/>
        <w:numPr>
          <w:ilvl w:val="0"/>
          <w:numId w:val="1032"/>
        </w:numPr>
      </w:pPr>
      <w:r>
        <w:rPr>
          <w:b/>
          <w:bCs/>
        </w:rPr>
        <w:t xml:space="preserve">Identificadores:</w:t>
      </w:r>
      <w:r>
        <w:t xml:space="preserve"> </w:t>
      </w:r>
      <w:r>
        <w:t xml:space="preserve">Uso de</w:t>
      </w:r>
      <w:r>
        <w:t xml:space="preserve"> </w:t>
      </w:r>
      <w:r>
        <w:rPr>
          <w:b/>
          <w:bCs/>
        </w:rPr>
        <w:t xml:space="preserve">DIDs (Decentralized Identifiers)</w:t>
      </w:r>
      <w:r>
        <w:t xml:space="preserve"> </w:t>
      </w:r>
      <w:r>
        <w:t xml:space="preserve">para identificar de forma única y persistente a cada Participante y Conector.</w:t>
      </w:r>
    </w:p>
    <w:p>
      <w:pPr>
        <w:pStyle w:val="Compact"/>
        <w:numPr>
          <w:ilvl w:val="0"/>
          <w:numId w:val="1032"/>
        </w:numPr>
      </w:pPr>
      <w:r>
        <w:rPr>
          <w:b/>
          <w:bCs/>
        </w:rPr>
        <w:t xml:space="preserve">Credenciales:</w:t>
      </w:r>
      <w:r>
        <w:t xml:space="preserve"> </w:t>
      </w:r>
      <w:r>
        <w:t xml:space="preserve">Uso de</w:t>
      </w:r>
      <w:r>
        <w:t xml:space="preserve"> </w:t>
      </w:r>
      <w:r>
        <w:rPr>
          <w:b/>
          <w:bCs/>
        </w:rPr>
        <w:t xml:space="preserve">Verifiable Credentials (VCs)</w:t>
      </w:r>
      <w:r>
        <w:t xml:space="preserve"> </w:t>
      </w:r>
      <w:r>
        <w:t xml:space="preserve">firmadas por Emisores de Confianza (Trust Anchors) para acreditar atributos (ej.</w:t>
      </w:r>
      <w:r>
        <w:t xml:space="preserve"> </w:t>
      </w:r>
      <w:r>
        <w:t xml:space="preserve">“Entidad certificada ENS”</w:t>
      </w:r>
      <w:r>
        <w:t xml:space="preserve">,</w:t>
      </w:r>
      <w:r>
        <w:t xml:space="preserve"> </w:t>
      </w:r>
      <w:r>
        <w:t xml:space="preserve">“Universidad”</w:t>
      </w:r>
      <w:r>
        <w:t xml:space="preserve">).</w:t>
      </w:r>
    </w:p>
    <w:p>
      <w:pPr>
        <w:pStyle w:val="Compact"/>
        <w:numPr>
          <w:ilvl w:val="0"/>
          <w:numId w:val="1032"/>
        </w:numPr>
      </w:pPr>
      <w:r>
        <w:rPr>
          <w:b/>
          <w:bCs/>
        </w:rPr>
        <w:t xml:space="preserve">Certificados de Transporte:</w:t>
      </w:r>
      <w:r>
        <w:t xml:space="preserve"> </w:t>
      </w:r>
      <w:r>
        <w:t xml:space="preserve">Uso obligatorio de certificados</w:t>
      </w:r>
      <w:r>
        <w:t xml:space="preserve"> </w:t>
      </w:r>
      <w:r>
        <w:rPr>
          <w:b/>
          <w:bCs/>
        </w:rPr>
        <w:t xml:space="preserve">X.509</w:t>
      </w:r>
      <w:r>
        <w:t xml:space="preserve"> </w:t>
      </w:r>
      <w:r>
        <w:t xml:space="preserve">emitidos por una CA reconocida para establecer túneles mTLS (autenticación mutua) entre conectores.</w:t>
      </w:r>
    </w:p>
    <w:p>
      <w:r>
        <w:pict>
          <v:rect style="width:0;height:1.5pt" o:hralign="center" o:hrstd="t" o:hr="t"/>
        </w:pict>
      </w:r>
    </w:p>
    <w:bookmarkEnd w:id="55"/>
    <w:bookmarkEnd w:id="56"/>
    <w:bookmarkStart w:id="57" w:name="seguridad-y-cumplimiento-normativo-ens"/>
    <w:p>
      <w:pPr>
        <w:pStyle w:val="Heading2"/>
      </w:pPr>
      <w:r>
        <w:t xml:space="preserve">4.5. Seguridad y Cumplimiento Normativo (ENS)</w:t>
      </w:r>
    </w:p>
    <w:p>
      <w:pPr>
        <w:pStyle w:val="FirstParagraph"/>
      </w:pPr>
      <w:r>
        <w:t xml:space="preserve">Toda la infraestructura central y los conectores gestionados (SaaS) deben cumplir con los requisitos del</w:t>
      </w:r>
      <w:r>
        <w:t xml:space="preserve"> </w:t>
      </w:r>
      <w:r>
        <w:rPr>
          <w:b/>
          <w:bCs/>
        </w:rPr>
        <w:t xml:space="preserve">Esquema Nacional de Seguridad (ENS)</w:t>
      </w:r>
      <w:r>
        <w:t xml:space="preserve"> </w:t>
      </w:r>
      <w:r>
        <w:rPr>
          <w:rStyle w:val="VerbatimChar"/>
        </w:rPr>
        <w:t xml:space="preserve">(Ref. Pliego: Apartado 5.18.1.1)</w:t>
      </w:r>
      <w:r>
        <w:t xml:space="preserve">.</w:t>
      </w:r>
    </w:p>
    <w:p>
      <w:pPr>
        <w:pStyle w:val="Compact"/>
        <w:numPr>
          <w:ilvl w:val="0"/>
          <w:numId w:val="1033"/>
        </w:numPr>
      </w:pPr>
      <w:r>
        <w:rPr>
          <w:b/>
          <w:bCs/>
        </w:rPr>
        <w:t xml:space="preserve">Cifrado:</w:t>
      </w:r>
    </w:p>
    <w:p>
      <w:pPr>
        <w:pStyle w:val="Compact"/>
        <w:numPr>
          <w:ilvl w:val="1"/>
          <w:numId w:val="1034"/>
        </w:numPr>
      </w:pPr>
      <w:r>
        <w:rPr>
          <w:i/>
          <w:iCs/>
        </w:rPr>
        <w:t xml:space="preserve">En tránsito:</w:t>
      </w:r>
      <w:r>
        <w:t xml:space="preserve"> </w:t>
      </w:r>
      <w:r>
        <w:t xml:space="preserve">TLS 1.3 obligatorio para todas las comunicaciones externas.</w:t>
      </w:r>
    </w:p>
    <w:p>
      <w:pPr>
        <w:pStyle w:val="Compact"/>
        <w:numPr>
          <w:ilvl w:val="1"/>
          <w:numId w:val="1034"/>
        </w:numPr>
      </w:pPr>
      <w:r>
        <w:rPr>
          <w:i/>
          <w:iCs/>
        </w:rPr>
        <w:t xml:space="preserve">En reposo:</w:t>
      </w:r>
      <w:r>
        <w:t xml:space="preserve"> </w:t>
      </w:r>
      <w:r>
        <w:t xml:space="preserve">Cifrado de claves y secretos mediante módulos HSM o Vault.</w:t>
      </w:r>
    </w:p>
    <w:p>
      <w:pPr>
        <w:pStyle w:val="Compact"/>
        <w:numPr>
          <w:ilvl w:val="0"/>
          <w:numId w:val="1033"/>
        </w:numPr>
      </w:pPr>
      <w:r>
        <w:rPr>
          <w:b/>
          <w:bCs/>
        </w:rPr>
        <w:t xml:space="preserve">Integridad del Software:</w:t>
      </w:r>
      <w:r>
        <w:t xml:space="preserve"> </w:t>
      </w:r>
      <w:r>
        <w:t xml:space="preserve">Implementación de mecanismos de</w:t>
      </w:r>
      <w:r>
        <w:t xml:space="preserve"> </w:t>
      </w:r>
      <w:r>
        <w:rPr>
          <w:b/>
          <w:bCs/>
        </w:rPr>
        <w:t xml:space="preserve">Atestación Remota</w:t>
      </w:r>
      <w:r>
        <w:t xml:space="preserve"> </w:t>
      </w:r>
      <w:r>
        <w:t xml:space="preserve">(Remote Attestation) para verificar que el código del Conector no ha sido manipulado antes de autorizar una transferencia de datos</w:t>
      </w:r>
      <w:r>
        <w:t xml:space="preserve"> </w:t>
      </w:r>
      <w:r>
        <w:rPr>
          <w:rStyle w:val="VerbatimChar"/>
        </w:rPr>
        <w:t xml:space="preserve">(Ref. Pliego: Apartado 6.1.8.7)</w:t>
      </w:r>
      <w:r>
        <w:t xml:space="preserve">.</w:t>
      </w:r>
    </w:p>
    <w:p>
      <w:pPr>
        <w:pStyle w:val="Compact"/>
        <w:numPr>
          <w:ilvl w:val="0"/>
          <w:numId w:val="1033"/>
        </w:numPr>
      </w:pPr>
      <w:r>
        <w:rPr>
          <w:b/>
          <w:bCs/>
        </w:rPr>
        <w:t xml:space="preserve">Trazabilidad:</w:t>
      </w:r>
      <w:r>
        <w:t xml:space="preserve"> </w:t>
      </w:r>
      <w:r>
        <w:t xml:space="preserve">Registro inmutable de transacciones (log de operaciones) en el componente</w:t>
      </w:r>
      <w:r>
        <w:t xml:space="preserve"> </w:t>
      </w:r>
      <w:r>
        <w:rPr>
          <w:i/>
          <w:iCs/>
        </w:rPr>
        <w:t xml:space="preserve">Clearing House</w:t>
      </w:r>
      <w:r>
        <w:t xml:space="preserve"> </w:t>
      </w:r>
      <w:r>
        <w:t xml:space="preserve">para fines de auditoría y no repudio</w:t>
      </w:r>
      <w:r>
        <w:t xml:space="preserve"> </w:t>
      </w:r>
      <w:r>
        <w:rPr>
          <w:rStyle w:val="VerbatimChar"/>
        </w:rPr>
        <w:t xml:space="preserve">(Ref. Pliego: Apartado 6.1.10)</w:t>
      </w:r>
      <w:r>
        <w:t xml:space="preserve">.</w:t>
      </w:r>
    </w:p>
    <w:p>
      <w:r>
        <w:pict>
          <v:rect style="width:0;height:1.5pt" o:hralign="center" o:hrstd="t" o:hr="t"/>
        </w:pict>
      </w:r>
    </w:p>
    <w:bookmarkEnd w:id="57"/>
    <w:bookmarkEnd w:id="58"/>
    <w:bookmarkStart w:id="62" w:name="X79f4096fde567a95bb08e0e19dbc55e783dfa7c"/>
    <w:p>
      <w:pPr>
        <w:pStyle w:val="Heading1"/>
      </w:pPr>
      <w:r>
        <w:t xml:space="preserve">CAPÍTULO 5: MARCO DE CONFIANZA (TRUST FRAMEWORK)</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Validación de Seguridad</w:t>
      </w:r>
      <w:r>
        <w:br/>
      </w:r>
      <w:r>
        <w:rPr>
          <w:b/>
          <w:bCs/>
        </w:rPr>
        <w:t xml:space="preserve">Referencia del Proyecto:</w:t>
      </w:r>
      <w:r>
        <w:t xml:space="preserve"> </w:t>
      </w:r>
      <w:r>
        <w:t xml:space="preserve">Expediente 71-7-2.01-0004/2025 (Marco de Confianza)</w:t>
      </w:r>
    </w:p>
    <w:p>
      <w:r>
        <w:pict>
          <v:rect style="width:0;height:1.5pt" o:hralign="center" o:hrstd="t" o:hr="t"/>
        </w:pict>
      </w:r>
    </w:p>
    <w:bookmarkStart w:id="59" w:name="X4927111a169313b8c6b7147273c1043df56cdbe"/>
    <w:p>
      <w:pPr>
        <w:pStyle w:val="Heading2"/>
      </w:pPr>
      <w:r>
        <w:t xml:space="preserve">5.1. Lista de Anclas de Confianza (Trust Anchors)</w:t>
      </w:r>
    </w:p>
    <w:p>
      <w:pPr>
        <w:pStyle w:val="FirstParagraph"/>
      </w:pPr>
      <w:r>
        <w:t xml:space="preserve">Para garantizar una identidad federada y segura, el NEL-DS no actúa como único validador, sino que se apoya en una red de</w:t>
      </w:r>
      <w:r>
        <w:t xml:space="preserve"> </w:t>
      </w:r>
      <w:r>
        <w:rPr>
          <w:b/>
          <w:bCs/>
        </w:rPr>
        <w:t xml:space="preserve">Anclas de Confianza</w:t>
      </w:r>
      <w:r>
        <w:t xml:space="preserve">. Solo se aceptarán Credenciales Verificables (VCs) y certificados emitidos por entidades presentes en la</w:t>
      </w:r>
      <w:r>
        <w:t xml:space="preserve"> </w:t>
      </w:r>
      <w:r>
        <w:rPr>
          <w:i/>
          <w:iCs/>
        </w:rPr>
        <w:t xml:space="preserve">Trusted List</w:t>
      </w:r>
      <w:r>
        <w:t xml:space="preserve"> </w:t>
      </w:r>
      <w:r>
        <w:t xml:space="preserve">del espacio</w:t>
      </w:r>
      <w:r>
        <w:t xml:space="preserve"> </w:t>
      </w:r>
      <w:r>
        <w:rPr>
          <w:rStyle w:val="VerbatimChar"/>
        </w:rPr>
        <w:t xml:space="preserve">(Ref. Pliego: Apartado 6.1.5 y 6.1.11.3)</w:t>
      </w:r>
      <w:r>
        <w:t xml:space="preserve">.</w:t>
      </w:r>
    </w:p>
    <w:p>
      <w:pPr>
        <w:pStyle w:val="BodyText"/>
      </w:pPr>
      <w:r>
        <w:t xml:space="preserve">Se reconocen dos categorías de emisores:</w:t>
      </w:r>
      <w:r>
        <w:t xml:space="preserve"> </w:t>
      </w:r>
      <w:r>
        <w:t xml:space="preserve">1.</w:t>
      </w:r>
      <w:r>
        <w:t xml:space="preserve"> </w:t>
      </w:r>
      <w:r>
        <w:rPr>
          <w:b/>
          <w:bCs/>
        </w:rPr>
        <w:t xml:space="preserve">Proveedores Cualificados (eIDAS):</w:t>
      </w:r>
      <w:r>
        <w:t xml:space="preserve"> </w:t>
      </w:r>
      <w:r>
        <w:t xml:space="preserve">Prestadores de Servicios de Confianza Cualificados (QTSP) reconocidos en la lista europea (EUTL), válidos para la identificación legal de organizaciones (ej. FNMT, Camerfirma).</w:t>
      </w:r>
      <w:r>
        <w:t xml:space="preserve"> </w:t>
      </w:r>
      <w:r>
        <w:t xml:space="preserve">2.</w:t>
      </w:r>
      <w:r>
        <w:t xml:space="preserve"> </w:t>
      </w:r>
      <w:r>
        <w:rPr>
          <w:b/>
          <w:bCs/>
        </w:rPr>
        <w:t xml:space="preserve">Emisores de Atributos de Negocio:</w:t>
      </w:r>
      <w:r>
        <w:t xml:space="preserve"> </w:t>
      </w:r>
      <w:r>
        <w:t xml:space="preserve">Entidades delegadas por el CNIE para certificar atributos específicos del sector (ej.</w:t>
      </w:r>
      <w:r>
        <w:t xml:space="preserve"> </w:t>
      </w:r>
      <w:r>
        <w:t xml:space="preserve">“Entidad Académica Acreditada”</w:t>
      </w:r>
      <w:r>
        <w:t xml:space="preserve">,</w:t>
      </w:r>
      <w:r>
        <w:t xml:space="preserve"> </w:t>
      </w:r>
      <w:r>
        <w:t xml:space="preserve">“Miembro del PERTE”</w:t>
      </w:r>
      <w:r>
        <w:t xml:space="preserve">).</w:t>
      </w:r>
    </w:p>
    <w:bookmarkEnd w:id="59"/>
    <w:bookmarkStart w:id="60" w:name="X0bd0604a08667c26780742cf108a776427f2977"/>
    <w:p>
      <w:pPr>
        <w:pStyle w:val="Heading2"/>
      </w:pPr>
      <w:r>
        <w:t xml:space="preserve">5.2. Gestión de Identidad Descentralizada (eIDAS 2)</w:t>
      </w:r>
    </w:p>
    <w:p>
      <w:pPr>
        <w:pStyle w:val="FirstParagraph"/>
      </w:pPr>
      <w:r>
        <w:t xml:space="preserve">El NEL-DS se alinea con la arquitectura de referencia de la Cartera de Identidad Digital de la UE (EUDI Wallet)</w:t>
      </w:r>
      <w:r>
        <w:t xml:space="preserve"> </w:t>
      </w:r>
      <w:r>
        <w:rPr>
          <w:rStyle w:val="VerbatimChar"/>
        </w:rPr>
        <w:t xml:space="preserve">(Ref. Pliego: Apartado 5.18.3)</w:t>
      </w:r>
      <w:r>
        <w:t xml:space="preserve">.</w:t>
      </w:r>
    </w:p>
    <w:p>
      <w:pPr>
        <w:pStyle w:val="Compact"/>
        <w:numPr>
          <w:ilvl w:val="0"/>
          <w:numId w:val="1035"/>
        </w:numPr>
      </w:pPr>
      <w:r>
        <w:rPr>
          <w:b/>
          <w:bCs/>
        </w:rPr>
        <w:t xml:space="preserve">Identificadores:</w:t>
      </w:r>
      <w:r>
        <w:t xml:space="preserve"> </w:t>
      </w:r>
      <w:r>
        <w:t xml:space="preserve">Cada participante debe estar identificado mediante un</w:t>
      </w:r>
      <w:r>
        <w:t xml:space="preserve"> </w:t>
      </w:r>
      <w:r>
        <w:rPr>
          <w:b/>
          <w:bCs/>
        </w:rPr>
        <w:t xml:space="preserve">DID (Decentralized Identifier)</w:t>
      </w:r>
      <w:r>
        <w:t xml:space="preserve"> </w:t>
      </w:r>
      <w:r>
        <w:t xml:space="preserve">único, resoluble y persistente.</w:t>
      </w:r>
    </w:p>
    <w:p>
      <w:pPr>
        <w:pStyle w:val="Compact"/>
        <w:numPr>
          <w:ilvl w:val="0"/>
          <w:numId w:val="1035"/>
        </w:numPr>
      </w:pPr>
      <w:r>
        <w:rPr>
          <w:b/>
          <w:bCs/>
        </w:rPr>
        <w:t xml:space="preserve">Credenciales Verificables (VCs):</w:t>
      </w:r>
      <w:r>
        <w:t xml:space="preserve"> </w:t>
      </w:r>
      <w:r>
        <w:t xml:space="preserve">Los participantes deben presentar VCs firmadas criptográficamente para acceder a los servicios. El formato de las credenciales seguirá el modelo de datos de</w:t>
      </w:r>
      <w:r>
        <w:t xml:space="preserve"> </w:t>
      </w:r>
      <w:r>
        <w:rPr>
          <w:b/>
          <w:bCs/>
        </w:rPr>
        <w:t xml:space="preserve">W3C</w:t>
      </w:r>
      <w:r>
        <w:t xml:space="preserve"> </w:t>
      </w:r>
      <w:r>
        <w:t xml:space="preserve">y</w:t>
      </w:r>
      <w:r>
        <w:t xml:space="preserve"> </w:t>
      </w:r>
      <w:r>
        <w:rPr>
          <w:b/>
          <w:bCs/>
        </w:rPr>
        <w:t xml:space="preserve">Gaia-X</w:t>
      </w:r>
      <w:r>
        <w:t xml:space="preserve">.</w:t>
      </w:r>
    </w:p>
    <w:bookmarkEnd w:id="60"/>
    <w:bookmarkStart w:id="61" w:name="certificación-de-componentes-y-software"/>
    <w:p>
      <w:pPr>
        <w:pStyle w:val="Heading2"/>
      </w:pPr>
      <w:r>
        <w:t xml:space="preserve">5.3. Certificación de Componentes y Software</w:t>
      </w:r>
    </w:p>
    <w:p>
      <w:pPr>
        <w:pStyle w:val="FirstParagraph"/>
      </w:pPr>
      <w:r>
        <w:t xml:space="preserve">Para mantener la integridad de la red, no se permite la conexión de software no verificado.</w:t>
      </w:r>
    </w:p>
    <w:p>
      <w:pPr>
        <w:pStyle w:val="Compact"/>
        <w:numPr>
          <w:ilvl w:val="0"/>
          <w:numId w:val="1036"/>
        </w:numPr>
      </w:pPr>
      <w:r>
        <w:rPr>
          <w:b/>
          <w:bCs/>
        </w:rPr>
        <w:t xml:space="preserve">Homologación del Conector:</w:t>
      </w:r>
      <w:r>
        <w:t xml:space="preserve"> </w:t>
      </w:r>
      <w:r>
        <w:t xml:space="preserve">Todo Conector que desee unirse a la red productiva debe superar el</w:t>
      </w:r>
      <w:r>
        <w:t xml:space="preserve"> </w:t>
      </w:r>
      <w:r>
        <w:rPr>
          <w:b/>
          <w:bCs/>
        </w:rPr>
        <w:t xml:space="preserve">Test de Interoperabilidad</w:t>
      </w:r>
      <w:r>
        <w:t xml:space="preserve"> </w:t>
      </w:r>
      <w:r>
        <w:t xml:space="preserve">automatizado en el entorno de Sandbox</w:t>
      </w:r>
      <w:r>
        <w:t xml:space="preserve"> </w:t>
      </w:r>
      <w:r>
        <w:rPr>
          <w:rStyle w:val="VerbatimChar"/>
        </w:rPr>
        <w:t xml:space="preserve">(Ref. Pliego: Apartado 6.1.11.1)</w:t>
      </w:r>
      <w:r>
        <w:t xml:space="preserve">.</w:t>
      </w:r>
    </w:p>
    <w:p>
      <w:pPr>
        <w:pStyle w:val="Compact"/>
        <w:numPr>
          <w:ilvl w:val="0"/>
          <w:numId w:val="1036"/>
        </w:numPr>
      </w:pPr>
      <w:r>
        <w:rPr>
          <w:b/>
          <w:bCs/>
        </w:rPr>
        <w:t xml:space="preserve">Atestación Remota (Remote Attestation):</w:t>
      </w:r>
      <w:r>
        <w:t xml:space="preserve"> </w:t>
      </w:r>
      <w:r>
        <w:t xml:space="preserve">Los conectores deben implementar mecanismos técnicos que permitan verificar criptográficamente la integridad de su código en tiempo de ejecución, garantizando que no han sido manipulados por el participante para evadir las políticas de uso</w:t>
      </w:r>
      <w:r>
        <w:t xml:space="preserve"> </w:t>
      </w:r>
      <w:r>
        <w:rPr>
          <w:rStyle w:val="VerbatimChar"/>
        </w:rPr>
        <w:t xml:space="preserve">(Ref. Pliego: Apartado 6.1.8.7)</w:t>
      </w:r>
      <w:r>
        <w:t xml:space="preserve">.</w:t>
      </w:r>
    </w:p>
    <w:p>
      <w:r>
        <w:pict>
          <v:rect style="width:0;height:1.5pt" o:hralign="center" o:hrstd="t" o:hr="t"/>
        </w:pict>
      </w:r>
    </w:p>
    <w:bookmarkEnd w:id="61"/>
    <w:bookmarkEnd w:id="62"/>
    <w:bookmarkStart w:id="63" w:name="anexo-i-modelo-de-acuerdo-de-adhesión"/>
    <w:p>
      <w:pPr>
        <w:pStyle w:val="Heading1"/>
      </w:pPr>
      <w:r>
        <w:t xml:space="preserve">ANEXO I: MODELO DE ACUERDO DE ADHESIÓN</w:t>
      </w:r>
    </w:p>
    <w:p>
      <w:pPr>
        <w:pStyle w:val="FirstParagraph"/>
      </w:pPr>
      <w:r>
        <w:rPr>
          <w:i/>
          <w:iCs/>
        </w:rPr>
        <w:t xml:space="preserve">(Plantilla normativa para la incorporación de nuevos participantes conforme al Apartado 6.1.11.2 del Pliego)</w:t>
      </w:r>
    </w:p>
    <w:p>
      <w:pPr>
        <w:pStyle w:val="BodyText"/>
      </w:pPr>
      <w:r>
        <w:rPr>
          <w:b/>
          <w:bCs/>
        </w:rPr>
        <w:t xml:space="preserve">REUNIDOS</w:t>
      </w:r>
    </w:p>
    <w:p>
      <w:pPr>
        <w:pStyle w:val="BodyText"/>
      </w:pPr>
      <w:r>
        <w:t xml:space="preserve">De una parte, el</w:t>
      </w:r>
      <w:r>
        <w:t xml:space="preserve"> </w:t>
      </w:r>
      <w:r>
        <w:rPr>
          <w:b/>
          <w:bCs/>
        </w:rPr>
        <w:t xml:space="preserve">CENTRO NACIONAL DE INDUSTRIAS DEL ESPAÑOL (CNIE)</w:t>
      </w:r>
      <w:r>
        <w:t xml:space="preserve">, con NIF [—-], en calidad de</w:t>
      </w:r>
      <w:r>
        <w:t xml:space="preserve"> </w:t>
      </w:r>
      <w:r>
        <w:rPr>
          <w:b/>
          <w:bCs/>
        </w:rPr>
        <w:t xml:space="preserve">Autoridad del Espacio de Datos</w:t>
      </w:r>
      <w:r>
        <w:t xml:space="preserve">.</w:t>
      </w:r>
    </w:p>
    <w:p>
      <w:pPr>
        <w:pStyle w:val="BodyText"/>
      </w:pPr>
      <w:r>
        <w:t xml:space="preserve">De otra parte,</w:t>
      </w:r>
      <w:r>
        <w:t xml:space="preserve"> </w:t>
      </w:r>
      <w:r>
        <w:rPr>
          <w:b/>
          <w:bCs/>
        </w:rPr>
        <w:t xml:space="preserve">[RAZÓN SOCIAL DEL PARTICIPANTE]</w:t>
      </w:r>
      <w:r>
        <w:t xml:space="preserve">, con NIF [—-], en adelante el</w:t>
      </w:r>
      <w:r>
        <w:t xml:space="preserve"> </w:t>
      </w:r>
      <w:r>
        <w:rPr>
          <w:b/>
          <w:bCs/>
        </w:rPr>
        <w:t xml:space="preserve">“Participante”</w:t>
      </w:r>
      <w:r>
        <w:t xml:space="preserve">.</w:t>
      </w:r>
    </w:p>
    <w:p>
      <w:pPr>
        <w:pStyle w:val="BodyText"/>
      </w:pPr>
      <w:r>
        <w:rPr>
          <w:b/>
          <w:bCs/>
        </w:rPr>
        <w:t xml:space="preserve">EXPONEN</w:t>
      </w:r>
    </w:p>
    <w:p>
      <w:pPr>
        <w:pStyle w:val="BodyText"/>
      </w:pPr>
      <w:r>
        <w:t xml:space="preserve">Que el Participante ha superado satisfactoriamente el proceso de homologación técnica y desea integrarse en el Espacio de Datos de la Nueva Economía de la Lengua (NEL-DS).</w:t>
      </w:r>
    </w:p>
    <w:p>
      <w:pPr>
        <w:pStyle w:val="BodyText"/>
      </w:pPr>
      <w:r>
        <w:rPr>
          <w:b/>
          <w:bCs/>
        </w:rPr>
        <w:t xml:space="preserve">CLÁUSULAS</w:t>
      </w:r>
    </w:p>
    <w:p>
      <w:pPr>
        <w:pStyle w:val="BodyText"/>
      </w:pPr>
      <w:r>
        <w:rPr>
          <w:b/>
          <w:bCs/>
        </w:rPr>
        <w:t xml:space="preserve">PRIMERA. OBJETO</w:t>
      </w:r>
      <w:r>
        <w:t xml:space="preserve"> </w:t>
      </w:r>
      <w:r>
        <w:t xml:space="preserve">El presente Acuerdo formaliza la adhesión del Participante al NEL-DS y su aceptación íntegra, incondicional y vinculante del</w:t>
      </w:r>
      <w:r>
        <w:t xml:space="preserve"> </w:t>
      </w:r>
      <w:r>
        <w:rPr>
          <w:b/>
          <w:bCs/>
        </w:rPr>
        <w:t xml:space="preserve">Marco de Gobernanza (Rulebook)</w:t>
      </w:r>
      <w:r>
        <w:t xml:space="preserve"> </w:t>
      </w:r>
      <w:r>
        <w:t xml:space="preserve">vigente, el cual se incorpora a este contrato por referencia dinámica (incluyendo sus futuras actualizaciones aprobadas por los órganos de gobierno).</w:t>
      </w:r>
    </w:p>
    <w:p>
      <w:pPr>
        <w:pStyle w:val="BodyText"/>
      </w:pPr>
      <w:r>
        <w:rPr>
          <w:b/>
          <w:bCs/>
        </w:rPr>
        <w:t xml:space="preserve">SEGUNDA. REPRESENTACIONES Y GARANTÍAS</w:t>
      </w:r>
      <w:r>
        <w:t xml:space="preserve"> </w:t>
      </w:r>
      <w:r>
        <w:t xml:space="preserve">El Participante declara y garantiza que:</w:t>
      </w:r>
      <w:r>
        <w:t xml:space="preserve"> </w:t>
      </w:r>
      <w:r>
        <w:t xml:space="preserve">1. Posee la capacidad legal necesaria para suscribir este acuerdo.</w:t>
      </w:r>
      <w:r>
        <w:t xml:space="preserve"> </w:t>
      </w:r>
      <w:r>
        <w:t xml:space="preserve">2. Ostenta la titularidad legítima o las licencias necesarias de Propiedad Intelectual sobre los Activos de Datos que publique en el Catálogo.</w:t>
      </w:r>
      <w:r>
        <w:t xml:space="preserve"> </w:t>
      </w:r>
      <w:r>
        <w:t xml:space="preserve">3. Su infraestructura técnica (Conector) cumple con los requisitos de seguridad del Esquema Nacional de Seguridad (ENS) aplicables.</w:t>
      </w:r>
    </w:p>
    <w:p>
      <w:pPr>
        <w:pStyle w:val="BodyText"/>
      </w:pPr>
      <w:r>
        <w:rPr>
          <w:b/>
          <w:bCs/>
        </w:rPr>
        <w:t xml:space="preserve">TERCERA. SOBERANÍA Y POLÍTICAS DE USO</w:t>
      </w:r>
      <w:r>
        <w:t xml:space="preserve"> </w:t>
      </w:r>
      <w:r>
        <w:t xml:space="preserve">El Participante reconoce que el intercambio de datos se rige por las</w:t>
      </w:r>
      <w:r>
        <w:t xml:space="preserve"> </w:t>
      </w:r>
      <w:r>
        <w:rPr>
          <w:b/>
          <w:bCs/>
        </w:rPr>
        <w:t xml:space="preserve">Políticas de Uso</w:t>
      </w:r>
      <w:r>
        <w:t xml:space="preserve"> </w:t>
      </w:r>
      <w:r>
        <w:t xml:space="preserve">(contratos digitales) negociadas técnicamente entre conectores. El Participante se obliga a no eludir, modificar o desactivar los mecanismos técnicos de control de uso implementados en el software certificado.</w:t>
      </w:r>
    </w:p>
    <w:p>
      <w:pPr>
        <w:pStyle w:val="BodyText"/>
      </w:pPr>
      <w:r>
        <w:rPr>
          <w:b/>
          <w:bCs/>
        </w:rPr>
        <w:t xml:space="preserve">CUARTA. RÉGIMEN DE RESPONSABILIDAD</w:t>
      </w:r>
      <w:r>
        <w:t xml:space="preserve"> </w:t>
      </w:r>
      <w:r>
        <w:t xml:space="preserve">El Participante asume la responsabilidad exclusiva frente a terceros por la exactitud, legalidad y calidad de los datos que comparta. El Participante exonera a la Autoridad (CNIE) de cualquier responsabilidad derivada del contenido de los datos intercambiados</w:t>
      </w:r>
      <w:r>
        <w:t xml:space="preserve"> </w:t>
      </w:r>
      <w:r>
        <w:rPr>
          <w:i/>
          <w:iCs/>
        </w:rPr>
        <w:t xml:space="preserve">peer-to-peer</w:t>
      </w:r>
      <w:r>
        <w:t xml:space="preserve">, reconociendo que el CNIE actúa como mero facilitador de la infraestructura de confianza.</w:t>
      </w:r>
    </w:p>
    <w:p>
      <w:pPr>
        <w:pStyle w:val="BodyText"/>
      </w:pPr>
      <w:r>
        <w:rPr>
          <w:b/>
          <w:bCs/>
        </w:rPr>
        <w:t xml:space="preserve">QUINTA. PROTECCIÓN DE DATOS Y CONFIDENCIALIDAD</w:t>
      </w:r>
      <w:r>
        <w:t xml:space="preserve"> </w:t>
      </w:r>
      <w:r>
        <w:t xml:space="preserve">Ambas partes se comprometen al estricto cumplimiento del RGPD. El Participante garantiza haber aplicado las técnicas de anonimización requeridas (especialmente en corpus orales) antes de la ingesta de cualquier dato en el espacio.</w:t>
      </w:r>
    </w:p>
    <w:p>
      <w:pPr>
        <w:pStyle w:val="BodyText"/>
      </w:pPr>
      <w:r>
        <w:rPr>
          <w:b/>
          <w:bCs/>
        </w:rPr>
        <w:t xml:space="preserve">SEXTA. VIGENCIA Y TERMINACIÓN</w:t>
      </w:r>
      <w:r>
        <w:t xml:space="preserve"> </w:t>
      </w:r>
      <w:r>
        <w:t xml:space="preserve">El presente acuerdo tiene una vigencia indefinida. El Participante podrá resolverlo voluntariamente mediante notificación con 30 días de antelación (Offboarding). La Autoridad podrá resolverlo de inmediato en caso de incumplimiento grave del Rulebook, revocando las credenciales de acceso.</w:t>
      </w:r>
    </w:p>
    <w:p>
      <w:pPr>
        <w:pStyle w:val="BodyText"/>
      </w:pPr>
      <w:r>
        <w:rPr>
          <w:b/>
          <w:bCs/>
        </w:rPr>
        <w:t xml:space="preserve">Y en prueba de conformidad, firman digitalmente el presente documento.</w:t>
      </w:r>
    </w:p>
    <w:p>
      <w:r>
        <w:pict>
          <v:rect style="width:0;height:1.5pt" o:hralign="center" o:hrstd="t" o:hr="t"/>
        </w:pict>
      </w:r>
    </w:p>
    <w:bookmarkEnd w:id="63"/>
    <w:bookmarkStart w:id="68" w:name="policies"/>
    <w:p>
      <w:pPr>
        <w:pStyle w:val="Heading1"/>
      </w:pPr>
      <w:r>
        <w:t xml:space="preserve">Policies</w:t>
      </w:r>
    </w:p>
    <w:bookmarkStart w:id="64" w:name="n1_training.json"/>
    <w:p>
      <w:pPr>
        <w:pStyle w:val="Heading2"/>
      </w:pPr>
      <w:r>
        <w:t xml:space="preserve">n1_training.json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"http://www.w3.org/ns/odrl.jsonld"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"Policy"</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"http://nel-dataspace.es/policy/n1-training"</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"http://www.w3.org/ns/odrl/2/profile/idsc"</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"http://nel-dataspace.es/asset/{ASSET_ID}"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"purpose"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"https://w3id.org/idsa/code/AI_TRAINING"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"location"</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"https://w3id.org/idsa/code/EU"</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"delete"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"elapsedTime"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"P30D"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4"/>
    <w:bookmarkStart w:id="65" w:name="n2_academic.json"/>
    <w:p>
      <w:pPr>
        <w:pStyle w:val="Heading2"/>
      </w:pPr>
      <w:r>
        <w:t xml:space="preserve">n2_academic.json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"http://www.w3.org/ns/odrl.jsonld"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"Policy"</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"http://nel-dataspace.es/policy/n2-academic"</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"http://www.w3.org/ns/odrl/2/profile/idsc"</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"http://nel-dataspace.es/asset/{ASSET_ID}"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"purpose"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"https://w3id.org/idsa/code/RESEARCH"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"payAmount"</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5"/>
    <w:bookmarkStart w:id="66" w:name="n3_timelimit.json"/>
    <w:p>
      <w:pPr>
        <w:pStyle w:val="Heading2"/>
      </w:pPr>
      <w:r>
        <w:t xml:space="preserve">n3_timelimit.json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"http://www.w3.org/ns/odrl.jsonld"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"Policy"</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"http://nel-dataspace.es/policy/n3-timelimit"</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"http://www.w3.org/ns/odrl/2/profile/idsc"</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"http://nel-dataspace.es/asset/{ASSET_ID}"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w:t>
      </w:r>
      <w:r>
        <w:rPr>
          <w:rStyle w:val="FunctionTok"/>
        </w:rPr>
        <w:t xml:space="preserve">,</w:t>
      </w:r>
      <w:r>
        <w:br/>
      </w:r>
      <w:r>
        <w:rPr>
          <w:rStyle w:val="NormalTok"/>
        </w:rPr>
        <w:t xml:space="preserve">            </w:t>
      </w:r>
      <w:r>
        <w:rPr>
          <w:rStyle w:val="DataTypeTok"/>
        </w:rPr>
        <w:t xml:space="preserve">"duty"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"delete"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"elapsedTime"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"P30D"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6"/>
    <w:bookmarkStart w:id="67" w:name="n4_attribution.json"/>
    <w:p>
      <w:pPr>
        <w:pStyle w:val="Heading2"/>
      </w:pPr>
      <w:r>
        <w:t xml:space="preserve">n4_attribution.json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"http://www.w3.org/ns/odrl.jsonld"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"Policy"</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"http://nel-dataspace.es/policy/n4-attribution"</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"http://www.w3.org/ns/odrl/2/profile/idsc"</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"http://nel-dataspace.es/asset/{ASSET_ID}"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w:t>
      </w:r>
      <w:r>
        <w:rPr>
          <w:rStyle w:val="FunctionTok"/>
        </w:rPr>
        <w:t xml:space="preserve">,</w:t>
      </w:r>
      <w:r>
        <w:br/>
      </w:r>
      <w:r>
        <w:rPr>
          <w:rStyle w:val="NormalTok"/>
        </w:rPr>
        <w:t xml:space="preserve">            </w:t>
      </w:r>
      <w:r>
        <w:rPr>
          <w:rStyle w:val="DataTypeTok"/>
        </w:rPr>
        <w:t xml:space="preserve">"duty"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"http://www.w3.org/ns/odrl/2/action/attribute"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"http://www.w3.org/ns/odrl/2/leftOperand/media"</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"online"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CONTRIBUTING.md" TargetMode="External" /><Relationship Type="http://schemas.openxmlformats.org/officeDocument/2006/relationships/hyperlink" Id="rId15" Target="./code/" TargetMode="External" /><Relationship Type="http://schemas.openxmlformats.org/officeDocument/2006/relationships/hyperlink" Id="rId9" Target="./docs/" TargetMode="External" /><Relationship Type="http://schemas.openxmlformats.org/officeDocument/2006/relationships/hyperlink" Id="rId10" Target="./docs/capitulo_1_general.md" TargetMode="External" /><Relationship Type="http://schemas.openxmlformats.org/officeDocument/2006/relationships/hyperlink" Id="rId11" Target="./docs/capitulo_2_legal.md" TargetMode="External" /><Relationship Type="http://schemas.openxmlformats.org/officeDocument/2006/relationships/hyperlink" Id="rId12" Target="./docs/capitulo_3_operativo.md" TargetMode="External" /><Relationship Type="http://schemas.openxmlformats.org/officeDocument/2006/relationships/hyperlink" Id="rId13" Target="./docs/capitulo_4_tecnico.md" TargetMode="External" /><Relationship Type="http://schemas.openxmlformats.org/officeDocument/2006/relationships/hyperlink" Id="rId14" Target="./docs/capitulo_5_confianza_y_anexos.md" TargetMode="External" /><Relationship Type="http://schemas.openxmlformats.org/officeDocument/2006/relationships/hyperlink" Id="rId16" Target="./releases/" TargetMode="External" /></Relationships>
</file>

<file path=word/_rels/footnotes.xml.rels><?xml version="1.0" encoding="UTF-8"?><Relationships xmlns="http://schemas.openxmlformats.org/package/2006/relationships"><Relationship Type="http://schemas.openxmlformats.org/officeDocument/2006/relationships/hyperlink" Id="rId18" Target="./CONTRIBUTING.md" TargetMode="External" /><Relationship Type="http://schemas.openxmlformats.org/officeDocument/2006/relationships/hyperlink" Id="rId15" Target="./code/" TargetMode="External" /><Relationship Type="http://schemas.openxmlformats.org/officeDocument/2006/relationships/hyperlink" Id="rId9" Target="./docs/" TargetMode="External" /><Relationship Type="http://schemas.openxmlformats.org/officeDocument/2006/relationships/hyperlink" Id="rId10" Target="./docs/capitulo_1_general.md" TargetMode="External" /><Relationship Type="http://schemas.openxmlformats.org/officeDocument/2006/relationships/hyperlink" Id="rId11" Target="./docs/capitulo_2_legal.md" TargetMode="External" /><Relationship Type="http://schemas.openxmlformats.org/officeDocument/2006/relationships/hyperlink" Id="rId12" Target="./docs/capitulo_3_operativo.md" TargetMode="External" /><Relationship Type="http://schemas.openxmlformats.org/officeDocument/2006/relationships/hyperlink" Id="rId13" Target="./docs/capitulo_4_tecnico.md" TargetMode="External" /><Relationship Type="http://schemas.openxmlformats.org/officeDocument/2006/relationships/hyperlink" Id="rId14" Target="./docs/capitulo_5_confianza_y_anexos.md" TargetMode="External" /><Relationship Type="http://schemas.openxmlformats.org/officeDocument/2006/relationships/hyperlink" Id="rId16" Target="./rele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NEL-DS Rulebook</dc:title>
  <dc:creator/>
  <cp:keywords/>
  <dcterms:created xsi:type="dcterms:W3CDTF">2025-11-28T09:24:09Z</dcterms:created>
  <dcterms:modified xsi:type="dcterms:W3CDTF">2025-11-28T09:24:09Z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2025-11-28</vt:lpwstr>
  </property>
</Properties>
</file>