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ED6DC8" w:rsidP="00A5375E">
      <w:pPr>
        <w:pStyle w:val="Titre"/>
      </w:pPr>
      <w:r>
        <w:fldChar w:fldCharType="begin"/>
      </w:r>
      <w:r>
        <w:instrText xml:space="preserve"> SUBJECT   \* MERGEFORMAT </w:instrText>
      </w:r>
      <w:r>
        <w:fldChar w:fldCharType="separate"/>
      </w:r>
      <w:r w:rsidR="00A5375E">
        <w:t xml:space="preserve">Refonte des </w:t>
      </w:r>
      <w:proofErr w:type="spellStart"/>
      <w:r w:rsidR="00A5375E">
        <w:t>Géostandards</w:t>
      </w:r>
      <w:proofErr w:type="spellEnd"/>
      <w:r w:rsidR="00A5375E">
        <w:t xml:space="preserve"> Risques</w:t>
      </w:r>
      <w:r>
        <w:fldChar w:fldCharType="end"/>
      </w:r>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77777777"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0.1 - 02 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r w:rsidR="00ED6DC8">
              <w:fldChar w:fldCharType="begin"/>
            </w:r>
            <w:r w:rsidR="00ED6DC8">
              <w:instrText xml:space="preserve"> SUBJECT  \* FirstCap  \* MERGEFORMAT </w:instrText>
            </w:r>
            <w:r w:rsidR="00ED6DC8">
              <w:fldChar w:fldCharType="separate"/>
            </w:r>
            <w:r w:rsidR="00B731DA">
              <w:t xml:space="preserve">Refonte des </w:t>
            </w:r>
            <w:proofErr w:type="spellStart"/>
            <w:r w:rsidR="00B731DA">
              <w:t>Géostandards</w:t>
            </w:r>
            <w:proofErr w:type="spellEnd"/>
            <w:r w:rsidR="00B731DA">
              <w:t xml:space="preserve"> Risques</w:t>
            </w:r>
            <w:r w:rsidR="00ED6DC8">
              <w:fldChar w:fldCharType="end"/>
            </w:r>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ED6DC8" w:rsidP="00AE481D">
            <w:pPr>
              <w:rPr>
                <w:b/>
              </w:rPr>
            </w:pPr>
            <w:fldSimple w:instr="TITLE   \* MERGEFORMAT">
              <w:r w:rsidR="00AE481D">
                <w:t>Synthèse de la phase de consolidation</w:t>
              </w:r>
            </w:fldSimple>
            <w:r w:rsidR="00AE481D"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1DD9499B" w:rsidR="00AE481D" w:rsidRDefault="00AE481D" w:rsidP="00AE481D">
            <w:pPr>
              <w:pStyle w:val="Corpsdetexte"/>
            </w:pPr>
            <w:r w:rsidRPr="002E04CA">
              <w:t>Ce présent document a pour objectif</w:t>
            </w:r>
            <w:del w:id="2" w:author="Marion Dumont" w:date="2022-06-03T14:57:00Z">
              <w:r w:rsidDel="00234731">
                <w:delText>s</w:delText>
              </w:r>
            </w:del>
            <w:r w:rsidRPr="002E04CA">
              <w:t xml:space="preserve"> de </w:t>
            </w:r>
            <w:r>
              <w:t>faire la synthèse des travaux préliminaires du Groupe de Travail CNIG sur la refonte des Géostandards risques</w:t>
            </w:r>
            <w:ins w:id="3" w:author="Marion Dumont" w:date="2022-06-03T14:57:00Z">
              <w:r w:rsidR="00234731">
                <w:t>,</w:t>
              </w:r>
            </w:ins>
            <w:r>
              <w:t xml:space="preserve"> visant à préciser le périmètre et les besoin</w:t>
            </w:r>
            <w:ins w:id="4" w:author="Marion Dumont" w:date="2022-06-03T14:57:00Z">
              <w:r w:rsidR="00234731">
                <w:t>s</w:t>
              </w:r>
            </w:ins>
            <w:r>
              <w:t xml:space="preserve">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77777777" w:rsidR="00E56B0B" w:rsidRPr="00B731DA" w:rsidRDefault="00737FB3" w:rsidP="00A21246">
            <w:pPr>
              <w:rPr>
                <w:b/>
              </w:rPr>
            </w:pPr>
            <w:r w:rsidRPr="00B731DA">
              <w:fldChar w:fldCharType="begin"/>
            </w:r>
            <w:r w:rsidRPr="00B731DA">
              <w:instrText xml:space="preserve"> COMMENTS </w:instrText>
            </w:r>
            <w:r w:rsidRPr="00B731DA">
              <w:fldChar w:fldCharType="separate"/>
            </w:r>
            <w:r w:rsidR="00AE481D">
              <w:t>version 0.1 - 02 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6DFB9E20"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70DF9E56" w14:textId="77777777" w:rsidR="00EA187E" w:rsidRDefault="00EA187E" w:rsidP="0005294E">
            <w:pPr>
              <w:pStyle w:val="Contenudetableau"/>
            </w:pP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03E6208F" w:rsidR="00E56B0B" w:rsidRDefault="00E56B0B" w:rsidP="00737FE3">
      <w:pPr>
        <w:pStyle w:val="Corpsdetexte"/>
      </w:pPr>
      <w:r>
        <w:t xml:space="preserve">Ce présent document a pour objectif de </w:t>
      </w:r>
      <w:r w:rsidR="002E04CA">
        <w:t>faire la synthèse des travaux préliminaires du Groupe de Travail CNIG sur la re</w:t>
      </w:r>
      <w:r w:rsidR="002141D7">
        <w:t xml:space="preserve">fonte des Géostandards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488"/>
        <w:gridCol w:w="1558"/>
        <w:gridCol w:w="5784"/>
      </w:tblGrid>
      <w:tr w:rsidR="00DC40B6" w:rsidRPr="00CD0E5A" w14:paraId="5D213840"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82" w:type="pct"/>
            <w:tcBorders>
              <w:top w:val="single" w:sz="4" w:space="0" w:color="auto"/>
              <w:left w:val="nil"/>
              <w:bottom w:val="single" w:sz="4" w:space="0" w:color="auto"/>
              <w:right w:val="single" w:sz="4" w:space="0" w:color="auto"/>
            </w:tcBorders>
            <w:shd w:val="clear" w:color="auto" w:fill="C6D9F1"/>
            <w:noWrap/>
            <w:vAlign w:val="bottom"/>
          </w:tcPr>
          <w:p w14:paraId="08C35E3C"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Prénom</w:t>
            </w:r>
          </w:p>
        </w:tc>
        <w:tc>
          <w:tcPr>
            <w:tcW w:w="3275" w:type="pct"/>
            <w:tcBorders>
              <w:top w:val="single" w:sz="4" w:space="0" w:color="auto"/>
              <w:left w:val="nil"/>
              <w:bottom w:val="single" w:sz="4" w:space="0" w:color="auto"/>
              <w:right w:val="single" w:sz="4" w:space="0" w:color="auto"/>
            </w:tcBorders>
            <w:shd w:val="clear" w:color="auto" w:fill="C6D9F1"/>
            <w:noWrap/>
            <w:vAlign w:val="bottom"/>
          </w:tcPr>
          <w:p w14:paraId="6C01B90D"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r>
      <w:tr w:rsidR="00CD0E5A" w:rsidRPr="00CD0E5A" w14:paraId="168DCD3B"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Gilles</w:t>
            </w:r>
          </w:p>
        </w:tc>
        <w:tc>
          <w:tcPr>
            <w:tcW w:w="3275"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3F27BCFF"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p>
        </w:tc>
        <w:tc>
          <w:tcPr>
            <w:tcW w:w="882" w:type="pct"/>
            <w:tcBorders>
              <w:top w:val="nil"/>
              <w:left w:val="nil"/>
              <w:bottom w:val="single" w:sz="4" w:space="0" w:color="auto"/>
              <w:right w:val="single" w:sz="4" w:space="0" w:color="auto"/>
            </w:tcBorders>
            <w:shd w:val="clear" w:color="auto" w:fill="auto"/>
            <w:noWrap/>
            <w:vAlign w:val="bottom"/>
            <w:hideMark/>
          </w:tcPr>
          <w:p w14:paraId="5BCE282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Alison</w:t>
            </w:r>
          </w:p>
        </w:tc>
        <w:tc>
          <w:tcPr>
            <w:tcW w:w="3275" w:type="pct"/>
            <w:tcBorders>
              <w:top w:val="nil"/>
              <w:left w:val="nil"/>
              <w:bottom w:val="single" w:sz="4" w:space="0" w:color="auto"/>
              <w:right w:val="single" w:sz="4" w:space="0" w:color="auto"/>
            </w:tcBorders>
            <w:shd w:val="clear" w:color="auto" w:fill="auto"/>
            <w:noWrap/>
            <w:vAlign w:val="bottom"/>
            <w:hideMark/>
          </w:tcPr>
          <w:p w14:paraId="04BC5884"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19219836"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296FEF7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7194DBD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769D0D3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54CD245A"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1231BE67"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36FEB5B0"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30D7AA6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7196D064"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34FF1C98"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6D072C0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48A2191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lastRenderedPageBreak/>
        <w:t>Table des matières</w:t>
      </w:r>
    </w:p>
    <w:p w14:paraId="12744667" w14:textId="77777777" w:rsidR="005B5C68"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5148037" w:history="1">
        <w:r w:rsidR="005B5C68" w:rsidRPr="0042402B">
          <w:rPr>
            <w:rStyle w:val="Lienhypertexte"/>
            <w:noProof/>
          </w:rPr>
          <w:t>A. Travaux effectués</w:t>
        </w:r>
        <w:r w:rsidR="005B5C68">
          <w:rPr>
            <w:noProof/>
          </w:rPr>
          <w:tab/>
        </w:r>
        <w:r w:rsidR="005B5C68">
          <w:rPr>
            <w:noProof/>
          </w:rPr>
          <w:fldChar w:fldCharType="begin"/>
        </w:r>
        <w:r w:rsidR="005B5C68">
          <w:rPr>
            <w:noProof/>
          </w:rPr>
          <w:instrText xml:space="preserve"> PAGEREF _Toc105148037 \h </w:instrText>
        </w:r>
        <w:r w:rsidR="005B5C68">
          <w:rPr>
            <w:noProof/>
          </w:rPr>
        </w:r>
        <w:r w:rsidR="005B5C68">
          <w:rPr>
            <w:noProof/>
          </w:rPr>
          <w:fldChar w:fldCharType="separate"/>
        </w:r>
        <w:r w:rsidR="005B5C68">
          <w:rPr>
            <w:noProof/>
          </w:rPr>
          <w:t>7</w:t>
        </w:r>
        <w:r w:rsidR="005B5C68">
          <w:rPr>
            <w:noProof/>
          </w:rPr>
          <w:fldChar w:fldCharType="end"/>
        </w:r>
      </w:hyperlink>
    </w:p>
    <w:p w14:paraId="11BD9398"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38" w:history="1">
        <w:r w:rsidR="005B5C68" w:rsidRPr="0042402B">
          <w:rPr>
            <w:rStyle w:val="Lienhypertexte"/>
            <w:rFonts w:cs="StarSymbol"/>
            <w:noProof/>
          </w:rPr>
          <w:t>A.1</w:t>
        </w:r>
        <w:r w:rsidR="005B5C68" w:rsidRPr="0042402B">
          <w:rPr>
            <w:rStyle w:val="Lienhypertexte"/>
            <w:noProof/>
          </w:rPr>
          <w:t xml:space="preserve"> Origine et chronologie des travaux</w:t>
        </w:r>
        <w:r w:rsidR="005B5C68">
          <w:rPr>
            <w:noProof/>
          </w:rPr>
          <w:tab/>
        </w:r>
        <w:r w:rsidR="005B5C68">
          <w:rPr>
            <w:noProof/>
          </w:rPr>
          <w:fldChar w:fldCharType="begin"/>
        </w:r>
        <w:r w:rsidR="005B5C68">
          <w:rPr>
            <w:noProof/>
          </w:rPr>
          <w:instrText xml:space="preserve"> PAGEREF _Toc105148038 \h </w:instrText>
        </w:r>
        <w:r w:rsidR="005B5C68">
          <w:rPr>
            <w:noProof/>
          </w:rPr>
        </w:r>
        <w:r w:rsidR="005B5C68">
          <w:rPr>
            <w:noProof/>
          </w:rPr>
          <w:fldChar w:fldCharType="separate"/>
        </w:r>
        <w:r w:rsidR="005B5C68">
          <w:rPr>
            <w:noProof/>
          </w:rPr>
          <w:t>7</w:t>
        </w:r>
        <w:r w:rsidR="005B5C68">
          <w:rPr>
            <w:noProof/>
          </w:rPr>
          <w:fldChar w:fldCharType="end"/>
        </w:r>
      </w:hyperlink>
    </w:p>
    <w:p w14:paraId="30D3EE35"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39" w:history="1">
        <w:r w:rsidR="005B5C68" w:rsidRPr="0042402B">
          <w:rPr>
            <w:rStyle w:val="Lienhypertexte"/>
            <w:rFonts w:cs="StarSymbol"/>
            <w:noProof/>
          </w:rPr>
          <w:t>A.2</w:t>
        </w:r>
        <w:r w:rsidR="005B5C68" w:rsidRPr="0042402B">
          <w:rPr>
            <w:rStyle w:val="Lienhypertexte"/>
            <w:noProof/>
          </w:rPr>
          <w:t xml:space="preserve"> Documents de référence</w:t>
        </w:r>
        <w:r w:rsidR="005B5C68">
          <w:rPr>
            <w:noProof/>
          </w:rPr>
          <w:tab/>
        </w:r>
        <w:r w:rsidR="005B5C68">
          <w:rPr>
            <w:noProof/>
          </w:rPr>
          <w:fldChar w:fldCharType="begin"/>
        </w:r>
        <w:r w:rsidR="005B5C68">
          <w:rPr>
            <w:noProof/>
          </w:rPr>
          <w:instrText xml:space="preserve"> PAGEREF _Toc105148039 \h </w:instrText>
        </w:r>
        <w:r w:rsidR="005B5C68">
          <w:rPr>
            <w:noProof/>
          </w:rPr>
        </w:r>
        <w:r w:rsidR="005B5C68">
          <w:rPr>
            <w:noProof/>
          </w:rPr>
          <w:fldChar w:fldCharType="separate"/>
        </w:r>
        <w:r w:rsidR="005B5C68">
          <w:rPr>
            <w:noProof/>
          </w:rPr>
          <w:t>7</w:t>
        </w:r>
        <w:r w:rsidR="005B5C68">
          <w:rPr>
            <w:noProof/>
          </w:rPr>
          <w:fldChar w:fldCharType="end"/>
        </w:r>
      </w:hyperlink>
    </w:p>
    <w:p w14:paraId="4D6645BD"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40" w:history="1">
        <w:r w:rsidR="005B5C68" w:rsidRPr="0042402B">
          <w:rPr>
            <w:rStyle w:val="Lienhypertexte"/>
            <w:rFonts w:cs="StarSymbol"/>
            <w:noProof/>
          </w:rPr>
          <w:t>A.3</w:t>
        </w:r>
        <w:r w:rsidR="005B5C68" w:rsidRPr="0042402B">
          <w:rPr>
            <w:rStyle w:val="Lienhypertexte"/>
            <w:noProof/>
          </w:rPr>
          <w:t xml:space="preserve"> Thématiques métiers des nouveaux standards</w:t>
        </w:r>
        <w:r w:rsidR="005B5C68">
          <w:rPr>
            <w:noProof/>
          </w:rPr>
          <w:tab/>
        </w:r>
        <w:r w:rsidR="005B5C68">
          <w:rPr>
            <w:noProof/>
          </w:rPr>
          <w:fldChar w:fldCharType="begin"/>
        </w:r>
        <w:r w:rsidR="005B5C68">
          <w:rPr>
            <w:noProof/>
          </w:rPr>
          <w:instrText xml:space="preserve"> PAGEREF _Toc105148040 \h </w:instrText>
        </w:r>
        <w:r w:rsidR="005B5C68">
          <w:rPr>
            <w:noProof/>
          </w:rPr>
        </w:r>
        <w:r w:rsidR="005B5C68">
          <w:rPr>
            <w:noProof/>
          </w:rPr>
          <w:fldChar w:fldCharType="separate"/>
        </w:r>
        <w:r w:rsidR="005B5C68">
          <w:rPr>
            <w:noProof/>
          </w:rPr>
          <w:t>8</w:t>
        </w:r>
        <w:r w:rsidR="005B5C68">
          <w:rPr>
            <w:noProof/>
          </w:rPr>
          <w:fldChar w:fldCharType="end"/>
        </w:r>
      </w:hyperlink>
    </w:p>
    <w:p w14:paraId="678E3F5F"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1" w:history="1">
        <w:r w:rsidR="005B5C68" w:rsidRPr="0042402B">
          <w:rPr>
            <w:rStyle w:val="Lienhypertexte"/>
            <w:noProof/>
          </w:rPr>
          <w:t>A.3.1 Périmètre</w:t>
        </w:r>
        <w:r w:rsidR="005B5C68">
          <w:rPr>
            <w:noProof/>
          </w:rPr>
          <w:tab/>
        </w:r>
        <w:r w:rsidR="005B5C68">
          <w:rPr>
            <w:noProof/>
          </w:rPr>
          <w:fldChar w:fldCharType="begin"/>
        </w:r>
        <w:r w:rsidR="005B5C68">
          <w:rPr>
            <w:noProof/>
          </w:rPr>
          <w:instrText xml:space="preserve"> PAGEREF _Toc105148041 \h </w:instrText>
        </w:r>
        <w:r w:rsidR="005B5C68">
          <w:rPr>
            <w:noProof/>
          </w:rPr>
        </w:r>
        <w:r w:rsidR="005B5C68">
          <w:rPr>
            <w:noProof/>
          </w:rPr>
          <w:fldChar w:fldCharType="separate"/>
        </w:r>
        <w:r w:rsidR="005B5C68">
          <w:rPr>
            <w:noProof/>
          </w:rPr>
          <w:t>8</w:t>
        </w:r>
        <w:r w:rsidR="005B5C68">
          <w:rPr>
            <w:noProof/>
          </w:rPr>
          <w:fldChar w:fldCharType="end"/>
        </w:r>
      </w:hyperlink>
    </w:p>
    <w:p w14:paraId="572205F0"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2" w:history="1">
        <w:r w:rsidR="005B5C68" w:rsidRPr="0042402B">
          <w:rPr>
            <w:rStyle w:val="Lienhypertexte"/>
            <w:noProof/>
          </w:rPr>
          <w:t>A.3.2 Zonage réglementaire</w:t>
        </w:r>
        <w:r w:rsidR="005B5C68">
          <w:rPr>
            <w:noProof/>
          </w:rPr>
          <w:tab/>
        </w:r>
        <w:r w:rsidR="005B5C68">
          <w:rPr>
            <w:noProof/>
          </w:rPr>
          <w:fldChar w:fldCharType="begin"/>
        </w:r>
        <w:r w:rsidR="005B5C68">
          <w:rPr>
            <w:noProof/>
          </w:rPr>
          <w:instrText xml:space="preserve"> PAGEREF _Toc105148042 \h </w:instrText>
        </w:r>
        <w:r w:rsidR="005B5C68">
          <w:rPr>
            <w:noProof/>
          </w:rPr>
        </w:r>
        <w:r w:rsidR="005B5C68">
          <w:rPr>
            <w:noProof/>
          </w:rPr>
          <w:fldChar w:fldCharType="separate"/>
        </w:r>
        <w:r w:rsidR="005B5C68">
          <w:rPr>
            <w:noProof/>
          </w:rPr>
          <w:t>8</w:t>
        </w:r>
        <w:r w:rsidR="005B5C68">
          <w:rPr>
            <w:noProof/>
          </w:rPr>
          <w:fldChar w:fldCharType="end"/>
        </w:r>
      </w:hyperlink>
    </w:p>
    <w:p w14:paraId="4F4AADA4"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3" w:history="1">
        <w:r w:rsidR="005B5C68" w:rsidRPr="0042402B">
          <w:rPr>
            <w:rStyle w:val="Lienhypertexte"/>
            <w:noProof/>
          </w:rPr>
          <w:t>A.3.3 Procédures</w:t>
        </w:r>
        <w:r w:rsidR="005B5C68">
          <w:rPr>
            <w:noProof/>
          </w:rPr>
          <w:tab/>
        </w:r>
        <w:r w:rsidR="005B5C68">
          <w:rPr>
            <w:noProof/>
          </w:rPr>
          <w:fldChar w:fldCharType="begin"/>
        </w:r>
        <w:r w:rsidR="005B5C68">
          <w:rPr>
            <w:noProof/>
          </w:rPr>
          <w:instrText xml:space="preserve"> PAGEREF _Toc105148043 \h </w:instrText>
        </w:r>
        <w:r w:rsidR="005B5C68">
          <w:rPr>
            <w:noProof/>
          </w:rPr>
        </w:r>
        <w:r w:rsidR="005B5C68">
          <w:rPr>
            <w:noProof/>
          </w:rPr>
          <w:fldChar w:fldCharType="separate"/>
        </w:r>
        <w:r w:rsidR="005B5C68">
          <w:rPr>
            <w:noProof/>
          </w:rPr>
          <w:t>9</w:t>
        </w:r>
        <w:r w:rsidR="005B5C68">
          <w:rPr>
            <w:noProof/>
          </w:rPr>
          <w:fldChar w:fldCharType="end"/>
        </w:r>
      </w:hyperlink>
    </w:p>
    <w:p w14:paraId="7EF4442A"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4" w:history="1">
        <w:r w:rsidR="005B5C68" w:rsidRPr="0042402B">
          <w:rPr>
            <w:rStyle w:val="Lienhypertexte"/>
            <w:noProof/>
          </w:rPr>
          <w:t>A.3.4 Aléas</w:t>
        </w:r>
        <w:r w:rsidR="005B5C68">
          <w:rPr>
            <w:noProof/>
          </w:rPr>
          <w:tab/>
        </w:r>
        <w:r w:rsidR="005B5C68">
          <w:rPr>
            <w:noProof/>
          </w:rPr>
          <w:fldChar w:fldCharType="begin"/>
        </w:r>
        <w:r w:rsidR="005B5C68">
          <w:rPr>
            <w:noProof/>
          </w:rPr>
          <w:instrText xml:space="preserve"> PAGEREF _Toc105148044 \h </w:instrText>
        </w:r>
        <w:r w:rsidR="005B5C68">
          <w:rPr>
            <w:noProof/>
          </w:rPr>
        </w:r>
        <w:r w:rsidR="005B5C68">
          <w:rPr>
            <w:noProof/>
          </w:rPr>
          <w:fldChar w:fldCharType="separate"/>
        </w:r>
        <w:r w:rsidR="005B5C68">
          <w:rPr>
            <w:noProof/>
          </w:rPr>
          <w:t>9</w:t>
        </w:r>
        <w:r w:rsidR="005B5C68">
          <w:rPr>
            <w:noProof/>
          </w:rPr>
          <w:fldChar w:fldCharType="end"/>
        </w:r>
      </w:hyperlink>
    </w:p>
    <w:p w14:paraId="7BE80C6B"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5" w:history="1">
        <w:r w:rsidR="005B5C68" w:rsidRPr="0042402B">
          <w:rPr>
            <w:rStyle w:val="Lienhypertexte"/>
            <w:noProof/>
          </w:rPr>
          <w:t>A.3.5 Origine du risque</w:t>
        </w:r>
        <w:r w:rsidR="005B5C68">
          <w:rPr>
            <w:noProof/>
          </w:rPr>
          <w:tab/>
        </w:r>
        <w:r w:rsidR="005B5C68">
          <w:rPr>
            <w:noProof/>
          </w:rPr>
          <w:fldChar w:fldCharType="begin"/>
        </w:r>
        <w:r w:rsidR="005B5C68">
          <w:rPr>
            <w:noProof/>
          </w:rPr>
          <w:instrText xml:space="preserve"> PAGEREF _Toc105148045 \h </w:instrText>
        </w:r>
        <w:r w:rsidR="005B5C68">
          <w:rPr>
            <w:noProof/>
          </w:rPr>
        </w:r>
        <w:r w:rsidR="005B5C68">
          <w:rPr>
            <w:noProof/>
          </w:rPr>
          <w:fldChar w:fldCharType="separate"/>
        </w:r>
        <w:r w:rsidR="005B5C68">
          <w:rPr>
            <w:noProof/>
          </w:rPr>
          <w:t>9</w:t>
        </w:r>
        <w:r w:rsidR="005B5C68">
          <w:rPr>
            <w:noProof/>
          </w:rPr>
          <w:fldChar w:fldCharType="end"/>
        </w:r>
      </w:hyperlink>
    </w:p>
    <w:p w14:paraId="10316D2B"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6" w:history="1">
        <w:r w:rsidR="005B5C68" w:rsidRPr="0042402B">
          <w:rPr>
            <w:rStyle w:val="Lienhypertexte"/>
            <w:noProof/>
          </w:rPr>
          <w:t>A.3.6 Enjeux</w:t>
        </w:r>
        <w:r w:rsidR="005B5C68">
          <w:rPr>
            <w:noProof/>
          </w:rPr>
          <w:tab/>
        </w:r>
        <w:r w:rsidR="005B5C68">
          <w:rPr>
            <w:noProof/>
          </w:rPr>
          <w:fldChar w:fldCharType="begin"/>
        </w:r>
        <w:r w:rsidR="005B5C68">
          <w:rPr>
            <w:noProof/>
          </w:rPr>
          <w:instrText xml:space="preserve"> PAGEREF _Toc105148046 \h </w:instrText>
        </w:r>
        <w:r w:rsidR="005B5C68">
          <w:rPr>
            <w:noProof/>
          </w:rPr>
        </w:r>
        <w:r w:rsidR="005B5C68">
          <w:rPr>
            <w:noProof/>
          </w:rPr>
          <w:fldChar w:fldCharType="separate"/>
        </w:r>
        <w:r w:rsidR="005B5C68">
          <w:rPr>
            <w:noProof/>
          </w:rPr>
          <w:t>9</w:t>
        </w:r>
        <w:r w:rsidR="005B5C68">
          <w:rPr>
            <w:noProof/>
          </w:rPr>
          <w:fldChar w:fldCharType="end"/>
        </w:r>
      </w:hyperlink>
    </w:p>
    <w:p w14:paraId="5335CDAE"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47" w:history="1">
        <w:r w:rsidR="005B5C68" w:rsidRPr="0042402B">
          <w:rPr>
            <w:rStyle w:val="Lienhypertexte"/>
            <w:noProof/>
          </w:rPr>
          <w:t>A.3.7 Cartes</w:t>
        </w:r>
        <w:r w:rsidR="005B5C68">
          <w:rPr>
            <w:noProof/>
          </w:rPr>
          <w:tab/>
        </w:r>
        <w:r w:rsidR="005B5C68">
          <w:rPr>
            <w:noProof/>
          </w:rPr>
          <w:fldChar w:fldCharType="begin"/>
        </w:r>
        <w:r w:rsidR="005B5C68">
          <w:rPr>
            <w:noProof/>
          </w:rPr>
          <w:instrText xml:space="preserve"> PAGEREF _Toc105148047 \h </w:instrText>
        </w:r>
        <w:r w:rsidR="005B5C68">
          <w:rPr>
            <w:noProof/>
          </w:rPr>
        </w:r>
        <w:r w:rsidR="005B5C68">
          <w:rPr>
            <w:noProof/>
          </w:rPr>
          <w:fldChar w:fldCharType="separate"/>
        </w:r>
        <w:r w:rsidR="005B5C68">
          <w:rPr>
            <w:noProof/>
          </w:rPr>
          <w:t>10</w:t>
        </w:r>
        <w:r w:rsidR="005B5C68">
          <w:rPr>
            <w:noProof/>
          </w:rPr>
          <w:fldChar w:fldCharType="end"/>
        </w:r>
      </w:hyperlink>
    </w:p>
    <w:p w14:paraId="52207BDA"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48" w:history="1">
        <w:r w:rsidR="005B5C68" w:rsidRPr="0042402B">
          <w:rPr>
            <w:rStyle w:val="Lienhypertexte"/>
            <w:rFonts w:cs="StarSymbol"/>
            <w:noProof/>
          </w:rPr>
          <w:t>A.4</w:t>
        </w:r>
        <w:r w:rsidR="005B5C68" w:rsidRPr="0042402B">
          <w:rPr>
            <w:rStyle w:val="Lienhypertexte"/>
            <w:noProof/>
          </w:rPr>
          <w:t xml:space="preserve"> Domaines à couvrir</w:t>
        </w:r>
        <w:r w:rsidR="005B5C68">
          <w:rPr>
            <w:noProof/>
          </w:rPr>
          <w:tab/>
        </w:r>
        <w:r w:rsidR="005B5C68">
          <w:rPr>
            <w:noProof/>
          </w:rPr>
          <w:fldChar w:fldCharType="begin"/>
        </w:r>
        <w:r w:rsidR="005B5C68">
          <w:rPr>
            <w:noProof/>
          </w:rPr>
          <w:instrText xml:space="preserve"> PAGEREF _Toc105148048 \h </w:instrText>
        </w:r>
        <w:r w:rsidR="005B5C68">
          <w:rPr>
            <w:noProof/>
          </w:rPr>
        </w:r>
        <w:r w:rsidR="005B5C68">
          <w:rPr>
            <w:noProof/>
          </w:rPr>
          <w:fldChar w:fldCharType="separate"/>
        </w:r>
        <w:r w:rsidR="005B5C68">
          <w:rPr>
            <w:noProof/>
          </w:rPr>
          <w:t>10</w:t>
        </w:r>
        <w:r w:rsidR="005B5C68">
          <w:rPr>
            <w:noProof/>
          </w:rPr>
          <w:fldChar w:fldCharType="end"/>
        </w:r>
      </w:hyperlink>
    </w:p>
    <w:p w14:paraId="433C4CC3"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49" w:history="1">
        <w:r w:rsidR="005B5C68" w:rsidRPr="0042402B">
          <w:rPr>
            <w:rStyle w:val="Lienhypertexte"/>
            <w:rFonts w:cs="StarSymbol"/>
            <w:noProof/>
          </w:rPr>
          <w:t>A.5</w:t>
        </w:r>
        <w:r w:rsidR="005B5C68" w:rsidRPr="0042402B">
          <w:rPr>
            <w:rStyle w:val="Lienhypertexte"/>
            <w:noProof/>
          </w:rPr>
          <w:t xml:space="preserve"> Cartographie des processus</w:t>
        </w:r>
        <w:r w:rsidR="005B5C68">
          <w:rPr>
            <w:noProof/>
          </w:rPr>
          <w:tab/>
        </w:r>
        <w:r w:rsidR="005B5C68">
          <w:rPr>
            <w:noProof/>
          </w:rPr>
          <w:fldChar w:fldCharType="begin"/>
        </w:r>
        <w:r w:rsidR="005B5C68">
          <w:rPr>
            <w:noProof/>
          </w:rPr>
          <w:instrText xml:space="preserve"> PAGEREF _Toc105148049 \h </w:instrText>
        </w:r>
        <w:r w:rsidR="005B5C68">
          <w:rPr>
            <w:noProof/>
          </w:rPr>
        </w:r>
        <w:r w:rsidR="005B5C68">
          <w:rPr>
            <w:noProof/>
          </w:rPr>
          <w:fldChar w:fldCharType="separate"/>
        </w:r>
        <w:r w:rsidR="005B5C68">
          <w:rPr>
            <w:noProof/>
          </w:rPr>
          <w:t>10</w:t>
        </w:r>
        <w:r w:rsidR="005B5C68">
          <w:rPr>
            <w:noProof/>
          </w:rPr>
          <w:fldChar w:fldCharType="end"/>
        </w:r>
      </w:hyperlink>
    </w:p>
    <w:p w14:paraId="7B59A443"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0" w:history="1">
        <w:r w:rsidR="005B5C68" w:rsidRPr="0042402B">
          <w:rPr>
            <w:rStyle w:val="Lienhypertexte"/>
            <w:noProof/>
          </w:rPr>
          <w:t>A.5.1 Processus de publication d’un PPR</w:t>
        </w:r>
        <w:r w:rsidR="005B5C68">
          <w:rPr>
            <w:noProof/>
          </w:rPr>
          <w:tab/>
        </w:r>
        <w:r w:rsidR="005B5C68">
          <w:rPr>
            <w:noProof/>
          </w:rPr>
          <w:fldChar w:fldCharType="begin"/>
        </w:r>
        <w:r w:rsidR="005B5C68">
          <w:rPr>
            <w:noProof/>
          </w:rPr>
          <w:instrText xml:space="preserve"> PAGEREF _Toc105148050 \h </w:instrText>
        </w:r>
        <w:r w:rsidR="005B5C68">
          <w:rPr>
            <w:noProof/>
          </w:rPr>
        </w:r>
        <w:r w:rsidR="005B5C68">
          <w:rPr>
            <w:noProof/>
          </w:rPr>
          <w:fldChar w:fldCharType="separate"/>
        </w:r>
        <w:r w:rsidR="005B5C68">
          <w:rPr>
            <w:noProof/>
          </w:rPr>
          <w:t>11</w:t>
        </w:r>
        <w:r w:rsidR="005B5C68">
          <w:rPr>
            <w:noProof/>
          </w:rPr>
          <w:fldChar w:fldCharType="end"/>
        </w:r>
      </w:hyperlink>
    </w:p>
    <w:p w14:paraId="38FF8CDC"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1" w:history="1">
        <w:r w:rsidR="005B5C68" w:rsidRPr="0042402B">
          <w:rPr>
            <w:rStyle w:val="Lienhypertexte"/>
            <w:noProof/>
          </w:rPr>
          <w:t>A.5.2 Processus de publication d’un TRI</w:t>
        </w:r>
        <w:r w:rsidR="005B5C68">
          <w:rPr>
            <w:noProof/>
          </w:rPr>
          <w:tab/>
        </w:r>
        <w:r w:rsidR="005B5C68">
          <w:rPr>
            <w:noProof/>
          </w:rPr>
          <w:fldChar w:fldCharType="begin"/>
        </w:r>
        <w:r w:rsidR="005B5C68">
          <w:rPr>
            <w:noProof/>
          </w:rPr>
          <w:instrText xml:space="preserve"> PAGEREF _Toc105148051 \h </w:instrText>
        </w:r>
        <w:r w:rsidR="005B5C68">
          <w:rPr>
            <w:noProof/>
          </w:rPr>
        </w:r>
        <w:r w:rsidR="005B5C68">
          <w:rPr>
            <w:noProof/>
          </w:rPr>
          <w:fldChar w:fldCharType="separate"/>
        </w:r>
        <w:r w:rsidR="005B5C68">
          <w:rPr>
            <w:noProof/>
          </w:rPr>
          <w:t>11</w:t>
        </w:r>
        <w:r w:rsidR="005B5C68">
          <w:rPr>
            <w:noProof/>
          </w:rPr>
          <w:fldChar w:fldCharType="end"/>
        </w:r>
      </w:hyperlink>
    </w:p>
    <w:p w14:paraId="3ECBAAC4"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2" w:history="1">
        <w:r w:rsidR="005B5C68" w:rsidRPr="0042402B">
          <w:rPr>
            <w:rStyle w:val="Lienhypertexte"/>
            <w:noProof/>
          </w:rPr>
          <w:t>A.5.3 Processus de publication des Porter à Connaissance</w:t>
        </w:r>
        <w:r w:rsidR="005B5C68">
          <w:rPr>
            <w:noProof/>
          </w:rPr>
          <w:tab/>
        </w:r>
        <w:r w:rsidR="005B5C68">
          <w:rPr>
            <w:noProof/>
          </w:rPr>
          <w:fldChar w:fldCharType="begin"/>
        </w:r>
        <w:r w:rsidR="005B5C68">
          <w:rPr>
            <w:noProof/>
          </w:rPr>
          <w:instrText xml:space="preserve"> PAGEREF _Toc105148052 \h </w:instrText>
        </w:r>
        <w:r w:rsidR="005B5C68">
          <w:rPr>
            <w:noProof/>
          </w:rPr>
        </w:r>
        <w:r w:rsidR="005B5C68">
          <w:rPr>
            <w:noProof/>
          </w:rPr>
          <w:fldChar w:fldCharType="separate"/>
        </w:r>
        <w:r w:rsidR="005B5C68">
          <w:rPr>
            <w:noProof/>
          </w:rPr>
          <w:t>12</w:t>
        </w:r>
        <w:r w:rsidR="005B5C68">
          <w:rPr>
            <w:noProof/>
          </w:rPr>
          <w:fldChar w:fldCharType="end"/>
        </w:r>
      </w:hyperlink>
    </w:p>
    <w:p w14:paraId="2662E8B0"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53" w:history="1">
        <w:r w:rsidR="005B5C68" w:rsidRPr="0042402B">
          <w:rPr>
            <w:rStyle w:val="Lienhypertexte"/>
            <w:rFonts w:cs="StarSymbol"/>
            <w:noProof/>
          </w:rPr>
          <w:t>A.6</w:t>
        </w:r>
        <w:r w:rsidR="005B5C68" w:rsidRPr="0042402B">
          <w:rPr>
            <w:rStyle w:val="Lienhypertexte"/>
            <w:noProof/>
          </w:rPr>
          <w:t xml:space="preserve"> Autres discussions</w:t>
        </w:r>
        <w:r w:rsidR="005B5C68">
          <w:rPr>
            <w:noProof/>
          </w:rPr>
          <w:tab/>
        </w:r>
        <w:r w:rsidR="005B5C68">
          <w:rPr>
            <w:noProof/>
          </w:rPr>
          <w:fldChar w:fldCharType="begin"/>
        </w:r>
        <w:r w:rsidR="005B5C68">
          <w:rPr>
            <w:noProof/>
          </w:rPr>
          <w:instrText xml:space="preserve"> PAGEREF _Toc105148053 \h </w:instrText>
        </w:r>
        <w:r w:rsidR="005B5C68">
          <w:rPr>
            <w:noProof/>
          </w:rPr>
        </w:r>
        <w:r w:rsidR="005B5C68">
          <w:rPr>
            <w:noProof/>
          </w:rPr>
          <w:fldChar w:fldCharType="separate"/>
        </w:r>
        <w:r w:rsidR="005B5C68">
          <w:rPr>
            <w:noProof/>
          </w:rPr>
          <w:t>13</w:t>
        </w:r>
        <w:r w:rsidR="005B5C68">
          <w:rPr>
            <w:noProof/>
          </w:rPr>
          <w:fldChar w:fldCharType="end"/>
        </w:r>
      </w:hyperlink>
    </w:p>
    <w:p w14:paraId="3B85665A"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4" w:history="1">
        <w:r w:rsidR="005B5C68" w:rsidRPr="0042402B">
          <w:rPr>
            <w:rStyle w:val="Lienhypertexte"/>
            <w:noProof/>
          </w:rPr>
          <w:t>A.6.1 Licences</w:t>
        </w:r>
        <w:r w:rsidR="005B5C68">
          <w:rPr>
            <w:noProof/>
          </w:rPr>
          <w:tab/>
        </w:r>
        <w:r w:rsidR="005B5C68">
          <w:rPr>
            <w:noProof/>
          </w:rPr>
          <w:fldChar w:fldCharType="begin"/>
        </w:r>
        <w:r w:rsidR="005B5C68">
          <w:rPr>
            <w:noProof/>
          </w:rPr>
          <w:instrText xml:space="preserve"> PAGEREF _Toc105148054 \h </w:instrText>
        </w:r>
        <w:r w:rsidR="005B5C68">
          <w:rPr>
            <w:noProof/>
          </w:rPr>
        </w:r>
        <w:r w:rsidR="005B5C68">
          <w:rPr>
            <w:noProof/>
          </w:rPr>
          <w:fldChar w:fldCharType="separate"/>
        </w:r>
        <w:r w:rsidR="005B5C68">
          <w:rPr>
            <w:noProof/>
          </w:rPr>
          <w:t>13</w:t>
        </w:r>
        <w:r w:rsidR="005B5C68">
          <w:rPr>
            <w:noProof/>
          </w:rPr>
          <w:fldChar w:fldCharType="end"/>
        </w:r>
      </w:hyperlink>
    </w:p>
    <w:p w14:paraId="07B4704D"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5" w:history="1">
        <w:r w:rsidR="005B5C68" w:rsidRPr="0042402B">
          <w:rPr>
            <w:rStyle w:val="Lienhypertexte"/>
            <w:noProof/>
          </w:rPr>
          <w:t>A.6.2 Enjeux</w:t>
        </w:r>
        <w:r w:rsidR="005B5C68">
          <w:rPr>
            <w:noProof/>
          </w:rPr>
          <w:tab/>
        </w:r>
        <w:r w:rsidR="005B5C68">
          <w:rPr>
            <w:noProof/>
          </w:rPr>
          <w:fldChar w:fldCharType="begin"/>
        </w:r>
        <w:r w:rsidR="005B5C68">
          <w:rPr>
            <w:noProof/>
          </w:rPr>
          <w:instrText xml:space="preserve"> PAGEREF _Toc105148055 \h </w:instrText>
        </w:r>
        <w:r w:rsidR="005B5C68">
          <w:rPr>
            <w:noProof/>
          </w:rPr>
        </w:r>
        <w:r w:rsidR="005B5C68">
          <w:rPr>
            <w:noProof/>
          </w:rPr>
          <w:fldChar w:fldCharType="separate"/>
        </w:r>
        <w:r w:rsidR="005B5C68">
          <w:rPr>
            <w:noProof/>
          </w:rPr>
          <w:t>13</w:t>
        </w:r>
        <w:r w:rsidR="005B5C68">
          <w:rPr>
            <w:noProof/>
          </w:rPr>
          <w:fldChar w:fldCharType="end"/>
        </w:r>
      </w:hyperlink>
    </w:p>
    <w:p w14:paraId="3044F923" w14:textId="77777777" w:rsidR="005B5C68" w:rsidRDefault="00850961">
      <w:pPr>
        <w:pStyle w:val="TM1"/>
        <w:rPr>
          <w:rFonts w:asciiTheme="minorHAnsi" w:eastAsiaTheme="minorEastAsia" w:hAnsiTheme="minorHAnsi" w:cstheme="minorBidi"/>
          <w:b w:val="0"/>
          <w:noProof/>
          <w:kern w:val="0"/>
          <w:sz w:val="22"/>
          <w:szCs w:val="22"/>
          <w:lang w:val="en-US" w:eastAsia="en-US"/>
        </w:rPr>
      </w:pPr>
      <w:hyperlink w:anchor="_Toc105148056" w:history="1">
        <w:r w:rsidR="005B5C68" w:rsidRPr="0042402B">
          <w:rPr>
            <w:rStyle w:val="Lienhypertexte"/>
            <w:noProof/>
          </w:rPr>
          <w:t>B. Conclusions et actions à venir du groupe de travail</w:t>
        </w:r>
        <w:r w:rsidR="005B5C68">
          <w:rPr>
            <w:noProof/>
          </w:rPr>
          <w:tab/>
        </w:r>
        <w:r w:rsidR="005B5C68">
          <w:rPr>
            <w:noProof/>
          </w:rPr>
          <w:fldChar w:fldCharType="begin"/>
        </w:r>
        <w:r w:rsidR="005B5C68">
          <w:rPr>
            <w:noProof/>
          </w:rPr>
          <w:instrText xml:space="preserve"> PAGEREF _Toc105148056 \h </w:instrText>
        </w:r>
        <w:r w:rsidR="005B5C68">
          <w:rPr>
            <w:noProof/>
          </w:rPr>
        </w:r>
        <w:r w:rsidR="005B5C68">
          <w:rPr>
            <w:noProof/>
          </w:rPr>
          <w:fldChar w:fldCharType="separate"/>
        </w:r>
        <w:r w:rsidR="005B5C68">
          <w:rPr>
            <w:noProof/>
          </w:rPr>
          <w:t>14</w:t>
        </w:r>
        <w:r w:rsidR="005B5C68">
          <w:rPr>
            <w:noProof/>
          </w:rPr>
          <w:fldChar w:fldCharType="end"/>
        </w:r>
      </w:hyperlink>
    </w:p>
    <w:p w14:paraId="61169246"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57" w:history="1">
        <w:r w:rsidR="005B5C68" w:rsidRPr="0042402B">
          <w:rPr>
            <w:rStyle w:val="Lienhypertexte"/>
            <w:rFonts w:cs="StarSymbol"/>
            <w:noProof/>
          </w:rPr>
          <w:t>B.1</w:t>
        </w:r>
        <w:r w:rsidR="005B5C68" w:rsidRPr="0042402B">
          <w:rPr>
            <w:rStyle w:val="Lienhypertexte"/>
            <w:noProof/>
          </w:rPr>
          <w:t xml:space="preserve"> Périmètre des nouveaux standards risques</w:t>
        </w:r>
        <w:r w:rsidR="005B5C68">
          <w:rPr>
            <w:noProof/>
          </w:rPr>
          <w:tab/>
        </w:r>
        <w:r w:rsidR="005B5C68">
          <w:rPr>
            <w:noProof/>
          </w:rPr>
          <w:fldChar w:fldCharType="begin"/>
        </w:r>
        <w:r w:rsidR="005B5C68">
          <w:rPr>
            <w:noProof/>
          </w:rPr>
          <w:instrText xml:space="preserve"> PAGEREF _Toc105148057 \h </w:instrText>
        </w:r>
        <w:r w:rsidR="005B5C68">
          <w:rPr>
            <w:noProof/>
          </w:rPr>
        </w:r>
        <w:r w:rsidR="005B5C68">
          <w:rPr>
            <w:noProof/>
          </w:rPr>
          <w:fldChar w:fldCharType="separate"/>
        </w:r>
        <w:r w:rsidR="005B5C68">
          <w:rPr>
            <w:noProof/>
          </w:rPr>
          <w:t>14</w:t>
        </w:r>
        <w:r w:rsidR="005B5C68">
          <w:rPr>
            <w:noProof/>
          </w:rPr>
          <w:fldChar w:fldCharType="end"/>
        </w:r>
      </w:hyperlink>
    </w:p>
    <w:p w14:paraId="39F66A1C"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8" w:history="1">
        <w:r w:rsidR="005B5C68" w:rsidRPr="0042402B">
          <w:rPr>
            <w:rStyle w:val="Lienhypertexte"/>
            <w:noProof/>
            <w:lang w:val="en-US"/>
          </w:rPr>
          <w:t>B.1.1</w:t>
        </w:r>
        <w:r w:rsidR="005B5C68" w:rsidRPr="0042402B">
          <w:rPr>
            <w:rStyle w:val="Lienhypertexte"/>
            <w:noProof/>
          </w:rPr>
          <w:t xml:space="preserve"> PPR</w:t>
        </w:r>
        <w:r w:rsidR="005B5C68">
          <w:rPr>
            <w:noProof/>
          </w:rPr>
          <w:tab/>
        </w:r>
        <w:r w:rsidR="005B5C68">
          <w:rPr>
            <w:noProof/>
          </w:rPr>
          <w:fldChar w:fldCharType="begin"/>
        </w:r>
        <w:r w:rsidR="005B5C68">
          <w:rPr>
            <w:noProof/>
          </w:rPr>
          <w:instrText xml:space="preserve"> PAGEREF _Toc105148058 \h </w:instrText>
        </w:r>
        <w:r w:rsidR="005B5C68">
          <w:rPr>
            <w:noProof/>
          </w:rPr>
        </w:r>
        <w:r w:rsidR="005B5C68">
          <w:rPr>
            <w:noProof/>
          </w:rPr>
          <w:fldChar w:fldCharType="separate"/>
        </w:r>
        <w:r w:rsidR="005B5C68">
          <w:rPr>
            <w:noProof/>
          </w:rPr>
          <w:t>14</w:t>
        </w:r>
        <w:r w:rsidR="005B5C68">
          <w:rPr>
            <w:noProof/>
          </w:rPr>
          <w:fldChar w:fldCharType="end"/>
        </w:r>
      </w:hyperlink>
    </w:p>
    <w:p w14:paraId="3D51967A"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59" w:history="1">
        <w:r w:rsidR="005B5C68" w:rsidRPr="0042402B">
          <w:rPr>
            <w:rStyle w:val="Lienhypertexte"/>
            <w:noProof/>
          </w:rPr>
          <w:t>B.1.2 TRI</w:t>
        </w:r>
        <w:r w:rsidR="005B5C68">
          <w:rPr>
            <w:noProof/>
          </w:rPr>
          <w:tab/>
        </w:r>
        <w:r w:rsidR="005B5C68">
          <w:rPr>
            <w:noProof/>
          </w:rPr>
          <w:fldChar w:fldCharType="begin"/>
        </w:r>
        <w:r w:rsidR="005B5C68">
          <w:rPr>
            <w:noProof/>
          </w:rPr>
          <w:instrText xml:space="preserve"> PAGEREF _Toc105148059 \h </w:instrText>
        </w:r>
        <w:r w:rsidR="005B5C68">
          <w:rPr>
            <w:noProof/>
          </w:rPr>
        </w:r>
        <w:r w:rsidR="005B5C68">
          <w:rPr>
            <w:noProof/>
          </w:rPr>
          <w:fldChar w:fldCharType="separate"/>
        </w:r>
        <w:r w:rsidR="005B5C68">
          <w:rPr>
            <w:noProof/>
          </w:rPr>
          <w:t>14</w:t>
        </w:r>
        <w:r w:rsidR="005B5C68">
          <w:rPr>
            <w:noProof/>
          </w:rPr>
          <w:fldChar w:fldCharType="end"/>
        </w:r>
      </w:hyperlink>
    </w:p>
    <w:p w14:paraId="7E06AC25"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0" w:history="1">
        <w:r w:rsidR="005B5C68" w:rsidRPr="0042402B">
          <w:rPr>
            <w:rStyle w:val="Lienhypertexte"/>
            <w:noProof/>
            <w:lang w:val="en-US"/>
          </w:rPr>
          <w:t>B.1.3</w:t>
        </w:r>
        <w:r w:rsidR="005B5C68" w:rsidRPr="0042402B">
          <w:rPr>
            <w:rStyle w:val="Lienhypertexte"/>
            <w:noProof/>
          </w:rPr>
          <w:t xml:space="preserve"> Porter à Connaissance</w:t>
        </w:r>
        <w:r w:rsidR="005B5C68">
          <w:rPr>
            <w:noProof/>
          </w:rPr>
          <w:tab/>
        </w:r>
        <w:r w:rsidR="005B5C68">
          <w:rPr>
            <w:noProof/>
          </w:rPr>
          <w:fldChar w:fldCharType="begin"/>
        </w:r>
        <w:r w:rsidR="005B5C68">
          <w:rPr>
            <w:noProof/>
          </w:rPr>
          <w:instrText xml:space="preserve"> PAGEREF _Toc105148060 \h </w:instrText>
        </w:r>
        <w:r w:rsidR="005B5C68">
          <w:rPr>
            <w:noProof/>
          </w:rPr>
        </w:r>
        <w:r w:rsidR="005B5C68">
          <w:rPr>
            <w:noProof/>
          </w:rPr>
          <w:fldChar w:fldCharType="separate"/>
        </w:r>
        <w:r w:rsidR="005B5C68">
          <w:rPr>
            <w:noProof/>
          </w:rPr>
          <w:t>15</w:t>
        </w:r>
        <w:r w:rsidR="005B5C68">
          <w:rPr>
            <w:noProof/>
          </w:rPr>
          <w:fldChar w:fldCharType="end"/>
        </w:r>
      </w:hyperlink>
    </w:p>
    <w:p w14:paraId="610701DF"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61" w:history="1">
        <w:r w:rsidR="005B5C68" w:rsidRPr="0042402B">
          <w:rPr>
            <w:rStyle w:val="Lienhypertexte"/>
            <w:rFonts w:cs="StarSymbol"/>
            <w:noProof/>
          </w:rPr>
          <w:t>B.2</w:t>
        </w:r>
        <w:r w:rsidR="005B5C68" w:rsidRPr="0042402B">
          <w:rPr>
            <w:rStyle w:val="Lienhypertexte"/>
            <w:noProof/>
          </w:rPr>
          <w:t xml:space="preserve"> Organisation et contenu des nouveaux standards</w:t>
        </w:r>
        <w:r w:rsidR="005B5C68">
          <w:rPr>
            <w:noProof/>
          </w:rPr>
          <w:tab/>
        </w:r>
        <w:r w:rsidR="005B5C68">
          <w:rPr>
            <w:noProof/>
          </w:rPr>
          <w:fldChar w:fldCharType="begin"/>
        </w:r>
        <w:r w:rsidR="005B5C68">
          <w:rPr>
            <w:noProof/>
          </w:rPr>
          <w:instrText xml:space="preserve"> PAGEREF _Toc105148061 \h </w:instrText>
        </w:r>
        <w:r w:rsidR="005B5C68">
          <w:rPr>
            <w:noProof/>
          </w:rPr>
        </w:r>
        <w:r w:rsidR="005B5C68">
          <w:rPr>
            <w:noProof/>
          </w:rPr>
          <w:fldChar w:fldCharType="separate"/>
        </w:r>
        <w:r w:rsidR="005B5C68">
          <w:rPr>
            <w:noProof/>
          </w:rPr>
          <w:t>15</w:t>
        </w:r>
        <w:r w:rsidR="005B5C68">
          <w:rPr>
            <w:noProof/>
          </w:rPr>
          <w:fldChar w:fldCharType="end"/>
        </w:r>
      </w:hyperlink>
    </w:p>
    <w:p w14:paraId="64DFC092"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2" w:history="1">
        <w:r w:rsidR="005B5C68" w:rsidRPr="0042402B">
          <w:rPr>
            <w:rStyle w:val="Lienhypertexte"/>
            <w:noProof/>
          </w:rPr>
          <w:t>B.2.1 Contenu du modèle commun de données</w:t>
        </w:r>
        <w:r w:rsidR="005B5C68">
          <w:rPr>
            <w:noProof/>
          </w:rPr>
          <w:tab/>
        </w:r>
        <w:r w:rsidR="005B5C68">
          <w:rPr>
            <w:noProof/>
          </w:rPr>
          <w:fldChar w:fldCharType="begin"/>
        </w:r>
        <w:r w:rsidR="005B5C68">
          <w:rPr>
            <w:noProof/>
          </w:rPr>
          <w:instrText xml:space="preserve"> PAGEREF _Toc105148062 \h </w:instrText>
        </w:r>
        <w:r w:rsidR="005B5C68">
          <w:rPr>
            <w:noProof/>
          </w:rPr>
        </w:r>
        <w:r w:rsidR="005B5C68">
          <w:rPr>
            <w:noProof/>
          </w:rPr>
          <w:fldChar w:fldCharType="separate"/>
        </w:r>
        <w:r w:rsidR="005B5C68">
          <w:rPr>
            <w:noProof/>
          </w:rPr>
          <w:t>15</w:t>
        </w:r>
        <w:r w:rsidR="005B5C68">
          <w:rPr>
            <w:noProof/>
          </w:rPr>
          <w:fldChar w:fldCharType="end"/>
        </w:r>
      </w:hyperlink>
    </w:p>
    <w:p w14:paraId="76EB84D7"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3" w:history="1">
        <w:r w:rsidR="005B5C68" w:rsidRPr="0042402B">
          <w:rPr>
            <w:rStyle w:val="Lienhypertexte"/>
            <w:noProof/>
          </w:rPr>
          <w:t>B.2.2 Contenu des profils applicatifs</w:t>
        </w:r>
        <w:r w:rsidR="005B5C68">
          <w:rPr>
            <w:noProof/>
          </w:rPr>
          <w:tab/>
        </w:r>
        <w:r w:rsidR="005B5C68">
          <w:rPr>
            <w:noProof/>
          </w:rPr>
          <w:fldChar w:fldCharType="begin"/>
        </w:r>
        <w:r w:rsidR="005B5C68">
          <w:rPr>
            <w:noProof/>
          </w:rPr>
          <w:instrText xml:space="preserve"> PAGEREF _Toc105148063 \h </w:instrText>
        </w:r>
        <w:r w:rsidR="005B5C68">
          <w:rPr>
            <w:noProof/>
          </w:rPr>
        </w:r>
        <w:r w:rsidR="005B5C68">
          <w:rPr>
            <w:noProof/>
          </w:rPr>
          <w:fldChar w:fldCharType="separate"/>
        </w:r>
        <w:r w:rsidR="005B5C68">
          <w:rPr>
            <w:noProof/>
          </w:rPr>
          <w:t>17</w:t>
        </w:r>
        <w:r w:rsidR="005B5C68">
          <w:rPr>
            <w:noProof/>
          </w:rPr>
          <w:fldChar w:fldCharType="end"/>
        </w:r>
      </w:hyperlink>
    </w:p>
    <w:p w14:paraId="44542A36"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4" w:history="1">
        <w:r w:rsidR="005B5C68" w:rsidRPr="0042402B">
          <w:rPr>
            <w:rStyle w:val="Lienhypertexte"/>
            <w:noProof/>
          </w:rPr>
          <w:t>B.2.3 Standard de production</w:t>
        </w:r>
        <w:r w:rsidR="005B5C68">
          <w:rPr>
            <w:noProof/>
          </w:rPr>
          <w:tab/>
        </w:r>
        <w:r w:rsidR="005B5C68">
          <w:rPr>
            <w:noProof/>
          </w:rPr>
          <w:fldChar w:fldCharType="begin"/>
        </w:r>
        <w:r w:rsidR="005B5C68">
          <w:rPr>
            <w:noProof/>
          </w:rPr>
          <w:instrText xml:space="preserve"> PAGEREF _Toc105148064 \h </w:instrText>
        </w:r>
        <w:r w:rsidR="005B5C68">
          <w:rPr>
            <w:noProof/>
          </w:rPr>
        </w:r>
        <w:r w:rsidR="005B5C68">
          <w:rPr>
            <w:noProof/>
          </w:rPr>
          <w:fldChar w:fldCharType="separate"/>
        </w:r>
        <w:r w:rsidR="005B5C68">
          <w:rPr>
            <w:noProof/>
          </w:rPr>
          <w:t>18</w:t>
        </w:r>
        <w:r w:rsidR="005B5C68">
          <w:rPr>
            <w:noProof/>
          </w:rPr>
          <w:fldChar w:fldCharType="end"/>
        </w:r>
      </w:hyperlink>
    </w:p>
    <w:p w14:paraId="6BE42811" w14:textId="77777777" w:rsidR="005B5C68" w:rsidRDefault="00850961">
      <w:pPr>
        <w:pStyle w:val="TM2"/>
        <w:rPr>
          <w:rFonts w:asciiTheme="minorHAnsi" w:eastAsiaTheme="minorEastAsia" w:hAnsiTheme="minorHAnsi" w:cstheme="minorBidi"/>
          <w:noProof/>
          <w:kern w:val="0"/>
          <w:sz w:val="22"/>
          <w:szCs w:val="22"/>
          <w:lang w:val="en-US" w:eastAsia="en-US"/>
        </w:rPr>
      </w:pPr>
      <w:hyperlink w:anchor="_Toc105148065" w:history="1">
        <w:r w:rsidR="005B5C68" w:rsidRPr="0042402B">
          <w:rPr>
            <w:rStyle w:val="Lienhypertexte"/>
            <w:rFonts w:cs="StarSymbol"/>
            <w:noProof/>
          </w:rPr>
          <w:t>B.3</w:t>
        </w:r>
        <w:r w:rsidR="005B5C68" w:rsidRPr="0042402B">
          <w:rPr>
            <w:rStyle w:val="Lienhypertexte"/>
            <w:noProof/>
          </w:rPr>
          <w:t xml:space="preserve"> Organisation des travaux à venir</w:t>
        </w:r>
        <w:r w:rsidR="005B5C68">
          <w:rPr>
            <w:noProof/>
          </w:rPr>
          <w:tab/>
        </w:r>
        <w:r w:rsidR="005B5C68">
          <w:rPr>
            <w:noProof/>
          </w:rPr>
          <w:fldChar w:fldCharType="begin"/>
        </w:r>
        <w:r w:rsidR="005B5C68">
          <w:rPr>
            <w:noProof/>
          </w:rPr>
          <w:instrText xml:space="preserve"> PAGEREF _Toc105148065 \h </w:instrText>
        </w:r>
        <w:r w:rsidR="005B5C68">
          <w:rPr>
            <w:noProof/>
          </w:rPr>
        </w:r>
        <w:r w:rsidR="005B5C68">
          <w:rPr>
            <w:noProof/>
          </w:rPr>
          <w:fldChar w:fldCharType="separate"/>
        </w:r>
        <w:r w:rsidR="005B5C68">
          <w:rPr>
            <w:noProof/>
          </w:rPr>
          <w:t>18</w:t>
        </w:r>
        <w:r w:rsidR="005B5C68">
          <w:rPr>
            <w:noProof/>
          </w:rPr>
          <w:fldChar w:fldCharType="end"/>
        </w:r>
      </w:hyperlink>
    </w:p>
    <w:p w14:paraId="2AE1F4D6"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6" w:history="1">
        <w:r w:rsidR="005B5C68" w:rsidRPr="0042402B">
          <w:rPr>
            <w:rStyle w:val="Lienhypertexte"/>
            <w:noProof/>
          </w:rPr>
          <w:t>B.3.1 Rédaction des standards (modèle de données et profils applicatifs)</w:t>
        </w:r>
        <w:r w:rsidR="005B5C68">
          <w:rPr>
            <w:noProof/>
          </w:rPr>
          <w:tab/>
        </w:r>
        <w:r w:rsidR="005B5C68">
          <w:rPr>
            <w:noProof/>
          </w:rPr>
          <w:fldChar w:fldCharType="begin"/>
        </w:r>
        <w:r w:rsidR="005B5C68">
          <w:rPr>
            <w:noProof/>
          </w:rPr>
          <w:instrText xml:space="preserve"> PAGEREF _Toc105148066 \h </w:instrText>
        </w:r>
        <w:r w:rsidR="005B5C68">
          <w:rPr>
            <w:noProof/>
          </w:rPr>
        </w:r>
        <w:r w:rsidR="005B5C68">
          <w:rPr>
            <w:noProof/>
          </w:rPr>
          <w:fldChar w:fldCharType="separate"/>
        </w:r>
        <w:r w:rsidR="005B5C68">
          <w:rPr>
            <w:noProof/>
          </w:rPr>
          <w:t>18</w:t>
        </w:r>
        <w:r w:rsidR="005B5C68">
          <w:rPr>
            <w:noProof/>
          </w:rPr>
          <w:fldChar w:fldCharType="end"/>
        </w:r>
      </w:hyperlink>
    </w:p>
    <w:p w14:paraId="397A755B" w14:textId="77777777" w:rsidR="005B5C68" w:rsidRDefault="00850961">
      <w:pPr>
        <w:pStyle w:val="TM3"/>
        <w:rPr>
          <w:rFonts w:asciiTheme="minorHAnsi" w:eastAsiaTheme="minorEastAsia" w:hAnsiTheme="minorHAnsi" w:cstheme="minorBidi"/>
          <w:noProof/>
          <w:kern w:val="0"/>
          <w:sz w:val="22"/>
          <w:szCs w:val="22"/>
          <w:lang w:val="en-US" w:eastAsia="en-US"/>
        </w:rPr>
      </w:pPr>
      <w:hyperlink w:anchor="_Toc105148067" w:history="1">
        <w:r w:rsidR="005B5C68" w:rsidRPr="0042402B">
          <w:rPr>
            <w:rStyle w:val="Lienhypertexte"/>
            <w:noProof/>
          </w:rPr>
          <w:t>B.3.2 Définition d’indicateurs de réussite du projet</w:t>
        </w:r>
        <w:r w:rsidR="005B5C68">
          <w:rPr>
            <w:noProof/>
          </w:rPr>
          <w:tab/>
        </w:r>
        <w:r w:rsidR="005B5C68">
          <w:rPr>
            <w:noProof/>
          </w:rPr>
          <w:fldChar w:fldCharType="begin"/>
        </w:r>
        <w:r w:rsidR="005B5C68">
          <w:rPr>
            <w:noProof/>
          </w:rPr>
          <w:instrText xml:space="preserve"> PAGEREF _Toc105148067 \h </w:instrText>
        </w:r>
        <w:r w:rsidR="005B5C68">
          <w:rPr>
            <w:noProof/>
          </w:rPr>
        </w:r>
        <w:r w:rsidR="005B5C68">
          <w:rPr>
            <w:noProof/>
          </w:rPr>
          <w:fldChar w:fldCharType="separate"/>
        </w:r>
        <w:r w:rsidR="005B5C68">
          <w:rPr>
            <w:noProof/>
          </w:rPr>
          <w:t>20</w:t>
        </w:r>
        <w:r w:rsidR="005B5C68">
          <w:rPr>
            <w:noProof/>
          </w:rPr>
          <w:fldChar w:fldCharType="end"/>
        </w:r>
      </w:hyperlink>
    </w:p>
    <w:p w14:paraId="29F50611" w14:textId="77777777" w:rsidR="005B5C68" w:rsidRDefault="00850961">
      <w:pPr>
        <w:pStyle w:val="TM1"/>
        <w:rPr>
          <w:rFonts w:asciiTheme="minorHAnsi" w:eastAsiaTheme="minorEastAsia" w:hAnsiTheme="minorHAnsi" w:cstheme="minorBidi"/>
          <w:b w:val="0"/>
          <w:noProof/>
          <w:kern w:val="0"/>
          <w:sz w:val="22"/>
          <w:szCs w:val="22"/>
          <w:lang w:val="en-US" w:eastAsia="en-US"/>
        </w:rPr>
      </w:pPr>
      <w:hyperlink w:anchor="_Toc105148068" w:history="1">
        <w:r w:rsidR="005B5C68" w:rsidRPr="0042402B">
          <w:rPr>
            <w:rStyle w:val="Lienhypertexte"/>
            <w:noProof/>
          </w:rPr>
          <w:t>Annexe : Liste des participants au groupe de travail</w:t>
        </w:r>
        <w:r w:rsidR="005B5C68">
          <w:rPr>
            <w:noProof/>
          </w:rPr>
          <w:tab/>
        </w:r>
        <w:r w:rsidR="005B5C68">
          <w:rPr>
            <w:noProof/>
          </w:rPr>
          <w:fldChar w:fldCharType="begin"/>
        </w:r>
        <w:r w:rsidR="005B5C68">
          <w:rPr>
            <w:noProof/>
          </w:rPr>
          <w:instrText xml:space="preserve"> PAGEREF _Toc105148068 \h </w:instrText>
        </w:r>
        <w:r w:rsidR="005B5C68">
          <w:rPr>
            <w:noProof/>
          </w:rPr>
        </w:r>
        <w:r w:rsidR="005B5C68">
          <w:rPr>
            <w:noProof/>
          </w:rPr>
          <w:fldChar w:fldCharType="separate"/>
        </w:r>
        <w:r w:rsidR="005B5C68">
          <w:rPr>
            <w:noProof/>
          </w:rPr>
          <w:t>21</w:t>
        </w:r>
        <w:r w:rsidR="005B5C68">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lastRenderedPageBreak/>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Géostandards,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850961"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850961"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850961"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850961"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850961" w:rsidP="00EA187E">
            <w:pPr>
              <w:pStyle w:val="Contenudetableau"/>
            </w:pPr>
            <w:hyperlink r:id="rId21" w:tgtFrame="_blank" w:history="1">
              <w:r w:rsidR="00EA187E" w:rsidRPr="00EA187E">
                <w:rPr>
                  <w:rStyle w:val="Lienhypertexte"/>
                </w:rPr>
                <w:t>Compte rendu de la réunion de la plénière du groupe de travail Géostandards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850961" w:rsidP="00EA187E">
            <w:pPr>
              <w:pStyle w:val="Contenudetableau"/>
            </w:pPr>
            <w:hyperlink r:id="rId22" w:tgtFrame="_blank" w:history="1">
              <w:r w:rsidR="00EA187E" w:rsidRPr="00EA187E">
                <w:rPr>
                  <w:rStyle w:val="Lienhypertexte"/>
                </w:rPr>
                <w:t>Compte rendu de la réunion plénière du groupe de travail Géostandards risques le 08/04/2022</w:t>
              </w:r>
            </w:hyperlink>
            <w:r w:rsidR="00EA187E" w:rsidRPr="00EA187E">
              <w:t> </w:t>
            </w:r>
          </w:p>
        </w:tc>
      </w:tr>
      <w:tr w:rsidR="00EA187E" w:rsidRPr="00850961" w14:paraId="74E18C45" w14:textId="77777777" w:rsidTr="57FAF40F">
        <w:trPr>
          <w:cantSplit/>
        </w:trPr>
        <w:tc>
          <w:tcPr>
            <w:tcW w:w="5000" w:type="pct"/>
            <w:shd w:val="clear" w:color="auto" w:fill="auto"/>
          </w:tcPr>
          <w:p w14:paraId="4E226B9E" w14:textId="77777777" w:rsidR="00EA187E" w:rsidRPr="00EA187E" w:rsidRDefault="00C0392A" w:rsidP="00EA187E">
            <w:pPr>
              <w:pStyle w:val="Contenudetableau"/>
              <w:rPr>
                <w:lang w:val="en-US"/>
              </w:rPr>
            </w:pPr>
            <w:r>
              <w:fldChar w:fldCharType="begin"/>
            </w:r>
            <w:r w:rsidRPr="00C0392A">
              <w:rPr>
                <w:lang w:val="en-US"/>
                <w:rPrChange w:id="5" w:author="Gilles Cébélieu" w:date="2022-06-10T08:49:00Z">
                  <w:rPr/>
                </w:rPrChange>
              </w:rPr>
              <w:instrText xml:space="preserve"> HYPERLINK "https://inspire.ec.europa.eu/documents/Data_Specifications/INSPIRE_DataSpecification_LU_v3.0.pdf" \t "_blank" </w:instrText>
            </w:r>
            <w:r>
              <w:fldChar w:fldCharType="separate"/>
            </w:r>
            <w:r w:rsidR="00EA187E" w:rsidRPr="00EA187E">
              <w:rPr>
                <w:rStyle w:val="Lienhypertexte"/>
                <w:lang w:val="en-US"/>
              </w:rPr>
              <w:t>D2.8.III.4 INSPIRE Data Specification on Land Use – Technical Guidelines</w:t>
            </w:r>
            <w:r>
              <w:rPr>
                <w:rStyle w:val="Lienhypertexte"/>
                <w:lang w:val="en-US"/>
              </w:rPr>
              <w:fldChar w:fldCharType="end"/>
            </w:r>
            <w:r w:rsidR="00EA187E" w:rsidRPr="00EA187E">
              <w:rPr>
                <w:lang w:val="en-US"/>
              </w:rPr>
              <w:t> </w:t>
            </w:r>
          </w:p>
        </w:tc>
      </w:tr>
      <w:tr w:rsidR="00EA187E" w:rsidRPr="00850961" w14:paraId="1CA41C4A" w14:textId="77777777" w:rsidTr="57FAF40F">
        <w:trPr>
          <w:cantSplit/>
        </w:trPr>
        <w:tc>
          <w:tcPr>
            <w:tcW w:w="5000" w:type="pct"/>
            <w:shd w:val="clear" w:color="auto" w:fill="auto"/>
          </w:tcPr>
          <w:p w14:paraId="72C35377" w14:textId="77777777" w:rsidR="00EA187E" w:rsidRPr="00EA187E" w:rsidRDefault="00C0392A" w:rsidP="00EA187E">
            <w:pPr>
              <w:pStyle w:val="Contenudetableau"/>
              <w:rPr>
                <w:lang w:val="en-US"/>
              </w:rPr>
            </w:pPr>
            <w:r>
              <w:fldChar w:fldCharType="begin"/>
            </w:r>
            <w:r w:rsidRPr="00C0392A">
              <w:rPr>
                <w:lang w:val="en-US"/>
                <w:rPrChange w:id="6" w:author="Gilles Cébélieu" w:date="2022-06-10T08:49:00Z">
                  <w:rPr/>
                </w:rPrChange>
              </w:rPr>
              <w:instrText xml:space="preserve"> HYPERLINK "https://inspire.ec.europa.eu/documents/Data_Specifications/INSPIRE_DataSpecification_PF_v3.0.pdf" \t "_blank" </w:instrText>
            </w:r>
            <w:r>
              <w:fldChar w:fldCharType="separate"/>
            </w:r>
            <w:r w:rsidR="00EA187E" w:rsidRPr="00EA187E">
              <w:rPr>
                <w:rStyle w:val="Lienhypertexte"/>
                <w:lang w:val="en-US"/>
              </w:rPr>
              <w:t>D2.8.III.8 INSPIRE Data Specification on Production and Industrial Facilities – Technical Guidelines</w:t>
            </w:r>
            <w:r>
              <w:rPr>
                <w:rStyle w:val="Lienhypertexte"/>
                <w:lang w:val="en-US"/>
              </w:rPr>
              <w:fldChar w:fldCharType="end"/>
            </w:r>
            <w:r w:rsidR="00EA187E" w:rsidRPr="00EA187E">
              <w:rPr>
                <w:lang w:val="en-US"/>
              </w:rPr>
              <w:t> </w:t>
            </w:r>
          </w:p>
        </w:tc>
      </w:tr>
      <w:tr w:rsidR="00EA187E" w:rsidRPr="00850961" w14:paraId="5053DF3E" w14:textId="77777777" w:rsidTr="57FAF40F">
        <w:trPr>
          <w:cantSplit/>
        </w:trPr>
        <w:tc>
          <w:tcPr>
            <w:tcW w:w="5000" w:type="pct"/>
            <w:shd w:val="clear" w:color="auto" w:fill="auto"/>
          </w:tcPr>
          <w:p w14:paraId="321C2AD4" w14:textId="77777777" w:rsidR="00EA187E" w:rsidRPr="00EA187E" w:rsidRDefault="00C0392A" w:rsidP="00EA187E">
            <w:pPr>
              <w:pStyle w:val="Contenudetableau"/>
              <w:rPr>
                <w:lang w:val="en-US"/>
              </w:rPr>
            </w:pPr>
            <w:r>
              <w:fldChar w:fldCharType="begin"/>
            </w:r>
            <w:r w:rsidRPr="00C0392A">
              <w:rPr>
                <w:lang w:val="en-US"/>
                <w:rPrChange w:id="7" w:author="Gilles Cébélieu" w:date="2022-06-10T08:49:00Z">
                  <w:rPr/>
                </w:rPrChange>
              </w:rPr>
              <w:instrText xml:space="preserve"> HYPERLINK "https://inspire.ec.europa.eu/documents/Data_Specifications/INSPIRE_DataSpecification_AM_v3.0.pdf" \t "_blank" </w:instrText>
            </w:r>
            <w:r>
              <w:fldChar w:fldCharType="separate"/>
            </w:r>
            <w:r w:rsidR="00EA187E" w:rsidRPr="00EA187E">
              <w:rPr>
                <w:rStyle w:val="Lienhypertexte"/>
                <w:lang w:val="en-US"/>
              </w:rPr>
              <w:t>D2.8.III.11 INSPIRE Data Specification on Area Management/Restriction/Regulation Zones and Reporting Units – Technical Guidelines</w:t>
            </w:r>
            <w:r>
              <w:rPr>
                <w:rStyle w:val="Lienhypertexte"/>
                <w:lang w:val="en-US"/>
              </w:rPr>
              <w:fldChar w:fldCharType="end"/>
            </w:r>
            <w:r w:rsidR="00EA187E" w:rsidRPr="00EA187E">
              <w:rPr>
                <w:lang w:val="en-US"/>
              </w:rPr>
              <w:t> </w:t>
            </w:r>
          </w:p>
        </w:tc>
      </w:tr>
      <w:tr w:rsidR="00EA187E" w:rsidRPr="00850961" w14:paraId="15ABF488" w14:textId="77777777" w:rsidTr="57FAF40F">
        <w:trPr>
          <w:cantSplit/>
        </w:trPr>
        <w:tc>
          <w:tcPr>
            <w:tcW w:w="5000" w:type="pct"/>
            <w:shd w:val="clear" w:color="auto" w:fill="auto"/>
          </w:tcPr>
          <w:p w14:paraId="25596728" w14:textId="77777777" w:rsidR="00EA187E" w:rsidRPr="00EA187E" w:rsidRDefault="00C0392A" w:rsidP="00EA187E">
            <w:pPr>
              <w:pStyle w:val="Contenudetableau"/>
              <w:rPr>
                <w:lang w:val="en-US"/>
              </w:rPr>
            </w:pPr>
            <w:r>
              <w:fldChar w:fldCharType="begin"/>
            </w:r>
            <w:r w:rsidRPr="00C0392A">
              <w:rPr>
                <w:lang w:val="en-US"/>
                <w:rPrChange w:id="8" w:author="Gilles Cébélieu" w:date="2022-06-10T08:49:00Z">
                  <w:rPr/>
                </w:rPrChange>
              </w:rPr>
              <w:instrText xml:space="preserve"> HYPERLINK "https://inspire.ec.europa.eu/documents/Data_Specifications/INSPIRE_DataSpecification_NZ_v3.0.pdf" \t "_blank" </w:instrText>
            </w:r>
            <w:r>
              <w:fldChar w:fldCharType="separate"/>
            </w:r>
            <w:r w:rsidR="00EA187E" w:rsidRPr="00EA187E">
              <w:rPr>
                <w:rStyle w:val="Lienhypertexte"/>
                <w:lang w:val="en-US"/>
              </w:rPr>
              <w:t>D2.8.III.12 INSPIRE Data Specification on Natural Risk Zones – Technical Guidelines</w:t>
            </w:r>
            <w:r>
              <w:rPr>
                <w:rStyle w:val="Lienhypertexte"/>
                <w:lang w:val="en-US"/>
              </w:rPr>
              <w:fldChar w:fldCharType="end"/>
            </w:r>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850961" w:rsidP="00EA187E">
            <w:pPr>
              <w:pStyle w:val="Contenudetableau"/>
            </w:pPr>
            <w:hyperlink r:id="rId23"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850961" w:rsidP="00A21246">
            <w:pPr>
              <w:pStyle w:val="Contenudetableau"/>
            </w:pPr>
            <w:hyperlink r:id="rId24"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lastRenderedPageBreak/>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9" w:name="_Ref105071088"/>
      <w:bookmarkStart w:id="10" w:name="_Ref105071224"/>
      <w:bookmarkStart w:id="11" w:name="_Toc105148037"/>
      <w:r w:rsidRPr="004E17AB">
        <w:lastRenderedPageBreak/>
        <w:t>Travaux effectués</w:t>
      </w:r>
      <w:bookmarkEnd w:id="9"/>
      <w:bookmarkEnd w:id="10"/>
      <w:bookmarkEnd w:id="11"/>
      <w:r w:rsidRPr="004E17AB">
        <w:t> </w:t>
      </w:r>
    </w:p>
    <w:p w14:paraId="68A29039" w14:textId="77777777" w:rsidR="004E17AB" w:rsidRPr="005A5E2B" w:rsidRDefault="005A5E2B" w:rsidP="004E17AB">
      <w:pPr>
        <w:pStyle w:val="Titre2"/>
        <w:rPr>
          <w:lang w:val="fr-FR"/>
        </w:rPr>
      </w:pPr>
      <w:bookmarkStart w:id="12" w:name="_Toc105148038"/>
      <w:r w:rsidRPr="005A5E2B">
        <w:rPr>
          <w:lang w:val="fr-FR"/>
        </w:rPr>
        <w:t>Origine et chronologie des travaux</w:t>
      </w:r>
      <w:bookmarkEnd w:id="12"/>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Géostandards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850961" w:rsidP="004E17AB">
      <w:hyperlink r:id="rId25"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33E98B23" w:rsidR="004E17AB" w:rsidRDefault="004E17AB" w:rsidP="004E17AB">
      <w:r w:rsidRPr="004E17AB">
        <w:t xml:space="preserve">Un </w:t>
      </w:r>
      <w:hyperlink r:id="rId26"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del w:id="13" w:author="Marion Dumont" w:date="2022-06-03T15:02:00Z">
        <w:r w:rsidRPr="004E17AB" w:rsidDel="00234731">
          <w:delText xml:space="preserve"> </w:delText>
        </w:r>
      </w:del>
      <w:r w:rsidRPr="004E17AB">
        <w:t>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27"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28"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29"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0"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1"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Géostandards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2"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14" w:name="_Toc105148039"/>
      <w:r w:rsidRPr="004E17AB">
        <w:t xml:space="preserve">Documents de </w:t>
      </w:r>
      <w:proofErr w:type="spellStart"/>
      <w:r w:rsidRPr="004E17AB">
        <w:t>référence</w:t>
      </w:r>
      <w:bookmarkEnd w:id="14"/>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3"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Géostandards risques. </w:t>
      </w:r>
    </w:p>
    <w:p w14:paraId="15AA318D" w14:textId="77777777" w:rsidR="004E17AB" w:rsidRPr="004E17AB" w:rsidRDefault="004E17AB" w:rsidP="004E17AB">
      <w:r w:rsidRPr="004E17AB">
        <w:t> </w:t>
      </w:r>
    </w:p>
    <w:p w14:paraId="16DDAFBE" w14:textId="77777777" w:rsidR="004E17AB" w:rsidRDefault="004E17AB" w:rsidP="004E17AB">
      <w:r w:rsidRPr="004E17AB">
        <w:t>Une page spécifique a été créée sur le GitHub.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4"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15" w:name="_Toc105148040"/>
      <w:r w:rsidRPr="005A5E2B">
        <w:rPr>
          <w:lang w:val="fr-FR"/>
        </w:rPr>
        <w:lastRenderedPageBreak/>
        <w:t>Thématiques métiers des nouveaux standards</w:t>
      </w:r>
      <w:bookmarkEnd w:id="15"/>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5"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36" w:tgtFrame="_blank" w:history="1">
        <w:r w:rsidRPr="004E17AB">
          <w:rPr>
            <w:rStyle w:val="Lienhypertexte"/>
          </w:rPr>
          <w:t>l’atelier du 28/01/2022</w:t>
        </w:r>
      </w:hyperlink>
      <w:r w:rsidRPr="004E17AB">
        <w:t xml:space="preserve"> , des “mural” collaboratifs pour faire les mises en correspondances </w:t>
      </w:r>
      <w:hyperlink r:id="rId37" w:tgtFrame="_blank" w:history="1">
        <w:r w:rsidRPr="004E17AB">
          <w:rPr>
            <w:rStyle w:val="Lienhypertexte"/>
          </w:rPr>
          <w:t>avec les classes des standards existants</w:t>
        </w:r>
      </w:hyperlink>
      <w:r w:rsidRPr="004E17AB">
        <w:t xml:space="preserve"> et en </w:t>
      </w:r>
      <w:hyperlink r:id="rId38" w:tgtFrame="_blank" w:history="1">
        <w:r w:rsidRPr="004E17AB">
          <w:rPr>
            <w:rStyle w:val="Lienhypertexte"/>
          </w:rPr>
          <w:t>adhérence</w:t>
        </w:r>
      </w:hyperlink>
      <w:r w:rsidRPr="004E17AB">
        <w:t xml:space="preserve"> et des </w:t>
      </w:r>
      <w:hyperlink r:id="rId39"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1C6C3234" w14:textId="77777777" w:rsidR="004E17AB"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77777777" w:rsidR="004E17AB" w:rsidRPr="004E17AB" w:rsidRDefault="004E17AB" w:rsidP="004E17AB">
      <w:r w:rsidRPr="004E17AB">
        <w:t> </w:t>
      </w:r>
      <w:commentRangeStart w:id="16"/>
      <w:r w:rsidRPr="004E17AB">
        <w:rPr>
          <w:noProof/>
          <w:lang w:val="en-US" w:eastAsia="en-US"/>
        </w:rPr>
        <w:drawing>
          <wp:inline distT="0" distB="0" distL="0" distR="0" wp14:anchorId="2594E4FE" wp14:editId="5C21AFBA">
            <wp:extent cx="5518150" cy="187556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18150" cy="1875561"/>
                    </a:xfrm>
                    <a:prstGeom prst="rect">
                      <a:avLst/>
                    </a:prstGeom>
                  </pic:spPr>
                </pic:pic>
              </a:graphicData>
            </a:graphic>
          </wp:inline>
        </w:drawing>
      </w:r>
      <w:commentRangeEnd w:id="16"/>
      <w:r w:rsidR="00850961">
        <w:rPr>
          <w:rStyle w:val="Marquedecommentaire"/>
          <w:rFonts w:cs="Times New Roman"/>
          <w:lang w:val="x-none"/>
        </w:rPr>
        <w:commentReference w:id="16"/>
      </w:r>
    </w:p>
    <w:p w14:paraId="4B8484D5" w14:textId="77777777" w:rsidR="004E17AB" w:rsidRPr="004E17AB" w:rsidRDefault="004E17AB" w:rsidP="004E17AB">
      <w:pPr>
        <w:rPr>
          <w:b/>
          <w:bCs/>
        </w:rPr>
      </w:pPr>
      <w:r w:rsidRPr="004E17AB">
        <w:rPr>
          <w:b/>
          <w:bCs/>
        </w:rPr>
        <w:t> </w:t>
      </w:r>
    </w:p>
    <w:p w14:paraId="1A519AC3" w14:textId="77777777" w:rsidR="004E17AB" w:rsidRPr="004E17AB" w:rsidRDefault="004E17AB" w:rsidP="004E17AB">
      <w:pPr>
        <w:pStyle w:val="Titre3"/>
      </w:pPr>
      <w:bookmarkStart w:id="17" w:name="_Toc105148041"/>
      <w:r w:rsidRPr="004E17AB">
        <w:t>Périmètre</w:t>
      </w:r>
      <w:bookmarkEnd w:id="17"/>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 xml:space="preserve">(TRI) et de la DI). </w:t>
      </w:r>
      <w:commentRangeStart w:id="18"/>
      <w:r w:rsidR="005A5E2B">
        <w:t>Elle pourrait</w:t>
      </w:r>
      <w:r>
        <w:t xml:space="preserve"> intégrer le périmètre des Porter à connaissance</w:t>
      </w:r>
      <w:commentRangeEnd w:id="18"/>
      <w:r w:rsidR="00E82818">
        <w:rPr>
          <w:rStyle w:val="Marquedecommentaire"/>
          <w:rFonts w:cs="Times New Roman"/>
          <w:lang w:val="x-none"/>
        </w:rPr>
        <w:commentReference w:id="18"/>
      </w:r>
      <w:r>
        <w:t>.</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20" w:name="_Toc105148042"/>
      <w:r w:rsidRPr="004E17AB">
        <w:t>Zonage réglementaire</w:t>
      </w:r>
      <w:bookmarkEnd w:id="20"/>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21" w:name="_Toc105148043"/>
      <w:r w:rsidRPr="004E17AB">
        <w:lastRenderedPageBreak/>
        <w:t>Procédures</w:t>
      </w:r>
      <w:bookmarkEnd w:id="21"/>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77777777" w:rsidR="004E17AB" w:rsidRPr="004E17AB" w:rsidRDefault="004E17AB" w:rsidP="009878D8">
      <w:pPr>
        <w:numPr>
          <w:ilvl w:val="0"/>
          <w:numId w:val="8"/>
        </w:numPr>
      </w:pPr>
      <w:commentRangeStart w:id="22"/>
      <w:r w:rsidRPr="004E17AB">
        <w:t>PPR : “</w:t>
      </w:r>
      <w:proofErr w:type="spellStart"/>
      <w:r w:rsidRPr="004E17AB">
        <w:t>DocumentPPR</w:t>
      </w:r>
      <w:proofErr w:type="spellEnd"/>
      <w:r w:rsidRPr="004E17AB">
        <w:t>”, “</w:t>
      </w:r>
      <w:proofErr w:type="spellStart"/>
      <w:r w:rsidRPr="004E17AB">
        <w:t>GASPAR:ProcdeurePPR</w:t>
      </w:r>
      <w:proofErr w:type="spellEnd"/>
      <w:r w:rsidRPr="004E17AB">
        <w:t>”, “</w:t>
      </w:r>
      <w:proofErr w:type="spellStart"/>
      <w:r w:rsidRPr="004E17AB">
        <w:t>PLU:DocuementUrba</w:t>
      </w:r>
      <w:proofErr w:type="spellEnd"/>
      <w:r w:rsidRPr="004E17AB">
        <w:t>” </w:t>
      </w:r>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Pr="004E17AB" w:rsidRDefault="004E17AB" w:rsidP="009878D8">
      <w:pPr>
        <w:numPr>
          <w:ilvl w:val="0"/>
          <w:numId w:val="8"/>
        </w:numPr>
      </w:pPr>
      <w:r w:rsidRPr="004E17AB">
        <w:t>SUP : “Acte Servitude”, “Servitude”, “Gestionnaire” </w:t>
      </w:r>
      <w:commentRangeEnd w:id="22"/>
      <w:r w:rsidR="00850961">
        <w:rPr>
          <w:rStyle w:val="Marquedecommentaire"/>
          <w:rFonts w:cs="Times New Roman"/>
          <w:lang w:val="x-none"/>
        </w:rPr>
        <w:commentReference w:id="22"/>
      </w:r>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23" w:name="_Toc105148044"/>
      <w:commentRangeStart w:id="24"/>
      <w:r w:rsidRPr="004E17AB">
        <w:t>Aléas</w:t>
      </w:r>
      <w:bookmarkEnd w:id="23"/>
      <w:r w:rsidRPr="004E17AB">
        <w:t> </w:t>
      </w:r>
      <w:commentRangeEnd w:id="24"/>
      <w:r w:rsidR="00850961">
        <w:rPr>
          <w:rStyle w:val="Marquedecommentaire"/>
          <w:rFonts w:ascii="Arial" w:eastAsia="Lucida Sans Unicode" w:hAnsi="Arial" w:cs="Times New Roman"/>
          <w:b w:val="0"/>
          <w:bCs w:val="0"/>
          <w:i w:val="0"/>
          <w:lang w:val="x-none"/>
        </w:rPr>
        <w:commentReference w:id="24"/>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25" w:name="_Toc105148045"/>
      <w:r w:rsidRPr="004E17AB">
        <w:t>Origine du risque</w:t>
      </w:r>
      <w:bookmarkEnd w:id="25"/>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26" w:name="_Toc105148046"/>
      <w:r w:rsidRPr="004E17AB">
        <w:t>Enjeux</w:t>
      </w:r>
      <w:bookmarkEnd w:id="26"/>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lastRenderedPageBreak/>
        <w:t> </w:t>
      </w:r>
    </w:p>
    <w:p w14:paraId="4F04F7F4" w14:textId="77777777" w:rsidR="004E17AB" w:rsidRPr="004E17AB" w:rsidRDefault="004E17AB" w:rsidP="00C77EB7">
      <w:pPr>
        <w:pStyle w:val="Titre3"/>
      </w:pPr>
      <w:bookmarkStart w:id="27" w:name="_Toc105148047"/>
      <w:r w:rsidRPr="004E17AB">
        <w:t>Cartes</w:t>
      </w:r>
      <w:bookmarkEnd w:id="27"/>
      <w:r w:rsidRPr="004E17AB">
        <w:t> </w:t>
      </w:r>
    </w:p>
    <w:p w14:paraId="22D2EC78" w14:textId="77777777" w:rsidR="004E17AB" w:rsidRPr="004E17AB" w:rsidRDefault="004E17AB" w:rsidP="004E17AB">
      <w:r w:rsidRPr="004E17AB">
        <w:t>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elle mêmes.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28" w:name="_Toc105148048"/>
      <w:proofErr w:type="spellStart"/>
      <w:r w:rsidRPr="004E17AB">
        <w:t>Domaines</w:t>
      </w:r>
      <w:proofErr w:type="spellEnd"/>
      <w:r w:rsidRPr="004E17AB">
        <w:t xml:space="preserve"> à </w:t>
      </w:r>
      <w:proofErr w:type="spellStart"/>
      <w:r w:rsidRPr="004E17AB">
        <w:t>couvrir</w:t>
      </w:r>
      <w:bookmarkEnd w:id="28"/>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2"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3" w:tgtFrame="_blank" w:history="1">
        <w:r w:rsidR="004E17AB" w:rsidRPr="004E17AB">
          <w:rPr>
            <w:rStyle w:val="Lienhypertexte"/>
          </w:rPr>
          <w:t>“mural” collaboratif dédié</w:t>
        </w:r>
      </w:hyperlink>
      <w:r w:rsidR="004E17AB" w:rsidRPr="004E17AB">
        <w:t xml:space="preserve"> dont la synthèse a été présentée à </w:t>
      </w:r>
      <w:hyperlink r:id="rId44"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Par ailleurs les nouveaux standards devront intégrer des correspondances avec les thématiques 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29" w:name="_Toc105148049"/>
      <w:proofErr w:type="spellStart"/>
      <w:r w:rsidRPr="004E17AB">
        <w:t>Cartographie</w:t>
      </w:r>
      <w:proofErr w:type="spellEnd"/>
      <w:r w:rsidRPr="004E17AB">
        <w:t xml:space="preserve"> des </w:t>
      </w:r>
      <w:proofErr w:type="spellStart"/>
      <w:r w:rsidRPr="004E17AB">
        <w:t>processus</w:t>
      </w:r>
      <w:bookmarkEnd w:id="29"/>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5">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6">
        <w:r w:rsidRPr="57FAF40F">
          <w:rPr>
            <w:rStyle w:val="Lienhypertexte"/>
          </w:rPr>
          <w:t xml:space="preserve">Le répertoire dédié </w:t>
        </w:r>
        <w:r w:rsidRPr="57FAF40F">
          <w:rPr>
            <w:rStyle w:val="Lienhypertexte"/>
          </w:rPr>
          <w:lastRenderedPageBreak/>
          <w:t>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30" w:name="_Toc105148050"/>
      <w:r w:rsidRPr="004E17AB">
        <w:t>Processus de publication d’un PPR</w:t>
      </w:r>
      <w:bookmarkEnd w:id="30"/>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77777777" w:rsidR="004E17AB" w:rsidRPr="004E17AB" w:rsidRDefault="004E17AB" w:rsidP="004E17AB">
      <w:r w:rsidRPr="004E17AB">
        <w:t>  </w:t>
      </w:r>
      <w:commentRangeStart w:id="31"/>
      <w:r w:rsidR="00C77EB7" w:rsidRPr="00C77EB7">
        <w:rPr>
          <w:noProof/>
          <w:lang w:val="en-US" w:eastAsia="en-US"/>
        </w:rPr>
        <w:drawing>
          <wp:inline distT="0" distB="0" distL="0" distR="0" wp14:anchorId="135F490A" wp14:editId="4981CFA3">
            <wp:extent cx="5518150" cy="2838274"/>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18150" cy="2838274"/>
                    </a:xfrm>
                    <a:prstGeom prst="rect">
                      <a:avLst/>
                    </a:prstGeom>
                  </pic:spPr>
                </pic:pic>
              </a:graphicData>
            </a:graphic>
          </wp:inline>
        </w:drawing>
      </w:r>
      <w:commentRangeEnd w:id="31"/>
      <w:r w:rsidR="00850961">
        <w:rPr>
          <w:rStyle w:val="Marquedecommentaire"/>
          <w:rFonts w:cs="Times New Roman"/>
          <w:lang w:val="x-none"/>
        </w:rPr>
        <w:commentReference w:id="31"/>
      </w:r>
    </w:p>
    <w:p w14:paraId="786981C9" w14:textId="77777777" w:rsidR="004E17AB" w:rsidRPr="004E17AB" w:rsidRDefault="004E17AB" w:rsidP="00C77EB7">
      <w:pPr>
        <w:pStyle w:val="Titre3"/>
      </w:pPr>
      <w:bookmarkStart w:id="32" w:name="_Toc105148051"/>
      <w:r w:rsidRPr="004E17AB">
        <w:t>Processus de publication d’un TRI</w:t>
      </w:r>
      <w:bookmarkEnd w:id="32"/>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77777777" w:rsidR="00C77EB7" w:rsidRPr="004E17AB" w:rsidRDefault="00C77EB7" w:rsidP="004E17AB">
      <w:r w:rsidRPr="00C77EB7">
        <w:rPr>
          <w:noProof/>
          <w:lang w:val="en-US" w:eastAsia="en-US"/>
        </w:rPr>
        <w:lastRenderedPageBreak/>
        <w:drawing>
          <wp:inline distT="0" distB="0" distL="0" distR="0" wp14:anchorId="1407733D" wp14:editId="7CDCA886">
            <wp:extent cx="5518150" cy="3744082"/>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18150" cy="3744082"/>
                    </a:xfrm>
                    <a:prstGeom prst="rect">
                      <a:avLst/>
                    </a:prstGeom>
                  </pic:spPr>
                </pic:pic>
              </a:graphicData>
            </a:graphic>
          </wp:inline>
        </w:drawing>
      </w:r>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33" w:name="_Toc105148052"/>
      <w:r w:rsidRPr="004E17AB">
        <w:t>Processus de publication des Porter à Connaissance</w:t>
      </w:r>
      <w:bookmarkEnd w:id="33"/>
      <w:r w:rsidRPr="004E17AB">
        <w:t> </w:t>
      </w:r>
    </w:p>
    <w:p w14:paraId="72D0D7CD" w14:textId="44671571" w:rsidR="004830B3" w:rsidRDefault="004E17AB" w:rsidP="004E17AB">
      <w:r w:rsidRPr="004E17AB">
        <w:t>Le schéma suivant présente le processus de porter à connaissance. Ce processus est</w:t>
      </w:r>
      <w:r w:rsidR="004830B3">
        <w:t xml:space="preserve"> peu encadré techniquement et la façon dont les données sont publiées </w:t>
      </w:r>
      <w:r w:rsidRPr="004E17AB">
        <w:t xml:space="preserve">semble </w:t>
      </w:r>
      <w:del w:id="34" w:author="Marion Dumont" w:date="2022-06-03T15:14:00Z">
        <w:r w:rsidR="004830B3" w:rsidDel="00A31F9C">
          <w:delText>reposer</w:delText>
        </w:r>
        <w:r w:rsidRPr="004E17AB" w:rsidDel="00A31F9C">
          <w:delText xml:space="preserve"> </w:delText>
        </w:r>
      </w:del>
      <w:r w:rsidR="004830B3">
        <w:t>en grande partie être laissé</w:t>
      </w:r>
      <w:ins w:id="35" w:author="Marion Dumont" w:date="2022-06-03T15:14:00Z">
        <w:r w:rsidR="00A31F9C">
          <w:t>e</w:t>
        </w:r>
      </w:ins>
      <w:r w:rsidR="004830B3">
        <w:t xml:space="preserve"> à</w:t>
      </w:r>
      <w:r w:rsidRPr="004E17AB">
        <w:t xml:space="preserve"> l’</w:t>
      </w:r>
      <w:r w:rsidR="004830B3">
        <w:t>initiative</w:t>
      </w:r>
      <w:r w:rsidRPr="004E17AB">
        <w:t xml:space="preserve"> des DDT.</w:t>
      </w:r>
    </w:p>
    <w:p w14:paraId="68FA2DFE" w14:textId="77777777" w:rsidR="004E17AB" w:rsidRDefault="004E17AB" w:rsidP="004E17AB">
      <w:r w:rsidRPr="004E17AB">
        <w:t>  </w:t>
      </w:r>
    </w:p>
    <w:p w14:paraId="5AE48A43" w14:textId="77777777" w:rsidR="00C77EB7" w:rsidRPr="004E17AB" w:rsidRDefault="00C77EB7" w:rsidP="004E17AB">
      <w:commentRangeStart w:id="36"/>
      <w:r w:rsidRPr="00C77EB7">
        <w:rPr>
          <w:noProof/>
          <w:lang w:val="en-US" w:eastAsia="en-US"/>
        </w:rPr>
        <w:drawing>
          <wp:inline distT="0" distB="0" distL="0" distR="0" wp14:anchorId="383A13D1" wp14:editId="27170B6C">
            <wp:extent cx="5518150" cy="2640569"/>
            <wp:effectExtent l="0" t="0" r="635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18150" cy="2640569"/>
                    </a:xfrm>
                    <a:prstGeom prst="rect">
                      <a:avLst/>
                    </a:prstGeom>
                  </pic:spPr>
                </pic:pic>
              </a:graphicData>
            </a:graphic>
          </wp:inline>
        </w:drawing>
      </w:r>
      <w:commentRangeEnd w:id="36"/>
      <w:r w:rsidR="00A31F9C">
        <w:rPr>
          <w:rStyle w:val="Marquedecommentaire"/>
          <w:rFonts w:cs="Times New Roman"/>
          <w:lang w:val="x-none"/>
        </w:rPr>
        <w:commentReference w:id="36"/>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t> </w:t>
      </w:r>
    </w:p>
    <w:p w14:paraId="3BC5EC03" w14:textId="77777777" w:rsidR="004E17AB" w:rsidRPr="004E17AB" w:rsidRDefault="004E17AB" w:rsidP="004E17AB">
      <w:r w:rsidRPr="004E17AB">
        <w:lastRenderedPageBreak/>
        <w:t> </w:t>
      </w:r>
    </w:p>
    <w:p w14:paraId="01DB9C89" w14:textId="77777777" w:rsidR="004E17AB" w:rsidRPr="004E17AB" w:rsidRDefault="004E17AB" w:rsidP="00C77EB7">
      <w:pPr>
        <w:pStyle w:val="Titre2"/>
        <w:rPr>
          <w:lang w:val="fr-FR"/>
        </w:rPr>
      </w:pPr>
      <w:bookmarkStart w:id="37" w:name="_Toc105148053"/>
      <w:proofErr w:type="spellStart"/>
      <w:r w:rsidRPr="004E17AB">
        <w:t>Autres</w:t>
      </w:r>
      <w:proofErr w:type="spellEnd"/>
      <w:r w:rsidRPr="004E17AB">
        <w:t xml:space="preserve"> discussions</w:t>
      </w:r>
      <w:bookmarkEnd w:id="37"/>
      <w:r w:rsidRPr="004E17AB">
        <w:rPr>
          <w:lang w:val="fr-FR"/>
        </w:rPr>
        <w:t> </w:t>
      </w:r>
    </w:p>
    <w:p w14:paraId="64038BC5" w14:textId="77777777" w:rsidR="004E17AB" w:rsidRPr="004E17AB" w:rsidRDefault="004E17AB" w:rsidP="00C77EB7">
      <w:pPr>
        <w:pStyle w:val="Titre3"/>
      </w:pPr>
      <w:bookmarkStart w:id="38" w:name="_Toc105148054"/>
      <w:r w:rsidRPr="004E17AB">
        <w:t>Licences</w:t>
      </w:r>
      <w:bookmarkEnd w:id="38"/>
      <w:r w:rsidRPr="004E17AB">
        <w:t> </w:t>
      </w:r>
    </w:p>
    <w:p w14:paraId="015E0421" w14:textId="77777777" w:rsidR="004830B3" w:rsidRDefault="004E17AB" w:rsidP="004E17AB">
      <w:r w:rsidRPr="004E17AB">
        <w:t xml:space="preserve">Lors de la plénière, la </w:t>
      </w:r>
      <w:hyperlink r:id="rId50"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77777777" w:rsidR="004E17AB" w:rsidRPr="004E17AB" w:rsidRDefault="004830B3" w:rsidP="004E17AB">
      <w:r>
        <w:t>A noter que la rédaction des</w:t>
      </w:r>
      <w:r w:rsidR="004E17AB" w:rsidRPr="004E17AB">
        <w:t xml:space="preserve"> nouveaux Géostandards s’appuier</w:t>
      </w:r>
      <w:r>
        <w:t>a</w:t>
      </w:r>
      <w:r w:rsidR="004E17AB" w:rsidRPr="004E17AB">
        <w:t xml:space="preserve"> sur le</w:t>
      </w:r>
      <w:r>
        <w:t xml:space="preserve"> travail mené par le groupe de travail </w:t>
      </w:r>
      <w:r w:rsidR="004E17AB" w:rsidRPr="004E17AB">
        <w:t xml:space="preserve">CNIG </w:t>
      </w:r>
      <w:proofErr w:type="spellStart"/>
      <w:r>
        <w:t>Qua</w:t>
      </w:r>
      <w:del w:id="39" w:author="Marion Dumont" w:date="2022-06-03T15:28:00Z">
        <w:r w:rsidDel="00F56C4B">
          <w:delText>d</w:delText>
        </w:r>
      </w:del>
      <w:r>
        <w:t>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1" w:tgtFrame="_blank" w:history="1">
        <w:r w:rsidR="004E17AB" w:rsidRPr="004E17AB">
          <w:rPr>
            <w:rStyle w:val="Lienhypertexte"/>
          </w:rPr>
          <w:t>qualité et les métadonnées des Géostandards</w:t>
        </w:r>
      </w:hyperlink>
      <w:r w:rsidR="004E17AB" w:rsidRPr="004E17AB">
        <w:t>.   </w:t>
      </w:r>
    </w:p>
    <w:p w14:paraId="392EF704" w14:textId="77777777" w:rsidR="004E17AB" w:rsidRPr="004E17AB" w:rsidRDefault="004E17AB" w:rsidP="00C77EB7">
      <w:pPr>
        <w:pStyle w:val="Titre3"/>
      </w:pPr>
      <w:bookmarkStart w:id="40" w:name="_Ref105057422"/>
      <w:bookmarkStart w:id="41" w:name="_Toc105148055"/>
      <w:commentRangeStart w:id="42"/>
      <w:r w:rsidRPr="004E17AB">
        <w:t>Enjeux</w:t>
      </w:r>
      <w:bookmarkEnd w:id="40"/>
      <w:bookmarkEnd w:id="41"/>
      <w:r w:rsidRPr="004E17AB">
        <w:t> </w:t>
      </w:r>
      <w:commentRangeEnd w:id="42"/>
      <w:r w:rsidR="00850961">
        <w:rPr>
          <w:rStyle w:val="Marquedecommentaire"/>
          <w:rFonts w:ascii="Arial" w:eastAsia="Lucida Sans Unicode" w:hAnsi="Arial" w:cs="Times New Roman"/>
          <w:b w:val="0"/>
          <w:bCs w:val="0"/>
          <w:i w:val="0"/>
          <w:lang w:val="x-none"/>
        </w:rPr>
        <w:commentReference w:id="42"/>
      </w:r>
    </w:p>
    <w:p w14:paraId="799A858B" w14:textId="698E660A" w:rsidR="00B34CBF" w:rsidRDefault="004E17AB" w:rsidP="004E17AB">
      <w:r w:rsidRPr="004E17AB">
        <w:t xml:space="preserve">La question des données d’enjeux et le lien avec la gestion de crise a engendré des discussions qui sont résumées </w:t>
      </w:r>
      <w:del w:id="43" w:author="Gilles Cébélieu" w:date="2022-06-10T08:49:00Z">
        <w:r w:rsidRPr="004E17AB" w:rsidDel="00C0392A">
          <w:delText xml:space="preserve">ici </w:delText>
        </w:r>
      </w:del>
      <w:proofErr w:type="spellStart"/>
      <w:ins w:id="44" w:author="Gilles Cébélieu" w:date="2022-06-10T08:49:00Z">
        <w:r w:rsidR="005B3BF6">
          <w:t>ci dessous</w:t>
        </w:r>
        <w:proofErr w:type="spellEnd"/>
        <w:r w:rsidR="00C0392A" w:rsidRPr="004E17AB">
          <w:t xml:space="preserve"> </w:t>
        </w:r>
      </w:ins>
      <w:r w:rsidRPr="004E17AB">
        <w:t>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223AC1D6" w14:textId="77777777" w:rsidR="004E17AB" w:rsidRDefault="004E17AB" w:rsidP="004E17AB">
      <w:r w:rsidRPr="004E17AB">
        <w:t>Ces données sont à l’interface avec la gestion de crise qui est sous la responsabilité du ministère de l’intérieur. </w:t>
      </w:r>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E99619D" w:rsidR="004E17AB" w:rsidRPr="004E17AB" w:rsidRDefault="004E17AB" w:rsidP="004E17AB">
      <w:r w:rsidRPr="004E17AB">
        <w:t>Une action plus générale de collecte de besoin</w:t>
      </w:r>
      <w:ins w:id="45" w:author="Marion Dumont" w:date="2022-06-03T15:30:00Z">
        <w:r w:rsidR="00F56C4B">
          <w:t>s</w:t>
        </w:r>
      </w:ins>
      <w:r w:rsidRPr="004E17AB">
        <w:t xml:space="preserve">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46" w:name="_Ref105071187"/>
      <w:bookmarkStart w:id="47" w:name="_Ref105071204"/>
      <w:bookmarkStart w:id="48" w:name="_Ref105071247"/>
      <w:bookmarkStart w:id="49" w:name="_Toc105148056"/>
      <w:r w:rsidRPr="004E17AB">
        <w:lastRenderedPageBreak/>
        <w:t>Conclusions et actions à venir du groupe de travail</w:t>
      </w:r>
      <w:bookmarkEnd w:id="46"/>
      <w:bookmarkEnd w:id="47"/>
      <w:bookmarkEnd w:id="48"/>
      <w:bookmarkEnd w:id="49"/>
      <w:r w:rsidRPr="004E17AB">
        <w:t> </w:t>
      </w:r>
    </w:p>
    <w:p w14:paraId="20A44511" w14:textId="77777777" w:rsidR="00B34CBF" w:rsidRDefault="004E17AB" w:rsidP="00C77EB7">
      <w:pPr>
        <w:pStyle w:val="Titre2"/>
      </w:pPr>
      <w:bookmarkStart w:id="50" w:name="_Toc105148057"/>
      <w:proofErr w:type="spellStart"/>
      <w:r w:rsidRPr="004E17AB">
        <w:t>Périmètre</w:t>
      </w:r>
      <w:proofErr w:type="spellEnd"/>
      <w:r w:rsidRPr="004E17AB">
        <w:t xml:space="preserve"> des nouveaux standards risques</w:t>
      </w:r>
      <w:bookmarkEnd w:id="50"/>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51" w:name="_Toc105148058"/>
      <w:r w:rsidRPr="004E17AB">
        <w:t>PPR</w:t>
      </w:r>
      <w:bookmarkEnd w:id="51"/>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52" w:name="_Toc105148059"/>
      <w:r w:rsidRPr="004E17AB">
        <w:t>TRI</w:t>
      </w:r>
      <w:bookmarkEnd w:id="52"/>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w:t>
      </w:r>
      <w:r w:rsidR="00797DBF">
        <w:lastRenderedPageBreak/>
        <w:t xml:space="preserve">généralement dans le cadre de la </w:t>
      </w:r>
      <w:hyperlink r:id="rId52"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77777777" w:rsidR="004E17AB" w:rsidRPr="004E17AB" w:rsidRDefault="004E17AB" w:rsidP="00C77EB7">
      <w:pPr>
        <w:pStyle w:val="Titre3"/>
        <w:rPr>
          <w:lang w:val="en-US"/>
        </w:rPr>
      </w:pPr>
      <w:bookmarkStart w:id="53" w:name="_Toc105148060"/>
      <w:commentRangeStart w:id="54"/>
      <w:r w:rsidRPr="004E17AB">
        <w:t>P</w:t>
      </w:r>
      <w:r w:rsidR="009A13BD">
        <w:t xml:space="preserve">orter </w:t>
      </w:r>
      <w:r w:rsidRPr="004E17AB">
        <w:t>à</w:t>
      </w:r>
      <w:r w:rsidR="009A13BD">
        <w:t xml:space="preserve"> </w:t>
      </w:r>
      <w:commentRangeStart w:id="55"/>
      <w:r w:rsidRPr="004E17AB">
        <w:t>C</w:t>
      </w:r>
      <w:r w:rsidR="009A13BD">
        <w:t>onnaissance</w:t>
      </w:r>
      <w:bookmarkEnd w:id="53"/>
      <w:commentRangeEnd w:id="54"/>
      <w:r w:rsidR="00F56C4B">
        <w:rPr>
          <w:rStyle w:val="Marquedecommentaire"/>
          <w:rFonts w:ascii="Arial" w:eastAsia="Lucida Sans Unicode" w:hAnsi="Arial" w:cs="Times New Roman"/>
          <w:b w:val="0"/>
          <w:bCs w:val="0"/>
          <w:i w:val="0"/>
          <w:lang w:val="x-none"/>
        </w:rPr>
        <w:commentReference w:id="54"/>
      </w:r>
      <w:commentRangeEnd w:id="55"/>
      <w:r w:rsidR="00ED3252">
        <w:rPr>
          <w:rStyle w:val="Marquedecommentaire"/>
          <w:rFonts w:ascii="Arial" w:eastAsia="Lucida Sans Unicode" w:hAnsi="Arial" w:cs="Times New Roman"/>
          <w:b w:val="0"/>
          <w:bCs w:val="0"/>
          <w:i w:val="0"/>
          <w:lang w:val="x-none"/>
        </w:rPr>
        <w:commentReference w:id="55"/>
      </w:r>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30CB1263" w14:textId="77777777" w:rsidR="004E17AB"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technique pour sa mise en œuvre. </w:t>
      </w:r>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56" w:name="_Ref105057482"/>
      <w:bookmarkStart w:id="57" w:name="_Toc105148061"/>
      <w:r w:rsidRPr="002E04CA">
        <w:rPr>
          <w:lang w:val="fr-FR"/>
        </w:rPr>
        <w:t>Organisation et contenu des nouveaux standards</w:t>
      </w:r>
      <w:bookmarkEnd w:id="56"/>
      <w:bookmarkEnd w:id="57"/>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5D42B51A"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ins w:id="58" w:author="Marion Dumont" w:date="2022-06-03T15:36:00Z">
        <w:r w:rsidR="00F56C4B">
          <w:t>e</w:t>
        </w:r>
      </w:ins>
      <w:del w:id="59" w:author="Marion Dumont" w:date="2022-06-03T15:36:00Z">
        <w:r w:rsidRPr="004E17AB" w:rsidDel="00F56C4B">
          <w:delText>r</w:delText>
        </w:r>
      </w:del>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60" w:name="_Toc105148062"/>
      <w:r w:rsidRPr="004E17AB">
        <w:t>Contenu du modèle commun de données</w:t>
      </w:r>
      <w:bookmarkEnd w:id="60"/>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périmètre du travail de refonte est le suivant :</w:t>
      </w:r>
    </w:p>
    <w:p w14:paraId="6ECDD213" w14:textId="77777777" w:rsidR="004E17AB" w:rsidRPr="004E17AB" w:rsidRDefault="004E17AB" w:rsidP="004E17AB">
      <w:r w:rsidRPr="004E17AB">
        <w:lastRenderedPageBreak/>
        <w:t> </w:t>
      </w:r>
    </w:p>
    <w:p w14:paraId="5327704B" w14:textId="77777777" w:rsidR="004E17AB" w:rsidRDefault="00BE3F15" w:rsidP="009878D8">
      <w:pPr>
        <w:numPr>
          <w:ilvl w:val="0"/>
          <w:numId w:val="16"/>
        </w:numPr>
      </w:pPr>
      <w:r>
        <w:t>Pour les PPR</w:t>
      </w:r>
    </w:p>
    <w:p w14:paraId="121FD38A" w14:textId="77777777" w:rsidR="00BE3F15" w:rsidRPr="004E17AB" w:rsidRDefault="00BE3F15" w:rsidP="00BE3F15">
      <w:pPr>
        <w:ind w:left="720"/>
      </w:pPr>
    </w:p>
    <w:p w14:paraId="6D8EC112" w14:textId="77777777" w:rsidR="004E17AB" w:rsidRPr="004E17AB" w:rsidRDefault="004E17AB" w:rsidP="004E17AB">
      <w:r w:rsidRPr="004E17AB">
        <w:t xml:space="preserve">Les </w:t>
      </w:r>
      <w:r w:rsidRPr="001C2B9D">
        <w:rPr>
          <w:b/>
        </w:rPr>
        <w:t>PPRN</w:t>
      </w:r>
      <w:r w:rsidRPr="004E17AB">
        <w:t xml:space="preserve"> sont concernés par les articles </w:t>
      </w:r>
      <w:hyperlink r:id="rId53" w:anchor="LEGISCTA000006159296" w:history="1">
        <w:r w:rsidRPr="001C2B9D">
          <w:rPr>
            <w:rStyle w:val="Lienhypertexte"/>
          </w:rPr>
          <w:t>L562-1 à L562-9 du code de l’environnement</w:t>
        </w:r>
      </w:hyperlink>
      <w:r w:rsidRPr="004E17AB">
        <w:t>.</w:t>
      </w:r>
    </w:p>
    <w:p w14:paraId="56075004" w14:textId="77777777" w:rsidR="004E17AB" w:rsidRPr="004E17AB" w:rsidRDefault="004E17AB" w:rsidP="004E17AB">
      <w:r w:rsidRPr="004E17AB">
        <w:t xml:space="preserve">Les </w:t>
      </w:r>
      <w:r w:rsidRPr="001C2B9D">
        <w:rPr>
          <w:b/>
        </w:rPr>
        <w:t>PPRT</w:t>
      </w:r>
      <w:r w:rsidRPr="004E17AB">
        <w:t xml:space="preserve"> sont définis dans les articles </w:t>
      </w:r>
      <w:hyperlink r:id="rId54" w:anchor="LEGISCTA000006176606" w:history="1">
        <w:r w:rsidRPr="001C2B9D">
          <w:rPr>
            <w:rStyle w:val="Lienhypertexte"/>
          </w:rPr>
          <w:t>L515-15 à L</w:t>
        </w:r>
        <w:r w:rsidR="00F50B81" w:rsidRPr="001C2B9D">
          <w:rPr>
            <w:rStyle w:val="Lienhypertexte"/>
          </w:rPr>
          <w:t>515-26 du code l’environnement</w:t>
        </w:r>
      </w:hyperlink>
      <w:r w:rsidR="00F50B81">
        <w:t>.</w:t>
      </w:r>
      <w:r w:rsidRPr="004E17AB">
        <w:t> </w:t>
      </w:r>
    </w:p>
    <w:p w14:paraId="44084066" w14:textId="77777777" w:rsidR="00F50B81" w:rsidRDefault="001C2B9D" w:rsidP="004E17AB">
      <w:pPr>
        <w:rPr>
          <w:vertAlign w:val="superscript"/>
        </w:rPr>
      </w:pPr>
      <w:r>
        <w:t xml:space="preserve">Les </w:t>
      </w:r>
      <w:r w:rsidRPr="001C2B9D">
        <w:rPr>
          <w:b/>
        </w:rPr>
        <w:t>PPRM</w:t>
      </w:r>
      <w:r>
        <w:rPr>
          <w:b/>
        </w:rPr>
        <w:t xml:space="preserve"> </w:t>
      </w:r>
      <w:r w:rsidR="004E17AB" w:rsidRPr="004E17AB">
        <w:t>sont définis principalement par l’article </w:t>
      </w:r>
      <w:hyperlink r:id="rId55" w:history="1">
        <w:r w:rsidR="004E17AB" w:rsidRPr="001C2B9D">
          <w:rPr>
            <w:rStyle w:val="Lienhypertexte"/>
          </w:rPr>
          <w:t>L. 174-5 du code minier</w:t>
        </w:r>
      </w:hyperlink>
      <w:r w:rsidR="004E17AB" w:rsidRPr="004E17AB">
        <w:t xml:space="preserve"> et, par corolaire, les articles L. 562-1 à L. 5</w:t>
      </w:r>
      <w:r w:rsidR="00F50B81">
        <w:t>62-7 du code de l’environnement.</w:t>
      </w:r>
    </w:p>
    <w:p w14:paraId="1FE2DD96" w14:textId="77777777" w:rsidR="00F50B81" w:rsidRDefault="00F50B81" w:rsidP="004E17AB"/>
    <w:p w14:paraId="2846F942" w14:textId="77777777" w:rsidR="00F50B81" w:rsidRDefault="004E17AB" w:rsidP="004E17AB">
      <w:r w:rsidRPr="004E17AB">
        <w:t xml:space="preserve">Des décrets, des arrêtés et des circulaires </w:t>
      </w:r>
      <w:r w:rsidR="001C2B9D">
        <w:t xml:space="preserve">y </w:t>
      </w:r>
      <w:r w:rsidRPr="004E17AB">
        <w:t>sont associés afin d’encadrer les procédures relatives aux documents de prévention des risques.</w:t>
      </w:r>
    </w:p>
    <w:p w14:paraId="67368656" w14:textId="77777777" w:rsidR="004E17AB" w:rsidRPr="004E17AB" w:rsidRDefault="004E17AB" w:rsidP="004E17AB">
      <w:r w:rsidRPr="004E17AB">
        <w:t xml:space="preserve">  </w:t>
      </w:r>
    </w:p>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56"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57" w:history="1">
        <w:r w:rsidRPr="00BE3F15">
          <w:rPr>
            <w:rStyle w:val="Lienhypertexte"/>
          </w:rPr>
          <w:t>R566-5 du code de l’environnement</w:t>
        </w:r>
      </w:hyperlink>
      <w:r w:rsidRPr="004E17AB">
        <w:t xml:space="preserve"> et l’article 1er de son décret d’application </w:t>
      </w:r>
      <w:hyperlink r:id="rId58"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commentRangeStart w:id="61"/>
      <w:r w:rsidRPr="004E17AB">
        <w:t xml:space="preserve">Pour les Porter à Connaissance </w:t>
      </w:r>
      <w:r w:rsidR="00F50B81">
        <w:t>(PAC)</w:t>
      </w:r>
      <w:commentRangeEnd w:id="61"/>
      <w:r w:rsidR="00E82818">
        <w:rPr>
          <w:rStyle w:val="Marquedecommentaire"/>
          <w:rFonts w:cs="Times New Roman"/>
          <w:lang w:val="x-none"/>
        </w:rPr>
        <w:commentReference w:id="61"/>
      </w:r>
    </w:p>
    <w:p w14:paraId="135E24EF" w14:textId="77777777" w:rsidR="004E17AB" w:rsidRPr="004E17AB" w:rsidRDefault="004E17AB" w:rsidP="00BE3F15">
      <w:pPr>
        <w:ind w:left="720"/>
      </w:pPr>
      <w:r w:rsidRPr="004E17AB">
        <w:t xml:space="preserve">  </w:t>
      </w:r>
    </w:p>
    <w:p w14:paraId="0A97F2C4" w14:textId="77777777"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59" w:anchor="LEGISCTA000031212163" w:history="1">
        <w:r w:rsidRPr="00BE3F15">
          <w:rPr>
            <w:rStyle w:val="Lienhypertexte"/>
          </w:rPr>
          <w:t>L132-1 à L132-4 du code de l’urbanisme</w:t>
        </w:r>
      </w:hyperlink>
      <w:r w:rsidRPr="004E17AB">
        <w:t xml:space="preserve"> modifié par l’ordonnance n°2015-1174 du 23 septembre 2015 en application de l’article 171 de la loi ALUR (Accès au logement et un urb</w:t>
      </w:r>
      <w:r w:rsidR="00BE3F15">
        <w:t>anisme rénové) du 24 mars 2014.</w:t>
      </w:r>
      <w:r w:rsidRPr="004E17AB">
        <w:t> </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0"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lastRenderedPageBreak/>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1"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2"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3"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4"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62" w:name="_Toc105148063"/>
      <w:r w:rsidRPr="004E17AB">
        <w:t>Contenu des profils applicatifs</w:t>
      </w:r>
      <w:bookmarkEnd w:id="62"/>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r>
        <w:t xml:space="preserve">Des </w:t>
      </w:r>
      <w:proofErr w:type="spellStart"/>
      <w:r>
        <w:t>symbologies</w:t>
      </w:r>
      <w:proofErr w:type="spellEnd"/>
      <w:r>
        <w:t xml:space="preserve"> </w:t>
      </w:r>
      <w:r w:rsidRPr="002E5F88">
        <w:rPr>
          <w:rFonts w:eastAsia="Arial"/>
        </w:rPr>
        <w:t>à appliquer selon les modalités de diffusion </w:t>
      </w:r>
    </w:p>
    <w:p w14:paraId="7B09AE25" w14:textId="77777777" w:rsidR="004E17AB" w:rsidRPr="004E17AB" w:rsidRDefault="004E17AB" w:rsidP="009878D8">
      <w:pPr>
        <w:pStyle w:val="Paragraphedeliste"/>
        <w:numPr>
          <w:ilvl w:val="0"/>
          <w:numId w:val="30"/>
        </w:numPr>
      </w:pPr>
      <w:r w:rsidRPr="004E17AB">
        <w:t>Les formats d’export des données et des métadonnées pour le téléchargement en précisant en particulier pour le format d’export, le schéma physique des données, les règles d’encodage, les règles d’organisation des fichiers...  </w:t>
      </w:r>
    </w:p>
    <w:p w14:paraId="3382A365" w14:textId="77777777" w:rsidR="00BB4651" w:rsidRDefault="00BB4651" w:rsidP="004E17AB"/>
    <w:p w14:paraId="2C0CD01D" w14:textId="77777777" w:rsidR="004E17AB" w:rsidRDefault="004E17AB" w:rsidP="004E17AB">
      <w:r>
        <w:t xml:space="preserve">Le profil applicatif </w:t>
      </w:r>
      <w:r w:rsidR="00BB4651">
        <w:t>va</w:t>
      </w:r>
      <w:r>
        <w:t xml:space="preserve"> permettre aussi de préciser des règles pour la diffusion via des services </w:t>
      </w:r>
      <w:r>
        <w:lastRenderedPageBreak/>
        <w:t>web</w:t>
      </w:r>
      <w:r w:rsidR="00BB4651">
        <w:t> </w:t>
      </w:r>
      <w:r>
        <w:t>: qu</w:t>
      </w:r>
      <w:r w:rsidRPr="002E5F88">
        <w:rPr>
          <w:rFonts w:eastAsia="Arial"/>
        </w:rPr>
        <w:t xml:space="preserve">el(s) types de service(s), et comment définir les ressources (couches) diffusées par ces services </w:t>
      </w:r>
      <w:proofErr w:type="spellStart"/>
      <w:r w:rsidRPr="002E5F88">
        <w:rPr>
          <w:rFonts w:eastAsia="Arial"/>
        </w:rPr>
        <w:t>webs</w:t>
      </w:r>
      <w:proofErr w:type="spellEnd"/>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Pr="004E17AB" w:rsidRDefault="004E17AB" w:rsidP="009878D8">
      <w:pPr>
        <w:numPr>
          <w:ilvl w:val="0"/>
          <w:numId w:val="22"/>
        </w:numPr>
      </w:pPr>
      <w:r w:rsidRPr="004E17AB">
        <w:t>Des règles de passage du standard Directive Inondation v2 vers le nouveau modèle </w:t>
      </w:r>
    </w:p>
    <w:p w14:paraId="7299621E" w14:textId="77777777" w:rsidR="004E17AB" w:rsidRPr="004E17AB" w:rsidRDefault="004E17AB" w:rsidP="00C77EB7">
      <w:pPr>
        <w:pStyle w:val="Titre3"/>
      </w:pPr>
      <w:bookmarkStart w:id="63" w:name="_Toc105148064"/>
      <w:r w:rsidRPr="004E17AB">
        <w:t>Standard de production</w:t>
      </w:r>
      <w:bookmarkEnd w:id="63"/>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77777777" w:rsidR="004E17AB" w:rsidRPr="004E17AB" w:rsidRDefault="004E17AB" w:rsidP="004E17AB">
      <w:r w:rsidRPr="004E17AB">
        <w:t>  </w:t>
      </w:r>
    </w:p>
    <w:p w14:paraId="1DC92626" w14:textId="77777777" w:rsidR="004E17AB" w:rsidRPr="004E17AB" w:rsidRDefault="004E17AB" w:rsidP="00C77EB7">
      <w:pPr>
        <w:pStyle w:val="Titre2"/>
        <w:rPr>
          <w:lang w:val="fr-FR"/>
        </w:rPr>
      </w:pPr>
      <w:bookmarkStart w:id="64" w:name="_Toc105148065"/>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64"/>
      <w:proofErr w:type="spellEnd"/>
      <w:r w:rsidRPr="004E17AB">
        <w:rPr>
          <w:lang w:val="fr-FR"/>
        </w:rPr>
        <w:t> </w:t>
      </w:r>
    </w:p>
    <w:p w14:paraId="19854DBE" w14:textId="77777777" w:rsidR="004E17AB" w:rsidRPr="004E17AB" w:rsidRDefault="004E17AB" w:rsidP="00C77EB7">
      <w:pPr>
        <w:pStyle w:val="Titre3"/>
      </w:pPr>
      <w:bookmarkStart w:id="65" w:name="_Toc105148066"/>
      <w:r w:rsidRPr="004E17AB">
        <w:t>Rédaction des standards (modèle de données et profils applicatifs)</w:t>
      </w:r>
      <w:bookmarkEnd w:id="65"/>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 xml:space="preserve">L’approche proposée pour élaborer ces livrables est de partir des cas particuliers pour les étendre </w:t>
      </w:r>
      <w:r w:rsidRPr="004E17AB">
        <w:lastRenderedPageBreak/>
        <w:t>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commentRangeStart w:id="66"/>
      <w:r w:rsidRPr="004E17AB">
        <w:t>Méthode de travail proposée </w:t>
      </w:r>
      <w:commentRangeEnd w:id="66"/>
      <w:r w:rsidR="00ED3252">
        <w:rPr>
          <w:rStyle w:val="Marquedecommentaire"/>
          <w:rFonts w:eastAsia="Lucida Sans Unicode" w:cs="Times New Roman"/>
          <w:b w:val="0"/>
          <w:bCs w:val="0"/>
          <w:spacing w:val="0"/>
          <w:lang w:val="x-none"/>
        </w:rPr>
        <w:commentReference w:id="66"/>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lastRenderedPageBreak/>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rPr>
          <w:noProof/>
          <w:lang w:val="en-US" w:eastAsia="en-US"/>
        </w:rPr>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67" w:name="_Toc105148067"/>
      <w:commentRangeStart w:id="68"/>
      <w:r>
        <w:t>Définition d’</w:t>
      </w:r>
      <w:r w:rsidR="004E17AB" w:rsidRPr="004E17AB">
        <w:t>indicateurs de réussite du projet</w:t>
      </w:r>
      <w:bookmarkEnd w:id="67"/>
      <w:r w:rsidR="004E17AB" w:rsidRPr="004E17AB">
        <w:t> </w:t>
      </w:r>
      <w:commentRangeEnd w:id="68"/>
      <w:r w:rsidR="00ED3252">
        <w:rPr>
          <w:rStyle w:val="Marquedecommentaire"/>
          <w:rFonts w:ascii="Arial" w:eastAsia="Lucida Sans Unicode" w:hAnsi="Arial" w:cs="Times New Roman"/>
          <w:b w:val="0"/>
          <w:bCs w:val="0"/>
          <w:i w:val="0"/>
          <w:lang w:val="x-none"/>
        </w:rPr>
        <w:commentReference w:id="68"/>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t xml:space="preserve">Pour les </w:t>
      </w:r>
      <w:r w:rsidR="00755F70">
        <w:t>TRI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69" w:name="_Toc105148068"/>
      <w:r>
        <w:lastRenderedPageBreak/>
        <w:t>Annexe</w:t>
      </w:r>
      <w:r w:rsidR="005B5C68">
        <w:t> </w:t>
      </w:r>
      <w:r w:rsidR="00C77EB7" w:rsidRPr="00C77EB7">
        <w:t>: Liste des participants au groupe de travail</w:t>
      </w:r>
      <w:bookmarkEnd w:id="69"/>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lastRenderedPageBreak/>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70" w:name="_Toc481158358"/>
      <w:bookmarkStart w:id="71" w:name="_Toc481162747"/>
      <w:bookmarkStart w:id="72" w:name="_Toc481568541"/>
      <w:bookmarkStart w:id="73" w:name="_Toc481572817"/>
      <w:bookmarkEnd w:id="70"/>
      <w:bookmarkEnd w:id="71"/>
      <w:bookmarkEnd w:id="72"/>
      <w:bookmarkEnd w:id="73"/>
    </w:p>
    <w:sectPr w:rsidR="00E56B0B" w:rsidRPr="00755F70" w:rsidSect="00A5375E">
      <w:footerReference w:type="default" r:id="rId66"/>
      <w:type w:val="continuous"/>
      <w:pgSz w:w="12240" w:h="15840"/>
      <w:pgMar w:top="1440" w:right="1750" w:bottom="1440" w:left="1800" w:header="720" w:footer="720" w:gutter="0"/>
      <w:cols w:space="720"/>
      <w:titlePg/>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illes Cébélieu" w:date="2022-06-15T18:02:00Z" w:initials="GC">
    <w:p w14:paraId="30EAD0D2" w14:textId="77777777" w:rsidR="00850961" w:rsidRDefault="00850961" w:rsidP="00850961">
      <w:pPr>
        <w:pStyle w:val="Commentaire"/>
        <w:rPr>
          <w:lang w:val="fr-FR"/>
        </w:rPr>
      </w:pPr>
      <w:r>
        <w:rPr>
          <w:rStyle w:val="Marquedecommentaire"/>
        </w:rPr>
        <w:annotationRef/>
      </w:r>
      <w:r w:rsidRPr="00850961">
        <w:rPr>
          <w:b/>
          <w:lang w:val="fr-FR"/>
        </w:rPr>
        <w:t>Stanislas Besson</w:t>
      </w:r>
      <w:r>
        <w:rPr>
          <w:lang w:val="fr-FR"/>
        </w:rPr>
        <w:t xml:space="preserve"> :  </w:t>
      </w:r>
    </w:p>
    <w:p w14:paraId="1E1EC72D" w14:textId="3B59CCB3" w:rsidR="00850961" w:rsidRDefault="00850961" w:rsidP="00850961">
      <w:pPr>
        <w:pStyle w:val="Commentaire"/>
        <w:rPr>
          <w:lang w:val="fr-FR"/>
        </w:rPr>
      </w:pPr>
      <w:r w:rsidRPr="00850961">
        <w:rPr>
          <w:lang w:val="fr-FR"/>
        </w:rPr>
        <w:t>J’ajouterai un lien entre zonage réglementaire et aléas car les aléas entraînent un zonage réglementaire.</w:t>
      </w:r>
    </w:p>
    <w:p w14:paraId="2F3F77FC" w14:textId="77777777" w:rsidR="00850961" w:rsidRPr="00850961" w:rsidRDefault="00850961" w:rsidP="00850961">
      <w:pPr>
        <w:pStyle w:val="Commentaire"/>
        <w:rPr>
          <w:lang w:val="fr-FR"/>
        </w:rPr>
      </w:pPr>
    </w:p>
    <w:p w14:paraId="5DE2230F" w14:textId="1DCBD1E1" w:rsidR="00850961" w:rsidRPr="00850961" w:rsidRDefault="00850961" w:rsidP="00850961">
      <w:pPr>
        <w:pStyle w:val="Commentaire"/>
        <w:rPr>
          <w:lang w:val="fr-FR"/>
        </w:rPr>
      </w:pPr>
      <w:r w:rsidRPr="00850961">
        <w:rPr>
          <w:lang w:val="fr-FR"/>
        </w:rPr>
        <w:t>De même, le périmètre est déduit du zonage réglementaire (périmètre exposition aux risques = agrégation de l’ensemble des zones réglementaires)</w:t>
      </w:r>
    </w:p>
  </w:comment>
  <w:comment w:id="18" w:author="Gilles Cébélieu" w:date="2022-06-15T18:14:00Z" w:initials="GC">
    <w:p w14:paraId="670DC1AF" w14:textId="765558CE" w:rsidR="00E82818" w:rsidRDefault="00E82818">
      <w:pPr>
        <w:pStyle w:val="Commentaire"/>
        <w:rPr>
          <w:lang w:val="fr-FR"/>
        </w:rPr>
      </w:pPr>
      <w:r>
        <w:rPr>
          <w:rStyle w:val="Marquedecommentaire"/>
        </w:rPr>
        <w:annotationRef/>
      </w:r>
      <w:r w:rsidRPr="00E82818">
        <w:rPr>
          <w:b/>
          <w:lang w:val="fr-FR"/>
        </w:rPr>
        <w:t>Stanislas Besson</w:t>
      </w:r>
      <w:r>
        <w:rPr>
          <w:lang w:val="fr-FR"/>
        </w:rPr>
        <w:t xml:space="preserve"> : </w:t>
      </w:r>
    </w:p>
    <w:p w14:paraId="7396AC1A" w14:textId="0C5DD710" w:rsidR="00E82818" w:rsidRPr="00E82818" w:rsidRDefault="00E82818">
      <w:pPr>
        <w:pStyle w:val="Commentaire"/>
        <w:rPr>
          <w:lang w:val="fr-FR"/>
        </w:rPr>
      </w:pPr>
      <w:r>
        <w:rPr>
          <w:lang w:val="fr-FR"/>
        </w:rPr>
        <w:t>Oui</w:t>
      </w:r>
      <w:bookmarkStart w:id="19" w:name="_GoBack"/>
      <w:bookmarkEnd w:id="19"/>
    </w:p>
  </w:comment>
  <w:comment w:id="22" w:author="Gilles Cébélieu" w:date="2022-06-15T18:04:00Z" w:initials="GC">
    <w:p w14:paraId="5C07C882" w14:textId="77777777" w:rsidR="00850961" w:rsidRDefault="00850961">
      <w:pPr>
        <w:pStyle w:val="Commentaire"/>
        <w:rPr>
          <w:lang w:val="fr-FR"/>
        </w:rPr>
      </w:pPr>
      <w:r>
        <w:rPr>
          <w:rStyle w:val="Marquedecommentaire"/>
        </w:rPr>
        <w:annotationRef/>
      </w:r>
      <w:r w:rsidRPr="00850961">
        <w:rPr>
          <w:b/>
          <w:lang w:val="fr-FR"/>
        </w:rPr>
        <w:t xml:space="preserve">Stanislas Besson </w:t>
      </w:r>
      <w:r>
        <w:rPr>
          <w:lang w:val="fr-FR"/>
        </w:rPr>
        <w:t xml:space="preserve">: </w:t>
      </w:r>
      <w:r w:rsidRPr="00850961">
        <w:rPr>
          <w:lang w:val="fr-FR"/>
        </w:rPr>
        <w:t> </w:t>
      </w:r>
    </w:p>
    <w:p w14:paraId="7F0EC2A5" w14:textId="31A4108C" w:rsidR="00850961" w:rsidRPr="00850961" w:rsidRDefault="00850961">
      <w:pPr>
        <w:pStyle w:val="Commentaire"/>
        <w:rPr>
          <w:lang w:val="fr-FR"/>
        </w:rPr>
      </w:pPr>
      <w:r w:rsidRPr="00850961">
        <w:rPr>
          <w:lang w:val="fr-FR"/>
        </w:rPr>
        <w:t xml:space="preserve">Je ne </w:t>
      </w:r>
      <w:proofErr w:type="spellStart"/>
      <w:proofErr w:type="gramStart"/>
      <w:r w:rsidRPr="00850961">
        <w:rPr>
          <w:lang w:val="fr-FR"/>
        </w:rPr>
        <w:t>comprend</w:t>
      </w:r>
      <w:proofErr w:type="spellEnd"/>
      <w:proofErr w:type="gramEnd"/>
      <w:r w:rsidRPr="00850961">
        <w:rPr>
          <w:lang w:val="fr-FR"/>
        </w:rPr>
        <w:t xml:space="preserve"> pas la correspondance avec le standard PLU ? Le PPR n’est pas un document d’urbanisme, à la rigueur en lien avec la classe « information » car les PPR et les documents d’urbanisme répondent à des procédures différentes sans corrélation (exception annexion de la SUP quand le PPR est approuvé)</w:t>
      </w:r>
    </w:p>
  </w:comment>
  <w:comment w:id="24" w:author="Gilles Cébélieu" w:date="2022-06-15T18:05:00Z" w:initials="GC">
    <w:p w14:paraId="570A0104" w14:textId="77777777" w:rsidR="00850961" w:rsidRDefault="00850961">
      <w:pPr>
        <w:pStyle w:val="Commentaire"/>
        <w:rPr>
          <w:lang w:val="fr-FR"/>
        </w:rPr>
      </w:pPr>
      <w:r>
        <w:rPr>
          <w:rStyle w:val="Marquedecommentaire"/>
        </w:rPr>
        <w:annotationRef/>
      </w:r>
      <w:r w:rsidRPr="00850961">
        <w:rPr>
          <w:b/>
          <w:lang w:val="fr-FR"/>
        </w:rPr>
        <w:t>Stanislas Besson</w:t>
      </w:r>
      <w:r>
        <w:rPr>
          <w:lang w:val="fr-FR"/>
        </w:rPr>
        <w:t xml:space="preserve"> : </w:t>
      </w:r>
    </w:p>
    <w:p w14:paraId="7E1BA538" w14:textId="35D5DAB5" w:rsidR="00850961" w:rsidRPr="00850961" w:rsidRDefault="00850961">
      <w:pPr>
        <w:pStyle w:val="Commentaire"/>
        <w:rPr>
          <w:lang w:val="fr-FR"/>
        </w:rPr>
      </w:pPr>
      <w:r w:rsidRPr="00850961">
        <w:rPr>
          <w:lang w:val="fr-FR"/>
        </w:rPr>
        <w:t>Dans la suite des débats, lors de l’élaboration des « sous-classes » aléas, il faudrait pouvoir intégrer les spécifications de caractérisation/classification des différents phénomènes possibles (avalanche, mouvement de terrain, phénomènes thermiques, etc.)</w:t>
      </w:r>
    </w:p>
  </w:comment>
  <w:comment w:id="31" w:author="Gilles Cébélieu" w:date="2022-06-15T18:07:00Z" w:initials="GC">
    <w:p w14:paraId="4F0088E5" w14:textId="77777777" w:rsidR="00850961" w:rsidRDefault="00850961">
      <w:pPr>
        <w:pStyle w:val="Commentaire"/>
        <w:rPr>
          <w:lang w:val="fr-FR"/>
        </w:rPr>
      </w:pPr>
      <w:r>
        <w:rPr>
          <w:rStyle w:val="Marquedecommentaire"/>
        </w:rPr>
        <w:annotationRef/>
      </w:r>
      <w:r w:rsidRPr="00850961">
        <w:rPr>
          <w:b/>
          <w:lang w:val="fr-FR"/>
        </w:rPr>
        <w:t>Stanislas Besson</w:t>
      </w:r>
      <w:r>
        <w:rPr>
          <w:lang w:val="fr-FR"/>
        </w:rPr>
        <w:t xml:space="preserve"> : </w:t>
      </w:r>
    </w:p>
    <w:p w14:paraId="5FA7889A" w14:textId="77777777" w:rsidR="00850961" w:rsidRDefault="00850961">
      <w:pPr>
        <w:pStyle w:val="Commentaire"/>
        <w:rPr>
          <w:lang w:val="fr-FR"/>
        </w:rPr>
      </w:pPr>
      <w:r w:rsidRPr="00850961">
        <w:rPr>
          <w:lang w:val="fr-FR"/>
        </w:rPr>
        <w:t xml:space="preserve">Pour la publication des PPR, peu importe le ou les services qui fait le job (DDT, DREAL, unité en charge des risques et ou de la géomatique </w:t>
      </w:r>
      <w:proofErr w:type="spellStart"/>
      <w:r w:rsidRPr="00850961">
        <w:rPr>
          <w:lang w:val="fr-FR"/>
        </w:rPr>
        <w:t>etc</w:t>
      </w:r>
      <w:proofErr w:type="spellEnd"/>
      <w:r w:rsidRPr="00850961">
        <w:rPr>
          <w:lang w:val="fr-FR"/>
        </w:rPr>
        <w:t xml:space="preserve">), ce qui est important de mettre en évidence c’est la lourdeur du processus : pièces écrites d’un côté, données géographiques de l’autre et en parallèle le travail sur la SUP. </w:t>
      </w:r>
    </w:p>
    <w:p w14:paraId="7F1715D1" w14:textId="393069A4" w:rsidR="00850961" w:rsidRPr="00850961" w:rsidRDefault="00850961">
      <w:pPr>
        <w:pStyle w:val="Commentaire"/>
        <w:rPr>
          <w:lang w:val="fr-FR"/>
        </w:rPr>
      </w:pPr>
      <w:r w:rsidRPr="00850961">
        <w:rPr>
          <w:lang w:val="fr-FR"/>
        </w:rPr>
        <w:t>Cela sort un peu du cadre du groupe de travail, mais si la future standardisation peut amener une simplification des processus...</w:t>
      </w:r>
    </w:p>
  </w:comment>
  <w:comment w:id="36" w:author="Marion Dumont" w:date="2022-06-03T15:17:00Z" w:initials="MD">
    <w:p w14:paraId="41AE5F53" w14:textId="749DB215" w:rsidR="00850961" w:rsidRPr="00A31F9C" w:rsidRDefault="00850961">
      <w:pPr>
        <w:pStyle w:val="Commentaire"/>
        <w:rPr>
          <w:lang w:val="fr-FR"/>
        </w:rPr>
      </w:pPr>
      <w:r>
        <w:rPr>
          <w:rStyle w:val="Marquedecommentaire"/>
        </w:rPr>
        <w:annotationRef/>
      </w:r>
      <w:r>
        <w:rPr>
          <w:lang w:val="fr-FR"/>
        </w:rPr>
        <w:t xml:space="preserve">Nous avons souvent des remontées de DDT qui essaye de récupérer des infos SUP du GPU pour constituer les PAC. Ça serait </w:t>
      </w:r>
      <w:proofErr w:type="spellStart"/>
      <w:r>
        <w:rPr>
          <w:lang w:val="fr-FR"/>
        </w:rPr>
        <w:t>ptet</w:t>
      </w:r>
      <w:proofErr w:type="spellEnd"/>
      <w:r>
        <w:rPr>
          <w:lang w:val="fr-FR"/>
        </w:rPr>
        <w:t xml:space="preserve"> intéressant de creuser/décrire les interactions entre les données précédentes et les PAC ?</w:t>
      </w:r>
    </w:p>
  </w:comment>
  <w:comment w:id="42" w:author="Gilles Cébélieu" w:date="2022-06-15T18:09:00Z" w:initials="GC">
    <w:p w14:paraId="11518F6C" w14:textId="2A816498" w:rsidR="00850961" w:rsidRDefault="00850961">
      <w:pPr>
        <w:pStyle w:val="Commentaire"/>
        <w:rPr>
          <w:lang w:val="fr-FR"/>
        </w:rPr>
      </w:pPr>
      <w:r>
        <w:rPr>
          <w:rStyle w:val="Marquedecommentaire"/>
        </w:rPr>
        <w:annotationRef/>
      </w:r>
      <w:r>
        <w:rPr>
          <w:lang w:val="fr-FR"/>
        </w:rPr>
        <w:t xml:space="preserve">Stanislas Besson : </w:t>
      </w:r>
    </w:p>
    <w:p w14:paraId="778716B4" w14:textId="77777777" w:rsidR="00850961" w:rsidRDefault="00850961" w:rsidP="00850961">
      <w:pPr>
        <w:pStyle w:val="Commentaire"/>
        <w:rPr>
          <w:lang w:val="fr-FR"/>
        </w:rPr>
      </w:pPr>
      <w:r w:rsidRPr="00850961">
        <w:rPr>
          <w:lang w:val="fr-FR"/>
        </w:rPr>
        <w:t>Concernant les enjeux, il faut dis</w:t>
      </w:r>
      <w:r>
        <w:rPr>
          <w:lang w:val="fr-FR"/>
        </w:rPr>
        <w:t>tinguer deux grandes familles :</w:t>
      </w:r>
    </w:p>
    <w:p w14:paraId="3C90175A" w14:textId="77777777" w:rsidR="00850961" w:rsidRDefault="00850961" w:rsidP="00850961">
      <w:pPr>
        <w:pStyle w:val="Commentaire"/>
        <w:numPr>
          <w:ilvl w:val="0"/>
          <w:numId w:val="32"/>
        </w:numPr>
        <w:rPr>
          <w:lang w:val="fr-FR"/>
        </w:rPr>
      </w:pPr>
      <w:r w:rsidRPr="00850961">
        <w:rPr>
          <w:lang w:val="fr-FR"/>
        </w:rPr>
        <w:t xml:space="preserve"> les enjeux utiles pour l’élaboration des PPR, intégrant de fait des informations sur la situation actuelle et des prospectives (zones potentiels de développement d’activités, zones naturels à protéger, zones déjà urbanisées et à urbaniser). Ces éléments, croisés avec les aléas, permettent de définir les zones réglementaires et d’adapter le règlement aux conditions locales.</w:t>
      </w:r>
    </w:p>
    <w:p w14:paraId="7533F72C" w14:textId="77777777" w:rsidR="00850961" w:rsidRDefault="00850961" w:rsidP="00850961">
      <w:pPr>
        <w:pStyle w:val="Commentaire"/>
        <w:rPr>
          <w:lang w:val="fr-FR"/>
        </w:rPr>
      </w:pPr>
    </w:p>
    <w:p w14:paraId="29B1F143" w14:textId="70046F6F" w:rsidR="00850961" w:rsidRPr="00850961" w:rsidRDefault="00850961" w:rsidP="00850961">
      <w:pPr>
        <w:pStyle w:val="Commentaire"/>
        <w:numPr>
          <w:ilvl w:val="0"/>
          <w:numId w:val="32"/>
        </w:numPr>
        <w:rPr>
          <w:lang w:val="fr-FR"/>
        </w:rPr>
      </w:pPr>
      <w:r>
        <w:rPr>
          <w:lang w:val="fr-FR"/>
        </w:rPr>
        <w:t xml:space="preserve"> </w:t>
      </w:r>
      <w:r w:rsidRPr="00850961">
        <w:rPr>
          <w:lang w:val="fr-FR"/>
        </w:rPr>
        <w:t>les enjeux utiles pour la gestion de crise, intégrant les éléments utiles pour l’évacuation et la sauvegarde des populations (estimation de population par zone, voies d’accès, sites de secours [SDIS, police, etc.), accueil des populations [hôpitaux, gymnase, etc.]). Ces éléments permettent l’élaboration des PPI et d’anticiper la réponse à la crise le jour J.</w:t>
      </w:r>
    </w:p>
  </w:comment>
  <w:comment w:id="54" w:author="Marion Dumont" w:date="2022-06-03T15:37:00Z" w:initials="MD">
    <w:p w14:paraId="632A8407" w14:textId="23150515" w:rsidR="00850961" w:rsidRPr="00F56C4B" w:rsidRDefault="00850961">
      <w:pPr>
        <w:pStyle w:val="Commentaire"/>
        <w:rPr>
          <w:lang w:val="fr-FR"/>
        </w:rPr>
      </w:pPr>
      <w:r>
        <w:rPr>
          <w:rStyle w:val="Marquedecommentaire"/>
        </w:rPr>
        <w:annotationRef/>
      </w:r>
      <w:r>
        <w:rPr>
          <w:lang w:val="fr-FR"/>
        </w:rPr>
        <w:t>Il n’y a que des données risques dans le PAC ? [</w:t>
      </w:r>
      <w:proofErr w:type="gramStart"/>
      <w:r>
        <w:rPr>
          <w:lang w:val="fr-FR"/>
        </w:rPr>
        <w:t>c’est</w:t>
      </w:r>
      <w:proofErr w:type="gramEnd"/>
      <w:r>
        <w:rPr>
          <w:lang w:val="fr-FR"/>
        </w:rPr>
        <w:t xml:space="preserve"> une vraie question, je n’en sais rien] Si non, ça me semble joueur de faire porter toute sa standardisation par ce GT.</w:t>
      </w:r>
    </w:p>
  </w:comment>
  <w:comment w:id="55" w:author="Gilles Cébélieu" w:date="2022-06-10T16:25:00Z" w:initials="GC">
    <w:p w14:paraId="1DD89249" w14:textId="77777777" w:rsidR="00850961" w:rsidRDefault="00850961">
      <w:pPr>
        <w:pStyle w:val="Commentaire"/>
        <w:rPr>
          <w:rFonts w:eastAsia="Times New Roman"/>
          <w:lang w:val="fr-FR"/>
        </w:rPr>
      </w:pPr>
      <w:r>
        <w:rPr>
          <w:rStyle w:val="Marquedecommentaire"/>
        </w:rPr>
        <w:annotationRef/>
      </w:r>
      <w:r w:rsidRPr="00ED3252">
        <w:rPr>
          <w:b/>
          <w:lang w:val="fr-FR"/>
        </w:rPr>
        <w:t>G. Chrétien DDTM 76 </w:t>
      </w:r>
      <w:r>
        <w:rPr>
          <w:lang w:val="fr-FR"/>
        </w:rPr>
        <w:t xml:space="preserve">: </w:t>
      </w:r>
    </w:p>
    <w:p w14:paraId="386AC34E" w14:textId="77777777" w:rsidR="00850961" w:rsidRDefault="00850961">
      <w:pPr>
        <w:pStyle w:val="Commentaire"/>
        <w:rPr>
          <w:rFonts w:eastAsia="Times New Roman"/>
          <w:lang w:val="fr-FR"/>
        </w:rPr>
      </w:pPr>
      <w:r>
        <w:rPr>
          <w:rFonts w:eastAsia="Times New Roman"/>
        </w:rPr>
        <w:t xml:space="preserve">Les </w:t>
      </w:r>
      <w:proofErr w:type="spellStart"/>
      <w:r>
        <w:rPr>
          <w:rFonts w:eastAsia="Times New Roman"/>
        </w:rPr>
        <w:t>PàC</w:t>
      </w:r>
      <w:proofErr w:type="spellEnd"/>
      <w:r>
        <w:rPr>
          <w:rFonts w:eastAsia="Times New Roman"/>
        </w:rPr>
        <w:t xml:space="preserve"> </w:t>
      </w:r>
      <w:proofErr w:type="spellStart"/>
      <w:r>
        <w:rPr>
          <w:rFonts w:eastAsia="Times New Roman"/>
        </w:rPr>
        <w:t>sont</w:t>
      </w:r>
      <w:proofErr w:type="spellEnd"/>
      <w:r>
        <w:rPr>
          <w:rFonts w:eastAsia="Times New Roman"/>
        </w:rPr>
        <w:t xml:space="preserve"> à </w:t>
      </w:r>
      <w:proofErr w:type="spellStart"/>
      <w:r>
        <w:rPr>
          <w:rFonts w:eastAsia="Times New Roman"/>
        </w:rPr>
        <w:t>mon</w:t>
      </w:r>
      <w:proofErr w:type="spellEnd"/>
      <w:r>
        <w:rPr>
          <w:rFonts w:eastAsia="Times New Roman"/>
        </w:rPr>
        <w:t xml:space="preserve"> </w:t>
      </w:r>
      <w:proofErr w:type="spellStart"/>
      <w:r>
        <w:rPr>
          <w:rFonts w:eastAsia="Times New Roman"/>
        </w:rPr>
        <w:t>sens</w:t>
      </w:r>
      <w:proofErr w:type="spellEnd"/>
      <w:r>
        <w:rPr>
          <w:rFonts w:eastAsia="Times New Roman"/>
        </w:rPr>
        <w:t xml:space="preserve"> à </w:t>
      </w:r>
      <w:proofErr w:type="spellStart"/>
      <w:r>
        <w:rPr>
          <w:rFonts w:eastAsia="Times New Roman"/>
        </w:rPr>
        <w:t>rapprocher</w:t>
      </w:r>
      <w:proofErr w:type="spellEnd"/>
      <w:r>
        <w:rPr>
          <w:rFonts w:eastAsia="Times New Roman"/>
        </w:rPr>
        <w:t xml:space="preserve"> des PPR (</w:t>
      </w:r>
      <w:proofErr w:type="spellStart"/>
      <w:r>
        <w:rPr>
          <w:rFonts w:eastAsia="Times New Roman"/>
        </w:rPr>
        <w:t>dans</w:t>
      </w:r>
      <w:proofErr w:type="spellEnd"/>
      <w:r>
        <w:rPr>
          <w:rFonts w:eastAsia="Times New Roman"/>
        </w:rPr>
        <w:t xml:space="preserve"> le document </w:t>
      </w:r>
      <w:proofErr w:type="spellStart"/>
      <w:r>
        <w:rPr>
          <w:rFonts w:eastAsia="Times New Roman"/>
        </w:rPr>
        <w:t>ils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mis</w:t>
      </w:r>
      <w:proofErr w:type="spellEnd"/>
      <w:r>
        <w:rPr>
          <w:rFonts w:eastAsia="Times New Roman"/>
        </w:rPr>
        <w:t xml:space="preserve"> après les TRI). </w:t>
      </w:r>
    </w:p>
    <w:p w14:paraId="32A588A0" w14:textId="77777777" w:rsidR="00850961" w:rsidRDefault="00850961">
      <w:pPr>
        <w:pStyle w:val="Commentaire"/>
        <w:rPr>
          <w:rFonts w:eastAsia="Times New Roman"/>
          <w:lang w:val="fr-FR"/>
        </w:rPr>
      </w:pPr>
      <w:r>
        <w:rPr>
          <w:rFonts w:eastAsia="Times New Roman"/>
        </w:rPr>
        <w:t xml:space="preserve">Il </w:t>
      </w:r>
      <w:proofErr w:type="spellStart"/>
      <w:r>
        <w:rPr>
          <w:rFonts w:eastAsia="Times New Roman"/>
        </w:rPr>
        <w:t>existe</w:t>
      </w:r>
      <w:proofErr w:type="spellEnd"/>
      <w:r>
        <w:rPr>
          <w:rFonts w:eastAsia="Times New Roman"/>
        </w:rPr>
        <w:t xml:space="preserve"> </w:t>
      </w:r>
      <w:proofErr w:type="spellStart"/>
      <w:r>
        <w:rPr>
          <w:rFonts w:eastAsia="Times New Roman"/>
        </w:rPr>
        <w:t>plusieurs</w:t>
      </w:r>
      <w:proofErr w:type="spellEnd"/>
      <w:r>
        <w:rPr>
          <w:rFonts w:eastAsia="Times New Roman"/>
        </w:rPr>
        <w:t xml:space="preserve"> types de </w:t>
      </w:r>
      <w:proofErr w:type="spellStart"/>
      <w:r>
        <w:rPr>
          <w:rFonts w:eastAsia="Times New Roman"/>
        </w:rPr>
        <w:t>PàC</w:t>
      </w:r>
      <w:proofErr w:type="spellEnd"/>
      <w:r>
        <w:rPr>
          <w:rFonts w:eastAsia="Times New Roman"/>
        </w:rPr>
        <w:t xml:space="preserve"> </w:t>
      </w:r>
      <w:proofErr w:type="spellStart"/>
      <w:r>
        <w:rPr>
          <w:rFonts w:eastAsia="Times New Roman"/>
        </w:rPr>
        <w:t>mais</w:t>
      </w:r>
      <w:proofErr w:type="spellEnd"/>
      <w:r>
        <w:rPr>
          <w:rFonts w:eastAsia="Times New Roman"/>
        </w:rPr>
        <w:t xml:space="preserve"> un des types de </w:t>
      </w:r>
      <w:proofErr w:type="spellStart"/>
      <w:r>
        <w:rPr>
          <w:rFonts w:eastAsia="Times New Roman"/>
        </w:rPr>
        <w:t>PàC</w:t>
      </w:r>
      <w:proofErr w:type="spellEnd"/>
      <w:r>
        <w:rPr>
          <w:rFonts w:eastAsia="Times New Roman"/>
        </w:rPr>
        <w:t xml:space="preserve"> correspond aux PPR en </w:t>
      </w:r>
      <w:proofErr w:type="spellStart"/>
      <w:r>
        <w:rPr>
          <w:rFonts w:eastAsia="Times New Roman"/>
        </w:rPr>
        <w:t>cours</w:t>
      </w:r>
      <w:proofErr w:type="spellEnd"/>
      <w:r>
        <w:rPr>
          <w:rFonts w:eastAsia="Times New Roman"/>
        </w:rPr>
        <w:t xml:space="preserve"> </w:t>
      </w:r>
      <w:proofErr w:type="spellStart"/>
      <w:r>
        <w:rPr>
          <w:rFonts w:eastAsia="Times New Roman"/>
        </w:rPr>
        <w:t>d'élaboration</w:t>
      </w:r>
      <w:proofErr w:type="spellEnd"/>
      <w:r>
        <w:rPr>
          <w:rFonts w:eastAsia="Times New Roman"/>
        </w:rPr>
        <w:t xml:space="preserve"> (</w:t>
      </w:r>
      <w:proofErr w:type="spellStart"/>
      <w:r>
        <w:rPr>
          <w:rFonts w:eastAsia="Times New Roman"/>
        </w:rPr>
        <w:t>comme</w:t>
      </w:r>
      <w:proofErr w:type="spellEnd"/>
      <w:r>
        <w:rPr>
          <w:rFonts w:eastAsia="Times New Roman"/>
        </w:rPr>
        <w:t xml:space="preserve"> on met </w:t>
      </w:r>
      <w:proofErr w:type="spellStart"/>
      <w:r>
        <w:rPr>
          <w:rFonts w:eastAsia="Times New Roman"/>
        </w:rPr>
        <w:t>plusieurs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à faire un PPR, on </w:t>
      </w:r>
      <w:proofErr w:type="spellStart"/>
      <w:r>
        <w:rPr>
          <w:rFonts w:eastAsia="Times New Roman"/>
        </w:rPr>
        <w:t>transmet</w:t>
      </w:r>
      <w:proofErr w:type="spellEnd"/>
      <w:r>
        <w:rPr>
          <w:rFonts w:eastAsia="Times New Roman"/>
        </w:rPr>
        <w:t xml:space="preserve"> les </w:t>
      </w:r>
      <w:proofErr w:type="spellStart"/>
      <w:r>
        <w:rPr>
          <w:rFonts w:eastAsia="Times New Roman"/>
        </w:rPr>
        <w:t>aléas</w:t>
      </w:r>
      <w:proofErr w:type="spellEnd"/>
      <w:r>
        <w:rPr>
          <w:rFonts w:eastAsia="Times New Roman"/>
        </w:rPr>
        <w:t xml:space="preserve"> du PPR avec des </w:t>
      </w:r>
      <w:proofErr w:type="spellStart"/>
      <w:r>
        <w:rPr>
          <w:rFonts w:eastAsia="Times New Roman"/>
        </w:rPr>
        <w:t>préconisations</w:t>
      </w:r>
      <w:proofErr w:type="spellEnd"/>
      <w:r>
        <w:rPr>
          <w:rFonts w:eastAsia="Times New Roman"/>
        </w:rPr>
        <w:t xml:space="preserve"> pour commencer à limiter </w:t>
      </w:r>
      <w:proofErr w:type="spellStart"/>
      <w:r>
        <w:rPr>
          <w:rFonts w:eastAsia="Times New Roman"/>
        </w:rPr>
        <w:t>l'urbanisme</w:t>
      </w:r>
      <w:proofErr w:type="spellEnd"/>
      <w:r>
        <w:rPr>
          <w:rFonts w:eastAsia="Times New Roman"/>
        </w:rPr>
        <w:t xml:space="preserve"> sans </w:t>
      </w:r>
      <w:proofErr w:type="spellStart"/>
      <w:r>
        <w:rPr>
          <w:rFonts w:eastAsia="Times New Roman"/>
        </w:rPr>
        <w:t>attendre</w:t>
      </w:r>
      <w:proofErr w:type="spellEnd"/>
      <w:r>
        <w:rPr>
          <w:rFonts w:eastAsia="Times New Roman"/>
        </w:rPr>
        <w:t xml:space="preserve"> </w:t>
      </w:r>
      <w:proofErr w:type="spellStart"/>
      <w:r>
        <w:rPr>
          <w:rFonts w:eastAsia="Times New Roman"/>
        </w:rPr>
        <w:t>l'approbation</w:t>
      </w:r>
      <w:proofErr w:type="spellEnd"/>
      <w:r>
        <w:rPr>
          <w:rFonts w:eastAsia="Times New Roman"/>
        </w:rPr>
        <w:t xml:space="preserve">). </w:t>
      </w:r>
    </w:p>
    <w:p w14:paraId="0009849D" w14:textId="1377227E" w:rsidR="00850961" w:rsidRPr="00ED3252" w:rsidRDefault="00850961">
      <w:pPr>
        <w:pStyle w:val="Commentaire"/>
        <w:rPr>
          <w:lang w:val="fr-FR"/>
        </w:rPr>
      </w:pPr>
      <w:proofErr w:type="spellStart"/>
      <w:r>
        <w:rPr>
          <w:rFonts w:eastAsia="Times New Roman"/>
        </w:rPr>
        <w:t>Dans</w:t>
      </w:r>
      <w:proofErr w:type="spellEnd"/>
      <w:r>
        <w:rPr>
          <w:rFonts w:eastAsia="Times New Roman"/>
        </w:rPr>
        <w:t xml:space="preserve"> </w:t>
      </w:r>
      <w:proofErr w:type="spellStart"/>
      <w:r>
        <w:rPr>
          <w:rFonts w:eastAsia="Times New Roman"/>
        </w:rPr>
        <w:t>l'idéal</w:t>
      </w:r>
      <w:proofErr w:type="spellEnd"/>
      <w:r>
        <w:rPr>
          <w:rFonts w:eastAsia="Times New Roman"/>
        </w:rPr>
        <w:t xml:space="preserve">, le standard </w:t>
      </w:r>
      <w:proofErr w:type="spellStart"/>
      <w:r>
        <w:rPr>
          <w:rFonts w:eastAsia="Times New Roman"/>
        </w:rPr>
        <w:t>PàC</w:t>
      </w:r>
      <w:proofErr w:type="spellEnd"/>
      <w:r>
        <w:rPr>
          <w:rFonts w:eastAsia="Times New Roman"/>
        </w:rPr>
        <w:t xml:space="preserve"> </w:t>
      </w:r>
      <w:proofErr w:type="spellStart"/>
      <w:r>
        <w:rPr>
          <w:rFonts w:eastAsia="Times New Roman"/>
        </w:rPr>
        <w:t>devrait</w:t>
      </w:r>
      <w:proofErr w:type="spellEnd"/>
      <w:r>
        <w:rPr>
          <w:rFonts w:eastAsia="Times New Roman"/>
        </w:rPr>
        <w:t xml:space="preserve"> </w:t>
      </w:r>
      <w:proofErr w:type="spellStart"/>
      <w:r>
        <w:rPr>
          <w:rFonts w:eastAsia="Times New Roman"/>
        </w:rPr>
        <w:t>découler</w:t>
      </w:r>
      <w:proofErr w:type="spellEnd"/>
      <w:r>
        <w:rPr>
          <w:rFonts w:eastAsia="Times New Roman"/>
        </w:rPr>
        <w:t xml:space="preserve"> du standard PPR pour en </w:t>
      </w:r>
      <w:proofErr w:type="spellStart"/>
      <w:r>
        <w:rPr>
          <w:rFonts w:eastAsia="Times New Roman"/>
        </w:rPr>
        <w:t>être</w:t>
      </w:r>
      <w:proofErr w:type="spellEnd"/>
      <w:r>
        <w:rPr>
          <w:rFonts w:eastAsia="Times New Roman"/>
        </w:rPr>
        <w:t xml:space="preserve"> </w:t>
      </w:r>
      <w:proofErr w:type="spellStart"/>
      <w:r>
        <w:rPr>
          <w:rFonts w:eastAsia="Times New Roman"/>
        </w:rPr>
        <w:t>une</w:t>
      </w:r>
      <w:proofErr w:type="spellEnd"/>
      <w:r>
        <w:rPr>
          <w:rFonts w:eastAsia="Times New Roman"/>
        </w:rPr>
        <w:t xml:space="preserve"> version </w:t>
      </w:r>
      <w:proofErr w:type="spellStart"/>
      <w:r>
        <w:rPr>
          <w:rFonts w:eastAsia="Times New Roman"/>
        </w:rPr>
        <w:t>simplifiée</w:t>
      </w:r>
      <w:proofErr w:type="spellEnd"/>
      <w:r>
        <w:rPr>
          <w:rFonts w:eastAsia="Times New Roman"/>
        </w:rPr>
        <w:t>.</w:t>
      </w:r>
    </w:p>
  </w:comment>
  <w:comment w:id="61" w:author="Gilles Cébélieu" w:date="2022-06-15T18:12:00Z" w:initials="GC">
    <w:p w14:paraId="4D934678" w14:textId="77777777" w:rsidR="00E82818" w:rsidRDefault="00E82818">
      <w:pPr>
        <w:pStyle w:val="Commentaire"/>
        <w:rPr>
          <w:lang w:val="fr-FR"/>
        </w:rPr>
      </w:pPr>
      <w:r>
        <w:rPr>
          <w:rStyle w:val="Marquedecommentaire"/>
        </w:rPr>
        <w:annotationRef/>
      </w:r>
      <w:r w:rsidRPr="00E82818">
        <w:rPr>
          <w:b/>
          <w:lang w:val="fr-FR"/>
        </w:rPr>
        <w:t>Stanislas Besson</w:t>
      </w:r>
      <w:r>
        <w:rPr>
          <w:lang w:val="fr-FR"/>
        </w:rPr>
        <w:t xml:space="preserve"> : </w:t>
      </w:r>
    </w:p>
    <w:p w14:paraId="5F152C4E" w14:textId="260348D4" w:rsidR="00E82818" w:rsidRPr="00E82818" w:rsidRDefault="00E82818">
      <w:pPr>
        <w:pStyle w:val="Commentaire"/>
        <w:rPr>
          <w:lang w:val="fr-FR"/>
        </w:rPr>
      </w:pPr>
      <w:r w:rsidRPr="00E82818">
        <w:rPr>
          <w:lang w:val="fr-FR"/>
        </w:rPr>
        <w:t>Il faut distinguer les « Porter à Connaissance risques » applicables au titre de l’article R111-2 du Code de l’urbanisme. Leur intérêt et d’informer la collectivité de l’existence d’un phénomène/risque sur un périmètre sur lequel la constructibilité doit être limitée ou interdite. Cela permet de faire appliquer les mesures d’urbanisme d’un futur PPR à partir de l’étude technique (aléa) dans l’attente de son approbation future.</w:t>
      </w:r>
    </w:p>
  </w:comment>
  <w:comment w:id="66" w:author="Gilles Cébélieu" w:date="2022-06-10T16:23:00Z" w:initials="GC">
    <w:p w14:paraId="6A3B1ECC" w14:textId="60E1ED8F" w:rsidR="00850961" w:rsidRPr="00ED3252" w:rsidRDefault="00850961">
      <w:pPr>
        <w:pStyle w:val="Commentaire"/>
        <w:rPr>
          <w:lang w:val="fr-FR"/>
        </w:rPr>
      </w:pPr>
      <w:r>
        <w:rPr>
          <w:rStyle w:val="Marquedecommentaire"/>
        </w:rPr>
        <w:annotationRef/>
      </w:r>
      <w:r w:rsidRPr="00ED3252">
        <w:rPr>
          <w:rStyle w:val="Marquedecommentaire"/>
          <w:b/>
          <w:kern w:val="16"/>
          <w:lang w:val="fr-FR"/>
        </w:rPr>
        <w:t xml:space="preserve">G. </w:t>
      </w:r>
      <w:proofErr w:type="spellStart"/>
      <w:r w:rsidRPr="00ED3252">
        <w:rPr>
          <w:rStyle w:val="Marquedecommentaire"/>
          <w:b/>
          <w:kern w:val="16"/>
          <w:lang w:val="fr-FR"/>
        </w:rPr>
        <w:t>Chretien</w:t>
      </w:r>
      <w:proofErr w:type="spellEnd"/>
      <w:r w:rsidRPr="00ED3252">
        <w:rPr>
          <w:rStyle w:val="Marquedecommentaire"/>
          <w:b/>
          <w:kern w:val="16"/>
          <w:lang w:val="fr-FR"/>
        </w:rPr>
        <w:t xml:space="preserve"> DDTM76</w:t>
      </w:r>
      <w:r>
        <w:rPr>
          <w:rStyle w:val="Marquedecommentaire"/>
          <w:lang w:val="fr-FR"/>
        </w:rPr>
        <w:t xml:space="preserve"> : </w:t>
      </w:r>
      <w:r>
        <w:rPr>
          <w:rFonts w:eastAsia="Times New Roman"/>
        </w:rPr>
        <w:t xml:space="preserve">En première phase des </w:t>
      </w:r>
      <w:proofErr w:type="spellStart"/>
      <w:r>
        <w:rPr>
          <w:rFonts w:eastAsia="Times New Roman"/>
        </w:rPr>
        <w:t>définitions</w:t>
      </w:r>
      <w:proofErr w:type="spellEnd"/>
      <w:r>
        <w:rPr>
          <w:rFonts w:eastAsia="Times New Roman"/>
        </w:rPr>
        <w:t xml:space="preserve"> des standards </w:t>
      </w:r>
      <w:proofErr w:type="spellStart"/>
      <w:r>
        <w:rPr>
          <w:rFonts w:eastAsia="Times New Roman"/>
        </w:rPr>
        <w:t>est-il</w:t>
      </w:r>
      <w:proofErr w:type="spellEnd"/>
      <w:r>
        <w:rPr>
          <w:rFonts w:eastAsia="Times New Roman"/>
        </w:rPr>
        <w:t xml:space="preserve"> </w:t>
      </w:r>
      <w:proofErr w:type="spellStart"/>
      <w:r>
        <w:rPr>
          <w:rFonts w:eastAsia="Times New Roman"/>
        </w:rPr>
        <w:t>prévu</w:t>
      </w:r>
      <w:proofErr w:type="spellEnd"/>
      <w:r>
        <w:rPr>
          <w:rFonts w:eastAsia="Times New Roman"/>
        </w:rPr>
        <w:t xml:space="preserve"> de faire un diagnostic avec point + points - des standards </w:t>
      </w:r>
      <w:proofErr w:type="spellStart"/>
      <w:r>
        <w:rPr>
          <w:rFonts w:eastAsia="Times New Roman"/>
        </w:rPr>
        <w:t>existant</w:t>
      </w:r>
      <w:proofErr w:type="spellEnd"/>
      <w:r>
        <w:rPr>
          <w:rFonts w:eastAsia="Times New Roman"/>
        </w:rPr>
        <w:t xml:space="preserve"> et </w:t>
      </w:r>
      <w:proofErr w:type="spellStart"/>
      <w:r>
        <w:rPr>
          <w:rFonts w:eastAsia="Times New Roman"/>
        </w:rPr>
        <w:t>ce</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l'on</w:t>
      </w:r>
      <w:proofErr w:type="spellEnd"/>
      <w:r>
        <w:rPr>
          <w:rFonts w:eastAsia="Times New Roman"/>
        </w:rPr>
        <w:t xml:space="preserve"> </w:t>
      </w:r>
      <w:proofErr w:type="spellStart"/>
      <w:r>
        <w:rPr>
          <w:rFonts w:eastAsia="Times New Roman"/>
        </w:rPr>
        <w:t>veut</w:t>
      </w:r>
      <w:proofErr w:type="spellEnd"/>
      <w:r>
        <w:rPr>
          <w:rFonts w:eastAsia="Times New Roman"/>
        </w:rPr>
        <w:t xml:space="preserve"> conserver / </w:t>
      </w:r>
      <w:proofErr w:type="spellStart"/>
      <w:r>
        <w:rPr>
          <w:rFonts w:eastAsia="Times New Roman"/>
        </w:rPr>
        <w:t>améliorer</w:t>
      </w:r>
      <w:proofErr w:type="spellEnd"/>
      <w:r>
        <w:rPr>
          <w:rFonts w:eastAsia="Times New Roman"/>
        </w:rPr>
        <w:t xml:space="preserve"> / </w:t>
      </w:r>
      <w:proofErr w:type="spellStart"/>
      <w:r>
        <w:rPr>
          <w:rFonts w:eastAsia="Times New Roman"/>
        </w:rPr>
        <w:t>supprimer</w:t>
      </w:r>
      <w:proofErr w:type="spellEnd"/>
      <w:r>
        <w:rPr>
          <w:rFonts w:eastAsia="Times New Roman"/>
        </w:rPr>
        <w:t xml:space="preserve"> (chez nous on </w:t>
      </w:r>
      <w:proofErr w:type="spellStart"/>
      <w:r>
        <w:rPr>
          <w:rFonts w:eastAsia="Times New Roman"/>
        </w:rPr>
        <w:t>trouvait</w:t>
      </w:r>
      <w:proofErr w:type="spellEnd"/>
      <w:r>
        <w:rPr>
          <w:rFonts w:eastAsia="Times New Roman"/>
        </w:rPr>
        <w:t xml:space="preserve"> les standards </w:t>
      </w:r>
      <w:proofErr w:type="spellStart"/>
      <w:r>
        <w:rPr>
          <w:rFonts w:eastAsia="Times New Roman"/>
        </w:rPr>
        <w:t>covadis</w:t>
      </w:r>
      <w:proofErr w:type="spellEnd"/>
      <w:r>
        <w:rPr>
          <w:rFonts w:eastAsia="Times New Roman"/>
        </w:rPr>
        <w:t xml:space="preserve"> </w:t>
      </w:r>
      <w:proofErr w:type="spellStart"/>
      <w:r>
        <w:rPr>
          <w:rFonts w:eastAsia="Times New Roman"/>
        </w:rPr>
        <w:t>plutôt</w:t>
      </w:r>
      <w:proofErr w:type="spellEnd"/>
      <w:r>
        <w:rPr>
          <w:rFonts w:eastAsia="Times New Roman"/>
        </w:rPr>
        <w:t xml:space="preserve"> </w:t>
      </w:r>
      <w:proofErr w:type="spellStart"/>
      <w:r>
        <w:rPr>
          <w:rFonts w:eastAsia="Times New Roman"/>
        </w:rPr>
        <w:t>bien</w:t>
      </w:r>
      <w:proofErr w:type="spellEnd"/>
      <w:r>
        <w:rPr>
          <w:rFonts w:eastAsia="Times New Roman"/>
        </w:rPr>
        <w:t xml:space="preserve"> </w:t>
      </w:r>
      <w:proofErr w:type="spellStart"/>
      <w:r>
        <w:rPr>
          <w:rFonts w:eastAsia="Times New Roman"/>
        </w:rPr>
        <w:t>mais</w:t>
      </w:r>
      <w:proofErr w:type="spellEnd"/>
      <w:r>
        <w:rPr>
          <w:rFonts w:eastAsia="Times New Roman"/>
        </w:rPr>
        <w:t xml:space="preserve"> le standard TRI </w:t>
      </w:r>
      <w:proofErr w:type="spellStart"/>
      <w:r>
        <w:rPr>
          <w:rFonts w:eastAsia="Times New Roman"/>
        </w:rPr>
        <w:t>plutôt</w:t>
      </w:r>
      <w:proofErr w:type="spellEnd"/>
      <w:r>
        <w:rPr>
          <w:rFonts w:eastAsia="Times New Roman"/>
        </w:rPr>
        <w:t xml:space="preserve"> </w:t>
      </w:r>
      <w:proofErr w:type="spellStart"/>
      <w:r>
        <w:rPr>
          <w:rFonts w:eastAsia="Times New Roman"/>
        </w:rPr>
        <w:t>affreux</w:t>
      </w:r>
      <w:proofErr w:type="spellEnd"/>
      <w:r>
        <w:rPr>
          <w:rFonts w:eastAsia="Times New Roman"/>
        </w:rPr>
        <w:t>).</w:t>
      </w:r>
    </w:p>
  </w:comment>
  <w:comment w:id="68" w:author="Gilles Cébélieu" w:date="2022-06-10T16:33:00Z" w:initials="GC">
    <w:p w14:paraId="5898CEDA" w14:textId="3238368B" w:rsidR="00850961" w:rsidRPr="00ED3252" w:rsidRDefault="00850961">
      <w:pPr>
        <w:pStyle w:val="Commentaire"/>
        <w:rPr>
          <w:rFonts w:eastAsia="Times New Roman"/>
          <w:b/>
          <w:u w:val="single"/>
          <w:lang w:val="fr-FR"/>
        </w:rPr>
      </w:pPr>
      <w:r>
        <w:rPr>
          <w:rStyle w:val="Marquedecommentaire"/>
        </w:rPr>
        <w:annotationRef/>
      </w:r>
      <w:r w:rsidRPr="00ED3252">
        <w:rPr>
          <w:rFonts w:eastAsia="Times New Roman"/>
          <w:b/>
          <w:u w:val="single"/>
          <w:lang w:val="fr-FR"/>
        </w:rPr>
        <w:t>G. Chrétien DDTM 76 :</w:t>
      </w:r>
    </w:p>
    <w:p w14:paraId="5C72F05F" w14:textId="7944739C" w:rsidR="00850961" w:rsidRDefault="00850961">
      <w:pPr>
        <w:pStyle w:val="Commentaire"/>
      </w:pPr>
      <w:r>
        <w:rPr>
          <w:rFonts w:eastAsia="Times New Roman"/>
        </w:rPr>
        <w:t xml:space="preserve">La seine maritime </w:t>
      </w:r>
      <w:proofErr w:type="spellStart"/>
      <w:r>
        <w:rPr>
          <w:rFonts w:eastAsia="Times New Roman"/>
        </w:rPr>
        <w:t>est</w:t>
      </w:r>
      <w:proofErr w:type="spellEnd"/>
      <w:r>
        <w:rPr>
          <w:rFonts w:eastAsia="Times New Roman"/>
        </w:rPr>
        <w:t xml:space="preserve"> </w:t>
      </w:r>
      <w:proofErr w:type="spellStart"/>
      <w:r>
        <w:rPr>
          <w:rFonts w:eastAsia="Times New Roman"/>
        </w:rPr>
        <w:t>investi</w:t>
      </w:r>
      <w:proofErr w:type="spellEnd"/>
      <w:r>
        <w:rPr>
          <w:rFonts w:eastAsia="Times New Roman"/>
        </w:rPr>
        <w:t xml:space="preserve"> </w:t>
      </w:r>
      <w:proofErr w:type="spellStart"/>
      <w:r>
        <w:rPr>
          <w:rFonts w:eastAsia="Times New Roman"/>
        </w:rPr>
        <w:t>sur</w:t>
      </w:r>
      <w:proofErr w:type="spellEnd"/>
      <w:r>
        <w:rPr>
          <w:rFonts w:eastAsia="Times New Roman"/>
        </w:rPr>
        <w:t xml:space="preserve"> les standards </w:t>
      </w:r>
      <w:proofErr w:type="spellStart"/>
      <w:r>
        <w:rPr>
          <w:rFonts w:eastAsia="Times New Roman"/>
        </w:rPr>
        <w:t>actuel</w:t>
      </w:r>
      <w:proofErr w:type="spellEnd"/>
      <w:r>
        <w:rPr>
          <w:rFonts w:eastAsia="Times New Roman"/>
        </w:rPr>
        <w:t xml:space="preserve"> (</w:t>
      </w:r>
      <w:proofErr w:type="spellStart"/>
      <w:r>
        <w:rPr>
          <w:rFonts w:eastAsia="Times New Roman"/>
        </w:rPr>
        <w:t>cnig</w:t>
      </w:r>
      <w:proofErr w:type="spellEnd"/>
      <w:r>
        <w:rPr>
          <w:rFonts w:eastAsia="Times New Roman"/>
        </w:rPr>
        <w:t xml:space="preserve"> et </w:t>
      </w:r>
      <w:proofErr w:type="spellStart"/>
      <w:r>
        <w:rPr>
          <w:rFonts w:eastAsia="Times New Roman"/>
        </w:rPr>
        <w:t>covadis</w:t>
      </w:r>
      <w:proofErr w:type="spellEnd"/>
      <w:r>
        <w:rPr>
          <w:rFonts w:eastAsia="Times New Roman"/>
        </w:rPr>
        <w:t xml:space="preserve">) et </w:t>
      </w:r>
      <w:proofErr w:type="spellStart"/>
      <w:r>
        <w:rPr>
          <w:rFonts w:eastAsia="Times New Roman"/>
        </w:rPr>
        <w:t>est</w:t>
      </w:r>
      <w:proofErr w:type="spellEnd"/>
      <w:r>
        <w:rPr>
          <w:rFonts w:eastAsia="Times New Roman"/>
        </w:rPr>
        <w:t xml:space="preserve"> à jour </w:t>
      </w:r>
      <w:proofErr w:type="spellStart"/>
      <w:r>
        <w:rPr>
          <w:rFonts w:eastAsia="Times New Roman"/>
        </w:rPr>
        <w:t>tant</w:t>
      </w:r>
      <w:proofErr w:type="spellEnd"/>
      <w:r>
        <w:rPr>
          <w:rFonts w:eastAsia="Times New Roman"/>
        </w:rPr>
        <w:t xml:space="preserve"> </w:t>
      </w:r>
      <w:proofErr w:type="spellStart"/>
      <w:r>
        <w:rPr>
          <w:rFonts w:eastAsia="Times New Roman"/>
        </w:rPr>
        <w:t>côté</w:t>
      </w:r>
      <w:proofErr w:type="spellEnd"/>
      <w:r>
        <w:rPr>
          <w:rFonts w:eastAsia="Times New Roman"/>
        </w:rPr>
        <w:t xml:space="preserve"> GPU </w:t>
      </w:r>
      <w:proofErr w:type="spellStart"/>
      <w:r>
        <w:rPr>
          <w:rFonts w:eastAsia="Times New Roman"/>
        </w:rPr>
        <w:t>que</w:t>
      </w:r>
      <w:proofErr w:type="spellEnd"/>
      <w:r>
        <w:rPr>
          <w:rFonts w:eastAsia="Times New Roman"/>
        </w:rPr>
        <w:t xml:space="preserve"> </w:t>
      </w:r>
      <w:proofErr w:type="spellStart"/>
      <w:r>
        <w:rPr>
          <w:rFonts w:eastAsia="Times New Roman"/>
        </w:rPr>
        <w:t>côté</w:t>
      </w:r>
      <w:proofErr w:type="spellEnd"/>
      <w:r>
        <w:rPr>
          <w:rFonts w:eastAsia="Times New Roman"/>
        </w:rPr>
        <w:t xml:space="preserve"> GASPAR </w:t>
      </w:r>
      <w:proofErr w:type="spellStart"/>
      <w:r>
        <w:rPr>
          <w:rFonts w:eastAsia="Times New Roman"/>
        </w:rPr>
        <w:t>mais</w:t>
      </w:r>
      <w:proofErr w:type="spellEnd"/>
      <w:r>
        <w:rPr>
          <w:rFonts w:eastAsia="Times New Roman"/>
        </w:rPr>
        <w:t xml:space="preserve"> les bugs de </w:t>
      </w:r>
      <w:proofErr w:type="spellStart"/>
      <w:r>
        <w:rPr>
          <w:rFonts w:eastAsia="Times New Roman"/>
        </w:rPr>
        <w:t>remontées</w:t>
      </w:r>
      <w:proofErr w:type="spellEnd"/>
      <w:r>
        <w:rPr>
          <w:rFonts w:eastAsia="Times New Roman"/>
        </w:rPr>
        <w:t xml:space="preserve"> des données </w:t>
      </w:r>
      <w:proofErr w:type="spellStart"/>
      <w:r>
        <w:rPr>
          <w:rFonts w:eastAsia="Times New Roman"/>
        </w:rPr>
        <w:t>vers</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et </w:t>
      </w:r>
      <w:proofErr w:type="spellStart"/>
      <w:r>
        <w:rPr>
          <w:rFonts w:eastAsia="Times New Roman"/>
        </w:rPr>
        <w:t>errial</w:t>
      </w:r>
      <w:proofErr w:type="spellEnd"/>
      <w:r>
        <w:rPr>
          <w:rFonts w:eastAsia="Times New Roman"/>
        </w:rPr>
        <w:t xml:space="preserve"> se </w:t>
      </w:r>
      <w:proofErr w:type="spellStart"/>
      <w:r>
        <w:rPr>
          <w:rFonts w:eastAsia="Times New Roman"/>
        </w:rPr>
        <w:t>sont</w:t>
      </w:r>
      <w:proofErr w:type="spellEnd"/>
      <w:r>
        <w:rPr>
          <w:rFonts w:eastAsia="Times New Roman"/>
        </w:rPr>
        <w:t xml:space="preserve"> </w:t>
      </w:r>
      <w:proofErr w:type="spellStart"/>
      <w:r>
        <w:rPr>
          <w:rFonts w:eastAsia="Times New Roman"/>
        </w:rPr>
        <w:t>multipliés</w:t>
      </w:r>
      <w:proofErr w:type="spellEnd"/>
      <w:r>
        <w:rPr>
          <w:rFonts w:eastAsia="Times New Roman"/>
        </w:rPr>
        <w:t xml:space="preserve">. Par </w:t>
      </w:r>
      <w:proofErr w:type="spellStart"/>
      <w:r>
        <w:rPr>
          <w:rFonts w:eastAsia="Times New Roman"/>
        </w:rPr>
        <w:t>exemple</w:t>
      </w:r>
      <w:proofErr w:type="spellEnd"/>
      <w:r>
        <w:rPr>
          <w:rFonts w:eastAsia="Times New Roman"/>
        </w:rPr>
        <w:t xml:space="preserve"> le PPRT de la zip du Havre a </w:t>
      </w:r>
      <w:proofErr w:type="spellStart"/>
      <w:r>
        <w:rPr>
          <w:rFonts w:eastAsia="Times New Roman"/>
        </w:rPr>
        <w:t>disparu</w:t>
      </w:r>
      <w:proofErr w:type="spellEnd"/>
      <w:r>
        <w:rPr>
          <w:rFonts w:eastAsia="Times New Roman"/>
        </w:rPr>
        <w:t xml:space="preserve"> </w:t>
      </w:r>
      <w:proofErr w:type="spellStart"/>
      <w:r>
        <w:rPr>
          <w:rFonts w:eastAsia="Times New Roman"/>
        </w:rPr>
        <w:t>lors</w:t>
      </w:r>
      <w:proofErr w:type="spellEnd"/>
      <w:r>
        <w:rPr>
          <w:rFonts w:eastAsia="Times New Roman"/>
        </w:rPr>
        <w:t xml:space="preserve"> des </w:t>
      </w:r>
      <w:proofErr w:type="spellStart"/>
      <w:r>
        <w:rPr>
          <w:rFonts w:eastAsia="Times New Roman"/>
        </w:rPr>
        <w:t>dernières</w:t>
      </w:r>
      <w:proofErr w:type="spellEnd"/>
      <w:r>
        <w:rPr>
          <w:rFonts w:eastAsia="Times New Roman"/>
        </w:rPr>
        <w:t xml:space="preserve"> </w:t>
      </w:r>
      <w:proofErr w:type="spellStart"/>
      <w:r>
        <w:rPr>
          <w:rFonts w:eastAsia="Times New Roman"/>
        </w:rPr>
        <w:t>mises</w:t>
      </w:r>
      <w:proofErr w:type="spellEnd"/>
      <w:r>
        <w:rPr>
          <w:rFonts w:eastAsia="Times New Roman"/>
        </w:rPr>
        <w:t xml:space="preserve"> à jour </w:t>
      </w:r>
      <w:proofErr w:type="spellStart"/>
      <w:r>
        <w:rPr>
          <w:rFonts w:eastAsia="Times New Roman"/>
        </w:rPr>
        <w:t>il</w:t>
      </w:r>
      <w:proofErr w:type="spellEnd"/>
      <w:r>
        <w:rPr>
          <w:rFonts w:eastAsia="Times New Roman"/>
        </w:rPr>
        <w:t xml:space="preserve"> y a un </w:t>
      </w:r>
      <w:proofErr w:type="spellStart"/>
      <w:r>
        <w:rPr>
          <w:rFonts w:eastAsia="Times New Roman"/>
        </w:rPr>
        <w:t>mois</w:t>
      </w:r>
      <w:proofErr w:type="spellEnd"/>
      <w:r>
        <w:rPr>
          <w:rFonts w:eastAsia="Times New Roman"/>
        </w:rPr>
        <w:t xml:space="preserve">. </w:t>
      </w:r>
      <w:proofErr w:type="spellStart"/>
      <w:r>
        <w:rPr>
          <w:rFonts w:eastAsia="Times New Roman"/>
        </w:rPr>
        <w:t>Malgré</w:t>
      </w:r>
      <w:proofErr w:type="spellEnd"/>
      <w:r>
        <w:rPr>
          <w:rFonts w:eastAsia="Times New Roman"/>
        </w:rPr>
        <w:t xml:space="preserve"> les </w:t>
      </w:r>
      <w:proofErr w:type="spellStart"/>
      <w:r>
        <w:rPr>
          <w:rFonts w:eastAsia="Times New Roman"/>
        </w:rPr>
        <w:t>signalements</w:t>
      </w:r>
      <w:proofErr w:type="spellEnd"/>
      <w:r>
        <w:rPr>
          <w:rFonts w:eastAsia="Times New Roman"/>
        </w:rPr>
        <w:t xml:space="preserve"> à </w:t>
      </w:r>
      <w:proofErr w:type="spellStart"/>
      <w:r>
        <w:rPr>
          <w:rFonts w:eastAsia="Times New Roman"/>
        </w:rPr>
        <w:t>l'équipe</w:t>
      </w:r>
      <w:proofErr w:type="spellEnd"/>
      <w:r>
        <w:rPr>
          <w:rFonts w:eastAsia="Times New Roman"/>
        </w:rPr>
        <w:t xml:space="preserve"> </w:t>
      </w:r>
      <w:proofErr w:type="spellStart"/>
      <w:r>
        <w:rPr>
          <w:rFonts w:eastAsia="Times New Roman"/>
        </w:rPr>
        <w:t>il</w:t>
      </w:r>
      <w:proofErr w:type="spellEnd"/>
      <w:r>
        <w:rPr>
          <w:rFonts w:eastAsia="Times New Roman"/>
        </w:rPr>
        <w:t xml:space="preserve"> </w:t>
      </w:r>
      <w:proofErr w:type="spellStart"/>
      <w:r>
        <w:rPr>
          <w:rFonts w:eastAsia="Times New Roman"/>
        </w:rPr>
        <w:t>n'y</w:t>
      </w:r>
      <w:proofErr w:type="spellEnd"/>
      <w:r>
        <w:rPr>
          <w:rFonts w:eastAsia="Times New Roman"/>
        </w:rPr>
        <w:t xml:space="preserve"> a </w:t>
      </w:r>
      <w:proofErr w:type="spellStart"/>
      <w:r>
        <w:rPr>
          <w:rFonts w:eastAsia="Times New Roman"/>
        </w:rPr>
        <w:t>ni</w:t>
      </w:r>
      <w:proofErr w:type="spellEnd"/>
      <w:r>
        <w:rPr>
          <w:rFonts w:eastAsia="Times New Roman"/>
        </w:rPr>
        <w:t xml:space="preserve"> correction </w:t>
      </w:r>
      <w:proofErr w:type="spellStart"/>
      <w:r>
        <w:rPr>
          <w:rFonts w:eastAsia="Times New Roman"/>
        </w:rPr>
        <w:t>ni</w:t>
      </w:r>
      <w:proofErr w:type="spellEnd"/>
      <w:r>
        <w:rPr>
          <w:rFonts w:eastAsia="Times New Roman"/>
        </w:rPr>
        <w:t xml:space="preserve"> </w:t>
      </w:r>
      <w:proofErr w:type="spellStart"/>
      <w:r>
        <w:rPr>
          <w:rFonts w:eastAsia="Times New Roman"/>
        </w:rPr>
        <w:t>avertissement</w:t>
      </w:r>
      <w:proofErr w:type="spellEnd"/>
      <w:r>
        <w:rPr>
          <w:rFonts w:eastAsia="Times New Roman"/>
        </w:rPr>
        <w:t xml:space="preserve"> </w:t>
      </w:r>
      <w:proofErr w:type="spellStart"/>
      <w:r>
        <w:rPr>
          <w:rFonts w:eastAsia="Times New Roman"/>
        </w:rPr>
        <w:t>sur</w:t>
      </w:r>
      <w:proofErr w:type="spellEnd"/>
      <w:r>
        <w:rPr>
          <w:rFonts w:eastAsia="Times New Roman"/>
        </w:rPr>
        <w:t xml:space="preserve"> le site </w:t>
      </w:r>
      <w:proofErr w:type="spellStart"/>
      <w:r>
        <w:rPr>
          <w:rFonts w:eastAsia="Times New Roman"/>
        </w:rPr>
        <w:t>géorisque</w:t>
      </w:r>
      <w:proofErr w:type="spellEnd"/>
      <w:r>
        <w:rPr>
          <w:rFonts w:eastAsia="Times New Roman"/>
        </w:rPr>
        <w:t xml:space="preserve"> et le site </w:t>
      </w:r>
      <w:proofErr w:type="spellStart"/>
      <w:r>
        <w:rPr>
          <w:rFonts w:eastAsia="Times New Roman"/>
        </w:rPr>
        <w:t>errial</w:t>
      </w:r>
      <w:proofErr w:type="spellEnd"/>
      <w:r>
        <w:rPr>
          <w:rFonts w:eastAsia="Times New Roman"/>
        </w:rPr>
        <w:t xml:space="preserve">. </w:t>
      </w:r>
      <w:proofErr w:type="spellStart"/>
      <w:r>
        <w:rPr>
          <w:rFonts w:eastAsia="Times New Roman"/>
        </w:rPr>
        <w:t>Cette</w:t>
      </w:r>
      <w:proofErr w:type="spellEnd"/>
      <w:r>
        <w:rPr>
          <w:rFonts w:eastAsia="Times New Roman"/>
        </w:rPr>
        <w:t xml:space="preserve"> situation </w:t>
      </w:r>
      <w:proofErr w:type="spellStart"/>
      <w:r>
        <w:rPr>
          <w:rFonts w:eastAsia="Times New Roman"/>
        </w:rPr>
        <w:t>est</w:t>
      </w:r>
      <w:proofErr w:type="spellEnd"/>
      <w:r>
        <w:rPr>
          <w:rFonts w:eastAsia="Times New Roman"/>
        </w:rPr>
        <w:t xml:space="preserve"> </w:t>
      </w:r>
      <w:proofErr w:type="spellStart"/>
      <w:r>
        <w:rPr>
          <w:rFonts w:eastAsia="Times New Roman"/>
        </w:rPr>
        <w:t>contre</w:t>
      </w:r>
      <w:proofErr w:type="spellEnd"/>
      <w:r>
        <w:rPr>
          <w:rFonts w:eastAsia="Times New Roman"/>
        </w:rPr>
        <w:t xml:space="preserve"> productive et </w:t>
      </w:r>
      <w:proofErr w:type="spellStart"/>
      <w:r>
        <w:rPr>
          <w:rFonts w:eastAsia="Times New Roman"/>
        </w:rPr>
        <w:t>pénalise</w:t>
      </w:r>
      <w:proofErr w:type="spellEnd"/>
      <w:r>
        <w:rPr>
          <w:rFonts w:eastAsia="Times New Roman"/>
        </w:rPr>
        <w:t xml:space="preserve"> </w:t>
      </w:r>
      <w:proofErr w:type="spellStart"/>
      <w:r>
        <w:rPr>
          <w:rFonts w:eastAsia="Times New Roman"/>
        </w:rPr>
        <w:t>tant</w:t>
      </w:r>
      <w:proofErr w:type="spellEnd"/>
      <w:r>
        <w:rPr>
          <w:rFonts w:eastAsia="Times New Roman"/>
        </w:rPr>
        <w:t xml:space="preserve"> les services de </w:t>
      </w:r>
      <w:proofErr w:type="spellStart"/>
      <w:r>
        <w:rPr>
          <w:rFonts w:eastAsia="Times New Roman"/>
        </w:rPr>
        <w:t>l'état</w:t>
      </w:r>
      <w:proofErr w:type="spellEnd"/>
      <w:r>
        <w:rPr>
          <w:rFonts w:eastAsia="Times New Roman"/>
        </w:rPr>
        <w:t xml:space="preserve"> </w:t>
      </w:r>
      <w:proofErr w:type="spellStart"/>
      <w:r>
        <w:rPr>
          <w:rFonts w:eastAsia="Times New Roman"/>
        </w:rPr>
        <w:t>que</w:t>
      </w:r>
      <w:proofErr w:type="spellEnd"/>
      <w:r>
        <w:rPr>
          <w:rFonts w:eastAsia="Times New Roman"/>
        </w:rPr>
        <w:t xml:space="preserve"> les </w:t>
      </w:r>
      <w:proofErr w:type="spellStart"/>
      <w:r>
        <w:rPr>
          <w:rFonts w:eastAsia="Times New Roman"/>
        </w:rPr>
        <w:t>riverains</w:t>
      </w:r>
      <w:proofErr w:type="spellEnd"/>
      <w:r>
        <w:rPr>
          <w:rFonts w:eastAsia="Times New Roman"/>
        </w:rPr>
        <w:t>.</w:t>
      </w:r>
      <w:r>
        <w:rPr>
          <w:rFonts w:eastAsia="Times New Roman"/>
        </w:rPr>
        <w:br/>
        <w:t xml:space="preserve">Le groupe de travail </w:t>
      </w:r>
      <w:proofErr w:type="spellStart"/>
      <w:r>
        <w:rPr>
          <w:rFonts w:eastAsia="Times New Roman"/>
        </w:rPr>
        <w:t>sur</w:t>
      </w:r>
      <w:proofErr w:type="spellEnd"/>
      <w:r>
        <w:rPr>
          <w:rFonts w:eastAsia="Times New Roman"/>
        </w:rPr>
        <w:t xml:space="preserve"> les standards </w:t>
      </w:r>
      <w:proofErr w:type="spellStart"/>
      <w:r>
        <w:rPr>
          <w:rFonts w:eastAsia="Times New Roman"/>
        </w:rPr>
        <w:t>n'a</w:t>
      </w:r>
      <w:proofErr w:type="spellEnd"/>
      <w:r>
        <w:rPr>
          <w:rFonts w:eastAsia="Times New Roman"/>
        </w:rPr>
        <w:t xml:space="preserve"> de </w:t>
      </w:r>
      <w:proofErr w:type="spellStart"/>
      <w:r>
        <w:rPr>
          <w:rFonts w:eastAsia="Times New Roman"/>
        </w:rPr>
        <w:t>sens</w:t>
      </w:r>
      <w:proofErr w:type="spellEnd"/>
      <w:r>
        <w:rPr>
          <w:rFonts w:eastAsia="Times New Roman"/>
        </w:rPr>
        <w:t xml:space="preserve"> </w:t>
      </w:r>
      <w:proofErr w:type="spellStart"/>
      <w:r>
        <w:rPr>
          <w:rFonts w:eastAsia="Times New Roman"/>
        </w:rPr>
        <w:t>que</w:t>
      </w:r>
      <w:proofErr w:type="spellEnd"/>
      <w:r>
        <w:rPr>
          <w:rFonts w:eastAsia="Times New Roman"/>
        </w:rPr>
        <w:t xml:space="preserve"> si les données </w:t>
      </w:r>
      <w:proofErr w:type="spellStart"/>
      <w:r>
        <w:rPr>
          <w:rFonts w:eastAsia="Times New Roman"/>
        </w:rPr>
        <w:t>standardisés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rendues</w:t>
      </w:r>
      <w:proofErr w:type="spellEnd"/>
      <w:r>
        <w:rPr>
          <w:rFonts w:eastAsia="Times New Roman"/>
        </w:rPr>
        <w:t xml:space="preserve"> </w:t>
      </w:r>
      <w:proofErr w:type="spellStart"/>
      <w:r>
        <w:rPr>
          <w:rFonts w:eastAsia="Times New Roman"/>
        </w:rPr>
        <w:t>accessibles</w:t>
      </w:r>
      <w:proofErr w:type="spellEnd"/>
      <w:r>
        <w:rPr>
          <w:rFonts w:eastAsia="Times New Roman"/>
        </w:rPr>
        <w:t xml:space="preserve"> </w:t>
      </w:r>
      <w:proofErr w:type="spellStart"/>
      <w:r>
        <w:rPr>
          <w:rFonts w:eastAsia="Times New Roman"/>
        </w:rPr>
        <w:t>sur</w:t>
      </w:r>
      <w:proofErr w:type="spellEnd"/>
      <w:r>
        <w:rPr>
          <w:rFonts w:eastAsia="Times New Roman"/>
        </w:rPr>
        <w:t xml:space="preserve"> des </w:t>
      </w:r>
      <w:proofErr w:type="spellStart"/>
      <w:r>
        <w:rPr>
          <w:rFonts w:eastAsia="Times New Roman"/>
        </w:rPr>
        <w:t>outils</w:t>
      </w:r>
      <w:proofErr w:type="spellEnd"/>
      <w:r>
        <w:rPr>
          <w:rFonts w:eastAsia="Times New Roman"/>
        </w:rPr>
        <w:t xml:space="preserve"> </w:t>
      </w:r>
      <w:proofErr w:type="spellStart"/>
      <w:r>
        <w:rPr>
          <w:rFonts w:eastAsia="Times New Roman"/>
        </w:rPr>
        <w:t>fiables</w:t>
      </w:r>
      <w:proofErr w:type="spellEnd"/>
      <w:r>
        <w:rPr>
          <w:rFonts w:eastAsia="Times New Roman"/>
        </w:rPr>
        <w:t>.</w:t>
      </w:r>
      <w:r>
        <w:rPr>
          <w:rFonts w:eastAsia="Times New Roman"/>
        </w:rPr>
        <w:br/>
        <w:t xml:space="preserve">Nous </w:t>
      </w:r>
      <w:proofErr w:type="spellStart"/>
      <w:r>
        <w:rPr>
          <w:rFonts w:eastAsia="Times New Roman"/>
        </w:rPr>
        <w:t>souhaiterions</w:t>
      </w:r>
      <w:proofErr w:type="spellEnd"/>
      <w:r>
        <w:rPr>
          <w:rFonts w:eastAsia="Times New Roman"/>
        </w:rPr>
        <w:t xml:space="preserve"> </w:t>
      </w:r>
      <w:proofErr w:type="spellStart"/>
      <w:r>
        <w:rPr>
          <w:rFonts w:eastAsia="Times New Roman"/>
        </w:rPr>
        <w:t>dans</w:t>
      </w:r>
      <w:proofErr w:type="spellEnd"/>
      <w:r>
        <w:rPr>
          <w:rFonts w:eastAsia="Times New Roman"/>
        </w:rPr>
        <w:t xml:space="preserve"> le cadre de la </w:t>
      </w:r>
      <w:proofErr w:type="spellStart"/>
      <w:r>
        <w:rPr>
          <w:rFonts w:eastAsia="Times New Roman"/>
        </w:rPr>
        <w:t>refonte</w:t>
      </w:r>
      <w:proofErr w:type="spellEnd"/>
      <w:r>
        <w:rPr>
          <w:rFonts w:eastAsia="Times New Roman"/>
        </w:rPr>
        <w:t xml:space="preserve"> des standards </w:t>
      </w:r>
      <w:proofErr w:type="spellStart"/>
      <w:r>
        <w:rPr>
          <w:rFonts w:eastAsia="Times New Roman"/>
        </w:rPr>
        <w:t>que</w:t>
      </w:r>
      <w:proofErr w:type="spellEnd"/>
      <w:r>
        <w:rPr>
          <w:rFonts w:eastAsia="Times New Roman"/>
        </w:rPr>
        <w:t xml:space="preserve"> la DGPR en </w:t>
      </w:r>
      <w:proofErr w:type="spellStart"/>
      <w:r>
        <w:rPr>
          <w:rFonts w:eastAsia="Times New Roman"/>
        </w:rPr>
        <w:t>profite</w:t>
      </w:r>
      <w:proofErr w:type="spellEnd"/>
      <w:r>
        <w:rPr>
          <w:rFonts w:eastAsia="Times New Roman"/>
        </w:rPr>
        <w:t xml:space="preserve"> pour :</w:t>
      </w:r>
      <w:r>
        <w:rPr>
          <w:rFonts w:eastAsia="Times New Roman"/>
        </w:rPr>
        <w:br/>
      </w:r>
      <w:r>
        <w:rPr>
          <w:rFonts w:eastAsia="Times New Roman"/>
        </w:rPr>
        <w:br/>
        <w:t xml:space="preserve">    - </w:t>
      </w:r>
      <w:r w:rsidRPr="00902D52">
        <w:rPr>
          <w:rFonts w:eastAsia="Times New Roman"/>
          <w:b/>
        </w:rPr>
        <w:t xml:space="preserve">affirmer </w:t>
      </w:r>
      <w:proofErr w:type="spellStart"/>
      <w:r w:rsidRPr="00902D52">
        <w:rPr>
          <w:rFonts w:eastAsia="Times New Roman"/>
          <w:b/>
        </w:rPr>
        <w:t>l'utilisation</w:t>
      </w:r>
      <w:proofErr w:type="spellEnd"/>
      <w:r w:rsidRPr="00902D52">
        <w:rPr>
          <w:rFonts w:eastAsia="Times New Roman"/>
          <w:b/>
        </w:rPr>
        <w:t xml:space="preserve"> </w:t>
      </w:r>
      <w:proofErr w:type="spellStart"/>
      <w:r w:rsidRPr="00902D52">
        <w:rPr>
          <w:rFonts w:eastAsia="Times New Roman"/>
          <w:b/>
        </w:rPr>
        <w:t>attendue</w:t>
      </w:r>
      <w:proofErr w:type="spellEnd"/>
      <w:r w:rsidRPr="00902D52">
        <w:rPr>
          <w:rFonts w:eastAsia="Times New Roman"/>
          <w:b/>
        </w:rPr>
        <w:t xml:space="preserve"> des </w:t>
      </w:r>
      <w:proofErr w:type="spellStart"/>
      <w:r w:rsidRPr="00902D52">
        <w:rPr>
          <w:rFonts w:eastAsia="Times New Roman"/>
          <w:b/>
        </w:rPr>
        <w:t>futurs</w:t>
      </w:r>
      <w:proofErr w:type="spellEnd"/>
      <w:r w:rsidRPr="00902D52">
        <w:rPr>
          <w:rFonts w:eastAsia="Times New Roman"/>
          <w:b/>
        </w:rPr>
        <w:t xml:space="preserve"> standards</w:t>
      </w:r>
      <w:r>
        <w:rPr>
          <w:rFonts w:eastAsia="Times New Roman"/>
        </w:rPr>
        <w:t xml:space="preserve">, </w:t>
      </w:r>
      <w:proofErr w:type="spellStart"/>
      <w:r>
        <w:rPr>
          <w:rFonts w:eastAsia="Times New Roman"/>
        </w:rPr>
        <w:t>notamment</w:t>
      </w:r>
      <w:proofErr w:type="spellEnd"/>
      <w:r>
        <w:rPr>
          <w:rFonts w:eastAsia="Times New Roman"/>
        </w:rPr>
        <w:t xml:space="preserve"> pour le </w:t>
      </w:r>
      <w:proofErr w:type="spellStart"/>
      <w:r>
        <w:rPr>
          <w:rFonts w:eastAsia="Times New Roman"/>
        </w:rPr>
        <w:t>détail</w:t>
      </w:r>
      <w:proofErr w:type="spellEnd"/>
      <w:r>
        <w:rPr>
          <w:rFonts w:eastAsia="Times New Roman"/>
        </w:rPr>
        <w:t xml:space="preserve"> des </w:t>
      </w:r>
      <w:proofErr w:type="spellStart"/>
      <w:r>
        <w:rPr>
          <w:rFonts w:eastAsia="Times New Roman"/>
        </w:rPr>
        <w:t>zonages</w:t>
      </w:r>
      <w:proofErr w:type="spellEnd"/>
      <w:r>
        <w:rPr>
          <w:rFonts w:eastAsia="Times New Roman"/>
        </w:rPr>
        <w:t xml:space="preserve"> </w:t>
      </w:r>
      <w:proofErr w:type="spellStart"/>
      <w:r>
        <w:rPr>
          <w:rFonts w:eastAsia="Times New Roman"/>
        </w:rPr>
        <w:t>règlementaires</w:t>
      </w:r>
      <w:proofErr w:type="spellEnd"/>
      <w:r>
        <w:rPr>
          <w:rFonts w:eastAsia="Times New Roman"/>
        </w:rPr>
        <w:t xml:space="preserve"> (à </w:t>
      </w:r>
      <w:proofErr w:type="spellStart"/>
      <w:r>
        <w:rPr>
          <w:rFonts w:eastAsia="Times New Roman"/>
        </w:rPr>
        <w:t>moitié</w:t>
      </w:r>
      <w:proofErr w:type="spellEnd"/>
      <w:r>
        <w:rPr>
          <w:rFonts w:eastAsia="Times New Roman"/>
        </w:rPr>
        <w:t xml:space="preserve"> </w:t>
      </w:r>
      <w:proofErr w:type="spellStart"/>
      <w:r>
        <w:rPr>
          <w:rFonts w:eastAsia="Times New Roman"/>
        </w:rPr>
        <w:t>mis</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w:t>
      </w:r>
      <w:proofErr w:type="spellEnd"/>
      <w:r>
        <w:rPr>
          <w:rFonts w:eastAsia="Times New Roman"/>
        </w:rPr>
        <w:t xml:space="preserve"> avec un </w:t>
      </w:r>
      <w:proofErr w:type="spellStart"/>
      <w:r>
        <w:rPr>
          <w:rFonts w:eastAsia="Times New Roman"/>
        </w:rPr>
        <w:t>moissonage</w:t>
      </w:r>
      <w:proofErr w:type="spellEnd"/>
      <w:r>
        <w:rPr>
          <w:rFonts w:eastAsia="Times New Roman"/>
        </w:rPr>
        <w:t xml:space="preserve"> qui </w:t>
      </w:r>
      <w:proofErr w:type="spellStart"/>
      <w:r>
        <w:rPr>
          <w:rFonts w:eastAsia="Times New Roman"/>
        </w:rPr>
        <w:t>marche</w:t>
      </w:r>
      <w:proofErr w:type="spellEnd"/>
      <w:r>
        <w:rPr>
          <w:rFonts w:eastAsia="Times New Roman"/>
        </w:rPr>
        <w:t xml:space="preserve"> pas), </w:t>
      </w:r>
      <w:proofErr w:type="spellStart"/>
      <w:r>
        <w:rPr>
          <w:rFonts w:eastAsia="Times New Roman"/>
        </w:rPr>
        <w:t>ces</w:t>
      </w:r>
      <w:proofErr w:type="spellEnd"/>
      <w:r>
        <w:rPr>
          <w:rFonts w:eastAsia="Times New Roman"/>
        </w:rPr>
        <w:t xml:space="preserve"> </w:t>
      </w:r>
      <w:proofErr w:type="spellStart"/>
      <w:r>
        <w:rPr>
          <w:rFonts w:eastAsia="Times New Roman"/>
        </w:rPr>
        <w:t>zonages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ils</w:t>
      </w:r>
      <w:proofErr w:type="spellEnd"/>
      <w:r>
        <w:rPr>
          <w:rFonts w:eastAsia="Times New Roman"/>
        </w:rPr>
        <w:t xml:space="preserve"> </w:t>
      </w:r>
      <w:proofErr w:type="spellStart"/>
      <w:r>
        <w:rPr>
          <w:rFonts w:eastAsia="Times New Roman"/>
        </w:rPr>
        <w:t>être</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w:t>
      </w:r>
      <w:proofErr w:type="spellStart"/>
      <w:r>
        <w:rPr>
          <w:rFonts w:eastAsia="Times New Roman"/>
        </w:rPr>
        <w:t>d'ici</w:t>
      </w:r>
      <w:proofErr w:type="spellEnd"/>
      <w:r>
        <w:rPr>
          <w:rFonts w:eastAsia="Times New Roman"/>
        </w:rPr>
        <w:t xml:space="preserve"> </w:t>
      </w:r>
      <w:proofErr w:type="spellStart"/>
      <w:r>
        <w:rPr>
          <w:rFonts w:eastAsia="Times New Roman"/>
        </w:rPr>
        <w:t>quelques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w:t>
      </w:r>
      <w:r>
        <w:rPr>
          <w:rFonts w:eastAsia="Times New Roman"/>
        </w:rPr>
        <w:br/>
      </w:r>
      <w:r>
        <w:rPr>
          <w:rFonts w:eastAsia="Times New Roman"/>
        </w:rPr>
        <w:br/>
        <w:t xml:space="preserve">    </w:t>
      </w:r>
      <w:r w:rsidRPr="00902D52">
        <w:rPr>
          <w:rFonts w:eastAsia="Times New Roman"/>
          <w:b/>
        </w:rPr>
        <w:t xml:space="preserve">- </w:t>
      </w:r>
      <w:proofErr w:type="spellStart"/>
      <w:r w:rsidRPr="00902D52">
        <w:rPr>
          <w:rFonts w:eastAsia="Times New Roman"/>
          <w:b/>
        </w:rPr>
        <w:t>préciser</w:t>
      </w:r>
      <w:proofErr w:type="spellEnd"/>
      <w:r w:rsidRPr="00902D52">
        <w:rPr>
          <w:rFonts w:eastAsia="Times New Roman"/>
          <w:b/>
        </w:rPr>
        <w:t xml:space="preserve"> le </w:t>
      </w:r>
      <w:proofErr w:type="spellStart"/>
      <w:r w:rsidRPr="00902D52">
        <w:rPr>
          <w:rFonts w:eastAsia="Times New Roman"/>
          <w:b/>
        </w:rPr>
        <w:t>niveau</w:t>
      </w:r>
      <w:proofErr w:type="spellEnd"/>
      <w:r w:rsidRPr="00902D52">
        <w:rPr>
          <w:rFonts w:eastAsia="Times New Roman"/>
          <w:b/>
        </w:rPr>
        <w:t xml:space="preserve"> de diffusion </w:t>
      </w:r>
      <w:proofErr w:type="spellStart"/>
      <w:r w:rsidRPr="00902D52">
        <w:rPr>
          <w:rFonts w:eastAsia="Times New Roman"/>
          <w:b/>
        </w:rPr>
        <w:t>attendue</w:t>
      </w:r>
      <w:proofErr w:type="spellEnd"/>
      <w:r w:rsidRPr="00902D52">
        <w:rPr>
          <w:rFonts w:eastAsia="Times New Roman"/>
          <w:b/>
        </w:rPr>
        <w:t xml:space="preserve"> des données SIG (interne </w:t>
      </w:r>
      <w:proofErr w:type="spellStart"/>
      <w:r w:rsidRPr="00902D52">
        <w:rPr>
          <w:rFonts w:eastAsia="Times New Roman"/>
          <w:b/>
        </w:rPr>
        <w:t>état</w:t>
      </w:r>
      <w:proofErr w:type="spellEnd"/>
      <w:r w:rsidRPr="00902D52">
        <w:rPr>
          <w:rFonts w:eastAsia="Times New Roman"/>
          <w:b/>
        </w:rPr>
        <w:t xml:space="preserve">, à </w:t>
      </w:r>
      <w:proofErr w:type="spellStart"/>
      <w:r w:rsidRPr="00902D52">
        <w:rPr>
          <w:rFonts w:eastAsia="Times New Roman"/>
          <w:b/>
        </w:rPr>
        <w:t>partager</w:t>
      </w:r>
      <w:proofErr w:type="spellEnd"/>
      <w:r w:rsidRPr="00902D52">
        <w:rPr>
          <w:rFonts w:eastAsia="Times New Roman"/>
          <w:b/>
        </w:rPr>
        <w:t xml:space="preserve"> avec les </w:t>
      </w:r>
      <w:proofErr w:type="spellStart"/>
      <w:r w:rsidRPr="00902D52">
        <w:rPr>
          <w:rFonts w:eastAsia="Times New Roman"/>
          <w:b/>
        </w:rPr>
        <w:t>collectivités</w:t>
      </w:r>
      <w:proofErr w:type="spellEnd"/>
      <w:r w:rsidRPr="00902D52">
        <w:rPr>
          <w:rFonts w:eastAsia="Times New Roman"/>
          <w:b/>
        </w:rPr>
        <w:t>, tout public</w:t>
      </w:r>
      <w:r>
        <w:rPr>
          <w:rFonts w:eastAsia="Times New Roman"/>
        </w:rPr>
        <w:t xml:space="preserve">). Par </w:t>
      </w:r>
      <w:proofErr w:type="spellStart"/>
      <w:r>
        <w:rPr>
          <w:rFonts w:eastAsia="Times New Roman"/>
        </w:rPr>
        <w:t>exemple</w:t>
      </w:r>
      <w:proofErr w:type="spellEnd"/>
      <w:r>
        <w:rPr>
          <w:rFonts w:eastAsia="Times New Roman"/>
        </w:rPr>
        <w:t xml:space="preserve"> les données </w:t>
      </w:r>
      <w:proofErr w:type="spellStart"/>
      <w:r>
        <w:rPr>
          <w:rFonts w:eastAsia="Times New Roman"/>
        </w:rPr>
        <w:t>PàC</w:t>
      </w:r>
      <w:proofErr w:type="spellEnd"/>
      <w:r>
        <w:rPr>
          <w:rFonts w:eastAsia="Times New Roman"/>
        </w:rPr>
        <w:t xml:space="preserve"> risques </w:t>
      </w:r>
      <w:proofErr w:type="spellStart"/>
      <w:r>
        <w:rPr>
          <w:rFonts w:eastAsia="Times New Roman"/>
        </w:rPr>
        <w:t>technologiques</w:t>
      </w:r>
      <w:proofErr w:type="spellEnd"/>
      <w:r>
        <w:rPr>
          <w:rFonts w:eastAsia="Times New Roman"/>
        </w:rPr>
        <w:t xml:space="preserve"> des ICPE </w:t>
      </w:r>
      <w:proofErr w:type="spellStart"/>
      <w:r>
        <w:rPr>
          <w:rFonts w:eastAsia="Times New Roman"/>
        </w:rPr>
        <w:t>seuil</w:t>
      </w:r>
      <w:proofErr w:type="spellEnd"/>
      <w:r>
        <w:rPr>
          <w:rFonts w:eastAsia="Times New Roman"/>
        </w:rPr>
        <w:t xml:space="preserve"> bas (hors </w:t>
      </w:r>
      <w:proofErr w:type="spellStart"/>
      <w:r>
        <w:rPr>
          <w:rFonts w:eastAsia="Times New Roman"/>
        </w:rPr>
        <w:t>pprt</w:t>
      </w:r>
      <w:proofErr w:type="spellEnd"/>
      <w:r>
        <w:rPr>
          <w:rFonts w:eastAsia="Times New Roman"/>
        </w:rPr>
        <w:t xml:space="preserve">) ne </w:t>
      </w:r>
      <w:proofErr w:type="spellStart"/>
      <w:r>
        <w:rPr>
          <w:rFonts w:eastAsia="Times New Roman"/>
        </w:rPr>
        <w:t>sont</w:t>
      </w:r>
      <w:proofErr w:type="spellEnd"/>
      <w:r>
        <w:rPr>
          <w:rFonts w:eastAsia="Times New Roman"/>
        </w:rPr>
        <w:t xml:space="preserve"> pas </w:t>
      </w:r>
      <w:proofErr w:type="spellStart"/>
      <w:r>
        <w:rPr>
          <w:rFonts w:eastAsia="Times New Roman"/>
        </w:rPr>
        <w:t>transmises</w:t>
      </w:r>
      <w:proofErr w:type="spellEnd"/>
      <w:r>
        <w:rPr>
          <w:rFonts w:eastAsia="Times New Roman"/>
        </w:rPr>
        <w:t xml:space="preserve"> par </w:t>
      </w:r>
      <w:proofErr w:type="spellStart"/>
      <w:r>
        <w:rPr>
          <w:rFonts w:eastAsia="Times New Roman"/>
        </w:rPr>
        <w:t>notre</w:t>
      </w:r>
      <w:proofErr w:type="spellEnd"/>
      <w:r>
        <w:rPr>
          <w:rFonts w:eastAsia="Times New Roman"/>
        </w:rPr>
        <w:t xml:space="preserve"> DREAL pour des raisons de </w:t>
      </w:r>
      <w:proofErr w:type="spellStart"/>
      <w:r>
        <w:rPr>
          <w:rFonts w:eastAsia="Times New Roman"/>
        </w:rPr>
        <w:t>sûreté</w:t>
      </w:r>
      <w:proofErr w:type="spellEnd"/>
      <w:r>
        <w:rPr>
          <w:rFonts w:eastAsia="Times New Roman"/>
        </w:rPr>
        <w:t xml:space="preserve"> </w:t>
      </w:r>
      <w:proofErr w:type="spellStart"/>
      <w:r>
        <w:rPr>
          <w:rFonts w:eastAsia="Times New Roman"/>
        </w:rPr>
        <w:t>alors</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n'est</w:t>
      </w:r>
      <w:proofErr w:type="spellEnd"/>
      <w:r>
        <w:rPr>
          <w:rFonts w:eastAsia="Times New Roman"/>
        </w:rPr>
        <w:t xml:space="preserve"> pas la </w:t>
      </w:r>
      <w:proofErr w:type="spellStart"/>
      <w:r>
        <w:rPr>
          <w:rFonts w:eastAsia="Times New Roman"/>
        </w:rPr>
        <w:t>pratique</w:t>
      </w:r>
      <w:proofErr w:type="spellEnd"/>
      <w:r>
        <w:rPr>
          <w:rFonts w:eastAsia="Times New Roman"/>
        </w:rPr>
        <w:t xml:space="preserve"> de </w:t>
      </w:r>
      <w:proofErr w:type="spellStart"/>
      <w:r>
        <w:rPr>
          <w:rFonts w:eastAsia="Times New Roman"/>
        </w:rPr>
        <w:t>toutes</w:t>
      </w:r>
      <w:proofErr w:type="spellEnd"/>
      <w:r>
        <w:rPr>
          <w:rFonts w:eastAsia="Times New Roman"/>
        </w:rPr>
        <w:t xml:space="preserve"> les </w:t>
      </w:r>
      <w:proofErr w:type="spellStart"/>
      <w:r>
        <w:rPr>
          <w:rFonts w:eastAsia="Times New Roman"/>
        </w:rPr>
        <w:t>régions</w:t>
      </w:r>
      <w:proofErr w:type="spellEnd"/>
      <w:r>
        <w:rPr>
          <w:rFonts w:eastAsia="Times New Roman"/>
        </w:rPr>
        <w:t xml:space="preserve"> et </w:t>
      </w:r>
      <w:proofErr w:type="spellStart"/>
      <w:r>
        <w:rPr>
          <w:rFonts w:eastAsia="Times New Roman"/>
        </w:rPr>
        <w:t>que</w:t>
      </w:r>
      <w:proofErr w:type="spellEnd"/>
      <w:r>
        <w:rPr>
          <w:rFonts w:eastAsia="Times New Roman"/>
        </w:rPr>
        <w:t xml:space="preserve"> les </w:t>
      </w:r>
      <w:proofErr w:type="spellStart"/>
      <w:r>
        <w:rPr>
          <w:rFonts w:eastAsia="Times New Roman"/>
        </w:rPr>
        <w:t>collectivités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répercuter</w:t>
      </w:r>
      <w:proofErr w:type="spellEnd"/>
      <w:r>
        <w:rPr>
          <w:rFonts w:eastAsia="Times New Roman"/>
        </w:rPr>
        <w:t xml:space="preserve"> </w:t>
      </w:r>
      <w:proofErr w:type="spellStart"/>
      <w:r>
        <w:rPr>
          <w:rFonts w:eastAsia="Times New Roman"/>
        </w:rPr>
        <w:t>ces</w:t>
      </w:r>
      <w:proofErr w:type="spellEnd"/>
      <w:r>
        <w:rPr>
          <w:rFonts w:eastAsia="Times New Roman"/>
        </w:rPr>
        <w:t xml:space="preserve"> zones </w:t>
      </w:r>
      <w:proofErr w:type="spellStart"/>
      <w:r>
        <w:rPr>
          <w:rFonts w:eastAsia="Times New Roman"/>
        </w:rPr>
        <w:t>graphiquement</w:t>
      </w:r>
      <w:proofErr w:type="spellEnd"/>
      <w:r>
        <w:rPr>
          <w:rFonts w:eastAsia="Times New Roman"/>
        </w:rPr>
        <w:t xml:space="preserve"> </w:t>
      </w:r>
      <w:proofErr w:type="spellStart"/>
      <w:r>
        <w:rPr>
          <w:rFonts w:eastAsia="Times New Roman"/>
        </w:rPr>
        <w:t>dans</w:t>
      </w:r>
      <w:proofErr w:type="spellEnd"/>
      <w:r>
        <w:rPr>
          <w:rFonts w:eastAsia="Times New Roman"/>
        </w:rPr>
        <w:t xml:space="preserve"> </w:t>
      </w:r>
      <w:proofErr w:type="spellStart"/>
      <w:r>
        <w:rPr>
          <w:rFonts w:eastAsia="Times New Roman"/>
        </w:rPr>
        <w:t>leurs</w:t>
      </w:r>
      <w:proofErr w:type="spellEnd"/>
      <w:r>
        <w:rPr>
          <w:rFonts w:eastAsia="Times New Roman"/>
        </w:rPr>
        <w:t xml:space="preserve"> documents </w:t>
      </w:r>
      <w:proofErr w:type="spellStart"/>
      <w:r>
        <w:rPr>
          <w:rFonts w:eastAsia="Times New Roman"/>
        </w:rPr>
        <w:t>d'urbanisme</w:t>
      </w:r>
      <w:proofErr w:type="spellEnd"/>
      <w:r>
        <w:rPr>
          <w:rFonts w:eastAsia="Times New Roman"/>
        </w:rPr>
        <w:t>.</w:t>
      </w:r>
      <w:r>
        <w:rPr>
          <w:rFonts w:eastAsia="Times New Roman"/>
        </w:rPr>
        <w:br/>
      </w:r>
      <w:r>
        <w:rPr>
          <w:rFonts w:eastAsia="Times New Roman"/>
        </w:rPr>
        <w:br/>
        <w:t xml:space="preserve">    - </w:t>
      </w:r>
      <w:proofErr w:type="spellStart"/>
      <w:r w:rsidRPr="00902D52">
        <w:rPr>
          <w:rFonts w:eastAsia="Times New Roman"/>
          <w:b/>
        </w:rPr>
        <w:t>définir</w:t>
      </w:r>
      <w:proofErr w:type="spellEnd"/>
      <w:r w:rsidRPr="00902D52">
        <w:rPr>
          <w:rFonts w:eastAsia="Times New Roman"/>
          <w:b/>
        </w:rPr>
        <w:t xml:space="preserve"> et imposer le mode de </w:t>
      </w:r>
      <w:proofErr w:type="spellStart"/>
      <w:r w:rsidRPr="00902D52">
        <w:rPr>
          <w:rFonts w:eastAsia="Times New Roman"/>
          <w:b/>
        </w:rPr>
        <w:t>dépôt</w:t>
      </w:r>
      <w:proofErr w:type="spellEnd"/>
      <w:r w:rsidRPr="00902D52">
        <w:rPr>
          <w:rFonts w:eastAsia="Times New Roman"/>
          <w:b/>
        </w:rPr>
        <w:t xml:space="preserve"> des données (si possible par les </w:t>
      </w:r>
      <w:proofErr w:type="spellStart"/>
      <w:r w:rsidRPr="00902D52">
        <w:rPr>
          <w:rFonts w:eastAsia="Times New Roman"/>
          <w:b/>
        </w:rPr>
        <w:t>producteurs</w:t>
      </w:r>
      <w:proofErr w:type="spellEnd"/>
      <w:r>
        <w:rPr>
          <w:rFonts w:eastAsia="Times New Roman"/>
        </w:rPr>
        <w:t xml:space="preserve">) en </w:t>
      </w:r>
      <w:proofErr w:type="spellStart"/>
      <w:r>
        <w:rPr>
          <w:rFonts w:eastAsia="Times New Roman"/>
        </w:rPr>
        <w:t>s'inspirant</w:t>
      </w:r>
      <w:proofErr w:type="spellEnd"/>
      <w:r>
        <w:rPr>
          <w:rFonts w:eastAsia="Times New Roman"/>
        </w:rPr>
        <w:t xml:space="preserve"> </w:t>
      </w:r>
      <w:proofErr w:type="spellStart"/>
      <w:r>
        <w:rPr>
          <w:rFonts w:eastAsia="Times New Roman"/>
        </w:rPr>
        <w:t>plutôt</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du GPU (on a la main pour </w:t>
      </w:r>
      <w:proofErr w:type="spellStart"/>
      <w:r>
        <w:rPr>
          <w:rFonts w:eastAsia="Times New Roman"/>
        </w:rPr>
        <w:t>déposer</w:t>
      </w:r>
      <w:proofErr w:type="spellEnd"/>
      <w:r>
        <w:rPr>
          <w:rFonts w:eastAsia="Times New Roman"/>
        </w:rPr>
        <w:t xml:space="preserve">) </w:t>
      </w:r>
      <w:proofErr w:type="spellStart"/>
      <w:r>
        <w:rPr>
          <w:rFonts w:eastAsia="Times New Roman"/>
        </w:rPr>
        <w:t>que</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de </w:t>
      </w:r>
      <w:proofErr w:type="spellStart"/>
      <w:r>
        <w:rPr>
          <w:rFonts w:eastAsia="Times New Roman"/>
        </w:rPr>
        <w:t>moissonnage</w:t>
      </w:r>
      <w:proofErr w:type="spellEnd"/>
      <w:r>
        <w:rPr>
          <w:rFonts w:eastAsia="Times New Roman"/>
        </w:rPr>
        <w:t xml:space="preserve"> (</w:t>
      </w:r>
      <w:proofErr w:type="spellStart"/>
      <w:r>
        <w:rPr>
          <w:rFonts w:eastAsia="Times New Roman"/>
        </w:rPr>
        <w:t>très</w:t>
      </w:r>
      <w:proofErr w:type="spellEnd"/>
      <w:r>
        <w:rPr>
          <w:rFonts w:eastAsia="Times New Roman"/>
        </w:rPr>
        <w:t xml:space="preserve"> </w:t>
      </w:r>
      <w:proofErr w:type="spellStart"/>
      <w:r>
        <w:rPr>
          <w:rFonts w:eastAsia="Times New Roman"/>
        </w:rPr>
        <w:t>aléatoire</w:t>
      </w:r>
      <w:proofErr w:type="spellEnd"/>
      <w:r>
        <w:rPr>
          <w:rFonts w:eastAsia="Times New Roman"/>
        </w:rPr>
        <w:t xml:space="preserve"> et </w:t>
      </w:r>
      <w:proofErr w:type="spellStart"/>
      <w:r>
        <w:rPr>
          <w:rFonts w:eastAsia="Times New Roman"/>
        </w:rPr>
        <w:t>jamais</w:t>
      </w:r>
      <w:proofErr w:type="spellEnd"/>
      <w:r>
        <w:rPr>
          <w:rFonts w:eastAsia="Times New Roman"/>
        </w:rPr>
        <w:t xml:space="preserve"> à jour...)</w:t>
      </w:r>
      <w:r>
        <w:rPr>
          <w:rFonts w:eastAsia="Times New Roman"/>
        </w:rPr>
        <w:br/>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B5690" w14:textId="77777777" w:rsidR="00537C28" w:rsidRDefault="00537C28" w:rsidP="00987EDD">
      <w:r>
        <w:separator/>
      </w:r>
    </w:p>
  </w:endnote>
  <w:endnote w:type="continuationSeparator" w:id="0">
    <w:p w14:paraId="5C85AA7E" w14:textId="77777777" w:rsidR="00537C28" w:rsidRDefault="00537C28"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850961" w:rsidRDefault="00850961"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fldSimple w:instr="TITLE   \* MERGEFORMAT">
      <w:r>
        <w:t>Synthèse de la phase de consolidation</w:t>
      </w:r>
    </w:fldSimple>
    <w:r>
      <w:tab/>
    </w:r>
    <w:r>
      <w:fldChar w:fldCharType="begin"/>
    </w:r>
    <w:r>
      <w:instrText xml:space="preserve"> PAGE </w:instrText>
    </w:r>
    <w:r>
      <w:fldChar w:fldCharType="separate"/>
    </w:r>
    <w:r w:rsidR="00E82818">
      <w:rPr>
        <w:noProof/>
      </w:rPr>
      <w:t>8</w:t>
    </w:r>
    <w:r>
      <w:fldChar w:fldCharType="end"/>
    </w:r>
    <w:r>
      <w:t xml:space="preserve"> / </w:t>
    </w:r>
    <w:r>
      <w:fldChar w:fldCharType="begin"/>
    </w:r>
    <w:r>
      <w:instrText xml:space="preserve"> NUMPAGES \*Arabic </w:instrText>
    </w:r>
    <w:r>
      <w:fldChar w:fldCharType="separate"/>
    </w:r>
    <w:r w:rsidR="00E82818">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7E56D" w14:textId="77777777" w:rsidR="00537C28" w:rsidRDefault="00537C28" w:rsidP="00D6538B">
      <w:r>
        <w:separator/>
      </w:r>
    </w:p>
  </w:footnote>
  <w:footnote w:type="continuationSeparator" w:id="0">
    <w:p w14:paraId="0E9A5627" w14:textId="77777777" w:rsidR="00537C28" w:rsidRDefault="00537C28"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DF09D9"/>
    <w:multiLevelType w:val="hybridMultilevel"/>
    <w:tmpl w:val="A3E64606"/>
    <w:lvl w:ilvl="0" w:tplc="5050751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23"/>
  </w:num>
  <w:num w:numId="5">
    <w:abstractNumId w:val="35"/>
  </w:num>
  <w:num w:numId="6">
    <w:abstractNumId w:val="39"/>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4"/>
  </w:num>
  <w:num w:numId="15">
    <w:abstractNumId w:val="19"/>
  </w:num>
  <w:num w:numId="16">
    <w:abstractNumId w:val="17"/>
  </w:num>
  <w:num w:numId="17">
    <w:abstractNumId w:val="13"/>
  </w:num>
  <w:num w:numId="18">
    <w:abstractNumId w:val="32"/>
  </w:num>
  <w:num w:numId="19">
    <w:abstractNumId w:val="29"/>
  </w:num>
  <w:num w:numId="20">
    <w:abstractNumId w:val="36"/>
  </w:num>
  <w:num w:numId="21">
    <w:abstractNumId w:val="18"/>
  </w:num>
  <w:num w:numId="22">
    <w:abstractNumId w:val="16"/>
  </w:num>
  <w:num w:numId="23">
    <w:abstractNumId w:val="38"/>
  </w:num>
  <w:num w:numId="24">
    <w:abstractNumId w:val="28"/>
  </w:num>
  <w:num w:numId="25">
    <w:abstractNumId w:val="40"/>
  </w:num>
  <w:num w:numId="26">
    <w:abstractNumId w:val="41"/>
  </w:num>
  <w:num w:numId="27">
    <w:abstractNumId w:val="25"/>
  </w:num>
  <w:num w:numId="28">
    <w:abstractNumId w:val="22"/>
  </w:num>
  <w:num w:numId="29">
    <w:abstractNumId w:val="33"/>
  </w:num>
  <w:num w:numId="30">
    <w:abstractNumId w:val="42"/>
  </w:num>
  <w:num w:numId="31">
    <w:abstractNumId w:val="14"/>
  </w:num>
  <w:num w:numId="32">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12E64"/>
    <w:rsid w:val="0001341D"/>
    <w:rsid w:val="00014A96"/>
    <w:rsid w:val="00017B6D"/>
    <w:rsid w:val="000249CF"/>
    <w:rsid w:val="00032A79"/>
    <w:rsid w:val="000363EC"/>
    <w:rsid w:val="00037348"/>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11371D"/>
    <w:rsid w:val="00117071"/>
    <w:rsid w:val="00117D7D"/>
    <w:rsid w:val="00124E2E"/>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527D3"/>
    <w:rsid w:val="00260B50"/>
    <w:rsid w:val="00260B73"/>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6D5B"/>
    <w:rsid w:val="00327000"/>
    <w:rsid w:val="00333E04"/>
    <w:rsid w:val="003352F1"/>
    <w:rsid w:val="00341E4D"/>
    <w:rsid w:val="00346B9C"/>
    <w:rsid w:val="0035379E"/>
    <w:rsid w:val="0037734A"/>
    <w:rsid w:val="003834B7"/>
    <w:rsid w:val="00385190"/>
    <w:rsid w:val="003916F7"/>
    <w:rsid w:val="003A123F"/>
    <w:rsid w:val="003A3211"/>
    <w:rsid w:val="003A610D"/>
    <w:rsid w:val="003A6DF3"/>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6A6A"/>
    <w:rsid w:val="004F74B6"/>
    <w:rsid w:val="00503D38"/>
    <w:rsid w:val="00505611"/>
    <w:rsid w:val="00506A4D"/>
    <w:rsid w:val="005077BA"/>
    <w:rsid w:val="00510489"/>
    <w:rsid w:val="005130E4"/>
    <w:rsid w:val="005267F7"/>
    <w:rsid w:val="00526C0F"/>
    <w:rsid w:val="00537C28"/>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C68"/>
    <w:rsid w:val="005C12B7"/>
    <w:rsid w:val="005C6210"/>
    <w:rsid w:val="005C7F90"/>
    <w:rsid w:val="005D38AC"/>
    <w:rsid w:val="005E25BF"/>
    <w:rsid w:val="005E4D4D"/>
    <w:rsid w:val="005E688E"/>
    <w:rsid w:val="005F4094"/>
    <w:rsid w:val="005F7981"/>
    <w:rsid w:val="00601892"/>
    <w:rsid w:val="006049BE"/>
    <w:rsid w:val="00610E45"/>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B04B4"/>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B1440"/>
    <w:rsid w:val="007C57EB"/>
    <w:rsid w:val="007D63CE"/>
    <w:rsid w:val="007E02F0"/>
    <w:rsid w:val="007E304E"/>
    <w:rsid w:val="007F280C"/>
    <w:rsid w:val="007F3703"/>
    <w:rsid w:val="007F4B68"/>
    <w:rsid w:val="00800A1A"/>
    <w:rsid w:val="00800A31"/>
    <w:rsid w:val="0080451D"/>
    <w:rsid w:val="00805D2B"/>
    <w:rsid w:val="00810184"/>
    <w:rsid w:val="00811A22"/>
    <w:rsid w:val="00821943"/>
    <w:rsid w:val="0082283B"/>
    <w:rsid w:val="0082442F"/>
    <w:rsid w:val="00824A4B"/>
    <w:rsid w:val="00831381"/>
    <w:rsid w:val="008363B0"/>
    <w:rsid w:val="008367D5"/>
    <w:rsid w:val="00842148"/>
    <w:rsid w:val="00843A28"/>
    <w:rsid w:val="0084652F"/>
    <w:rsid w:val="008508DE"/>
    <w:rsid w:val="00850961"/>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50068"/>
    <w:rsid w:val="00A5375E"/>
    <w:rsid w:val="00A54190"/>
    <w:rsid w:val="00A56386"/>
    <w:rsid w:val="00A65DC1"/>
    <w:rsid w:val="00A717A5"/>
    <w:rsid w:val="00A75C30"/>
    <w:rsid w:val="00A94693"/>
    <w:rsid w:val="00A94A8B"/>
    <w:rsid w:val="00AB0961"/>
    <w:rsid w:val="00AC6C57"/>
    <w:rsid w:val="00AC7A63"/>
    <w:rsid w:val="00AD13B0"/>
    <w:rsid w:val="00AE1717"/>
    <w:rsid w:val="00AE481D"/>
    <w:rsid w:val="00AF2609"/>
    <w:rsid w:val="00B11D20"/>
    <w:rsid w:val="00B11FC2"/>
    <w:rsid w:val="00B179FF"/>
    <w:rsid w:val="00B200AF"/>
    <w:rsid w:val="00B209D4"/>
    <w:rsid w:val="00B23871"/>
    <w:rsid w:val="00B23C8B"/>
    <w:rsid w:val="00B34CBF"/>
    <w:rsid w:val="00B41221"/>
    <w:rsid w:val="00B57E4D"/>
    <w:rsid w:val="00B6463D"/>
    <w:rsid w:val="00B65091"/>
    <w:rsid w:val="00B66E36"/>
    <w:rsid w:val="00B731DA"/>
    <w:rsid w:val="00B8215E"/>
    <w:rsid w:val="00B84B30"/>
    <w:rsid w:val="00B85A0D"/>
    <w:rsid w:val="00B94EFC"/>
    <w:rsid w:val="00B95852"/>
    <w:rsid w:val="00BA1F9C"/>
    <w:rsid w:val="00BA6688"/>
    <w:rsid w:val="00BB4651"/>
    <w:rsid w:val="00BC3A06"/>
    <w:rsid w:val="00BC609F"/>
    <w:rsid w:val="00BD57C7"/>
    <w:rsid w:val="00BE2CD0"/>
    <w:rsid w:val="00BE3F15"/>
    <w:rsid w:val="00BE551B"/>
    <w:rsid w:val="00BF05C6"/>
    <w:rsid w:val="00BF63CF"/>
    <w:rsid w:val="00C0054A"/>
    <w:rsid w:val="00C0392A"/>
    <w:rsid w:val="00C03F53"/>
    <w:rsid w:val="00C07E86"/>
    <w:rsid w:val="00C12B33"/>
    <w:rsid w:val="00C140EB"/>
    <w:rsid w:val="00C14B25"/>
    <w:rsid w:val="00C234B2"/>
    <w:rsid w:val="00C23A52"/>
    <w:rsid w:val="00C34377"/>
    <w:rsid w:val="00C35956"/>
    <w:rsid w:val="00C36F95"/>
    <w:rsid w:val="00C41AAF"/>
    <w:rsid w:val="00C44A85"/>
    <w:rsid w:val="00C4542B"/>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EA7"/>
    <w:rsid w:val="00C97B71"/>
    <w:rsid w:val="00CA0A03"/>
    <w:rsid w:val="00CA3FC4"/>
    <w:rsid w:val="00CD0E5A"/>
    <w:rsid w:val="00CD630D"/>
    <w:rsid w:val="00CE2D2C"/>
    <w:rsid w:val="00CE35A0"/>
    <w:rsid w:val="00CE6999"/>
    <w:rsid w:val="00CE76B1"/>
    <w:rsid w:val="00D00F44"/>
    <w:rsid w:val="00D11025"/>
    <w:rsid w:val="00D121D7"/>
    <w:rsid w:val="00D14117"/>
    <w:rsid w:val="00D22DC1"/>
    <w:rsid w:val="00D402AD"/>
    <w:rsid w:val="00D41A9D"/>
    <w:rsid w:val="00D47EFA"/>
    <w:rsid w:val="00D53914"/>
    <w:rsid w:val="00D6538B"/>
    <w:rsid w:val="00D654D5"/>
    <w:rsid w:val="00D72B3C"/>
    <w:rsid w:val="00D735E8"/>
    <w:rsid w:val="00D7637B"/>
    <w:rsid w:val="00D82D54"/>
    <w:rsid w:val="00D861CF"/>
    <w:rsid w:val="00DA14BC"/>
    <w:rsid w:val="00DA6E3C"/>
    <w:rsid w:val="00DA76D3"/>
    <w:rsid w:val="00DB3C76"/>
    <w:rsid w:val="00DB4A11"/>
    <w:rsid w:val="00DB5595"/>
    <w:rsid w:val="00DB564E"/>
    <w:rsid w:val="00DC2CCB"/>
    <w:rsid w:val="00DC31AD"/>
    <w:rsid w:val="00DC40B6"/>
    <w:rsid w:val="00DD6E60"/>
    <w:rsid w:val="00DD6F37"/>
    <w:rsid w:val="00DE2ED1"/>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818"/>
    <w:rsid w:val="00E82B6B"/>
    <w:rsid w:val="00EA1354"/>
    <w:rsid w:val="00EA187E"/>
    <w:rsid w:val="00EA20D5"/>
    <w:rsid w:val="00EA2A40"/>
    <w:rsid w:val="00EA30C3"/>
    <w:rsid w:val="00EA62BE"/>
    <w:rsid w:val="00EA66E3"/>
    <w:rsid w:val="00EB16A3"/>
    <w:rsid w:val="00EB332D"/>
    <w:rsid w:val="00EB5EC6"/>
    <w:rsid w:val="00EC2F8E"/>
    <w:rsid w:val="00EC7D01"/>
    <w:rsid w:val="00ED3252"/>
    <w:rsid w:val="00ED63CE"/>
    <w:rsid w:val="00ED6DC8"/>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github.com/cnigfr/Geostandards-Risques" TargetMode="External"/><Relationship Id="rId39" Type="http://schemas.openxmlformats.org/officeDocument/2006/relationships/hyperlink" Target="https://github.com/cnigfr/Geostandards-Risques/raw/main/suivi/2022-02-18-Pleniere-GT/220218_SPP-22-0400_CR_R%C3%A9union_Pl%C3%A9ni%C3%A8re_20220325.pdf"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tree/main/documents" TargetMode="External"/><Relationship Id="rId42" Type="http://schemas.openxmlformats.org/officeDocument/2006/relationships/hyperlink" Target="https://github.com/cnigfr/Geostandards-Risques/issues/5" TargetMode="External"/><Relationship Id="rId47" Type="http://schemas.openxmlformats.org/officeDocument/2006/relationships/image" Target="media/image6.png"/><Relationship Id="rId50" Type="http://schemas.openxmlformats.org/officeDocument/2006/relationships/hyperlink" Target="https://github.com/cnigfr/Geostandards-Risques/issues/6" TargetMode="External"/><Relationship Id="rId55" Type="http://schemas.openxmlformats.org/officeDocument/2006/relationships/hyperlink" Target="https://www.legifrance.gouv.fr/codes/article_lc/LEGIARTI000023505098/" TargetMode="External"/><Relationship Id="rId63" Type="http://schemas.openxmlformats.org/officeDocument/2006/relationships/hyperlink" Target="https://inspire.ec.europa.eu/documents/Data_Specifications/INSPIRE_DataSpecification_AM_v3.0.pdf" TargetMode="External"/><Relationship Id="rId68"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s://github.com/cnigfr/Geostandards-Risques/blob/main/suivi/2022-01-28-Atelier-Thematiques-metiers-classes-TRI-PPR/2022-01-28-Synthese-Atelier-repartition-classes-thematique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cnigfr/Geostandards-Risques" TargetMode="External"/><Relationship Id="rId32" Type="http://schemas.openxmlformats.org/officeDocument/2006/relationships/hyperlink" Target="http://cnig.gouv.fr/?page_id=25378" TargetMode="External"/><Relationship Id="rId37" Type="http://schemas.openxmlformats.org/officeDocument/2006/relationships/hyperlink" Target="https://app.mural.co/t/ign6805/m/ign6805/1641307816867/8e7e848c3b6363a26616468c285b1c75db3b90ce?sender=u7cb5d16a155aefd8d9423388" TargetMode="External"/><Relationship Id="rId40" Type="http://schemas.openxmlformats.org/officeDocument/2006/relationships/image" Target="media/image5.png"/><Relationship Id="rId45" Type="http://schemas.openxmlformats.org/officeDocument/2006/relationships/hyperlink" Target="https://github.com/cnigfr/Geostandards-Risques/issues/4" TargetMode="External"/><Relationship Id="rId53" Type="http://schemas.openxmlformats.org/officeDocument/2006/relationships/hyperlink" Target="https://www.legifrance.gouv.fr/codes/section_lc/LEGITEXT000006074220/LEGISCTA000006159296/" TargetMode="External"/><Relationship Id="rId58" Type="http://schemas.openxmlformats.org/officeDocument/2006/relationships/hyperlink" Target="https://www.legifrance.gouv.fr/codes/id/LEGISCTA000023655643/2011-03-04"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cnig.gouv.fr/wp-content/uploads/2021/10/211015-Mod%C3%A8le-de-parties-Qualit%C3%A9-et-M%C3%A9tadonn%C3%A9es-des-g%C3%A9ostandards.pdf" TargetMode="External"/><Relationship Id="rId28" Type="http://schemas.openxmlformats.org/officeDocument/2006/relationships/hyperlink" Target="https://github.com/cnigfr/Geostandards-Risques/blob/main/suivi/2022-01-26-Atelier-documents-reference/2022-01-26-Guide-Atelier-Documents-de-reference.docx" TargetMode="External"/><Relationship Id="rId36" Type="http://schemas.openxmlformats.org/officeDocument/2006/relationships/hyperlink" Target="https://github.com/cnigfr/Geostandards-Risques/blob/main/suivi/2022-01-28-Atelier-Thematiques-metiers-classes-TRI-PPR/2022-01-28-Synthese-Atelier-repartition-classes-thematiques.docx" TargetMode="External"/><Relationship Id="rId49" Type="http://schemas.openxmlformats.org/officeDocument/2006/relationships/image" Target="media/image8.png"/><Relationship Id="rId57" Type="http://schemas.openxmlformats.org/officeDocument/2006/relationships/hyperlink" Target="https://www.legifrance.gouv.fr/codes/article_lc/LEGIARTI000023655645" TargetMode="External"/><Relationship Id="rId61" Type="http://schemas.openxmlformats.org/officeDocument/2006/relationships/hyperlink" Target="https://inspire.ec.europa.eu/documents/Data_Specifications/INSPIRE_DataSpecification_LU_v3.0.pdf"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4-08-Pleniere-GT/SPP-22-0447_CR_R%C3%A9union_Pl%C3%A9ni%C3%A8re-08-04-2022.pdf" TargetMode="External"/><Relationship Id="rId44" Type="http://schemas.openxmlformats.org/officeDocument/2006/relationships/hyperlink" Target="https://github.com/cnigfr/Geostandards-Risques/raw/main/suivi/2022-04-08-Pleniere-GT/SPP-22-0447_CR_R%C3%A9union_Pl%C3%A9ni%C3%A8re-08-04-2022.pdf" TargetMode="External"/><Relationship Id="rId52" Type="http://schemas.openxmlformats.org/officeDocument/2006/relationships/hyperlink" Target="https://eur-lex.europa.eu/legal-content/FR/TXT/HTML/?uri=CELEX:32007L0060&amp;qid=1433489275230&amp;from=FR" TargetMode="External"/><Relationship Id="rId60" Type="http://schemas.openxmlformats.org/officeDocument/2006/relationships/hyperlink" Target="http://cnig.gouv.fr/wp-content/uploads/2021/10/211015-Mod%C3%A8le-de-parties-Qualit%C3%A9-et-M%C3%A9tadonn%C3%A9es-des-g%C3%A9ostandards.pdf" TargetMode="External"/><Relationship Id="rId65"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s://github.com/cnigfr/Geostandards-Risques/blob/main/suivi/2022-01-14-Lancement/SPP-22-0372%20Compte%20de%20r%C3%A9union%20de%20lancement%20sur%20la%20refonte%20des%20g%C3%A9ostandards.docx" TargetMode="External"/><Relationship Id="rId30" Type="http://schemas.openxmlformats.org/officeDocument/2006/relationships/hyperlink" Target="https://github.com/cnigfr/Geostandards-Risques/blob/main/suivi/2022-02-18-Pleniere-GT/220218_SPP-22-0400_CR_R%C3%A9union_Pl%C3%A9ni%C3%A8re_20220325.pdf" TargetMode="External"/><Relationship Id="rId35" Type="http://schemas.openxmlformats.org/officeDocument/2006/relationships/hyperlink" Target="https://github.com/cnigfr/Geostandards-Risques/issues/3" TargetMode="External"/><Relationship Id="rId43" Type="http://schemas.openxmlformats.org/officeDocument/2006/relationships/hyperlink" Target="https://app.mural.co/t/ign6805/m/ign6805/1644943331129/a225e8090f3efe55df7175655229630d3e7ab013?sender=u7cb5d16a155aefd8d9423388" TargetMode="External"/><Relationship Id="rId48" Type="http://schemas.openxmlformats.org/officeDocument/2006/relationships/image" Target="media/image7.png"/><Relationship Id="rId56" Type="http://schemas.openxmlformats.org/officeDocument/2006/relationships/hyperlink" Target="https://eur-lex.europa.eu/legal-content/FR/TXT/HTML/?uri=CELEX:32007L0060&amp;qid=1433489275230&amp;from=FR" TargetMode="External"/><Relationship Id="rId64" Type="http://schemas.openxmlformats.org/officeDocument/2006/relationships/hyperlink" Target="https://inspire.ec.europa.eu/documents/Data_Specifications/INSPIRE_DataSpecification_NZ_v3.0.pdf" TargetMode="External"/><Relationship Id="rId8" Type="http://schemas.openxmlformats.org/officeDocument/2006/relationships/settings" Target="settings.xml"/><Relationship Id="rId51" Type="http://schemas.openxmlformats.org/officeDocument/2006/relationships/hyperlink" Target="http://cnig.gouv.fr/wp-content/uploads/2021/10/211015-Mod%C3%A8le-de-parties-Qualit%C3%A9-et-M%C3%A9tadonn%C3%A9es-des-g%C3%A9ostandards.pdf"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cnig.gouv.fr/wp-content/uploads/2021/10/MandatModernisationStandardsRisque-vf.pdf" TargetMode="External"/><Relationship Id="rId33" Type="http://schemas.openxmlformats.org/officeDocument/2006/relationships/hyperlink" Target="https://github.com/cnigfr/Geostandards-Risques/tree/main/documents" TargetMode="External"/><Relationship Id="rId38" Type="http://schemas.openxmlformats.org/officeDocument/2006/relationships/hyperlink" Target="https://app.mural.co/t/ign6805/m/ign6805/1641566548721/6cc98299c1e144b94a51652bd5fe8d0e0d8e712b?sender=u7cb5d16a155aefd8d9423388" TargetMode="External"/><Relationship Id="rId46" Type="http://schemas.openxmlformats.org/officeDocument/2006/relationships/hyperlink" Target="https://github.com/cnigfr/Geostandards-Risques/tree/main/suivi/2022-04-08-Pleniere-GT" TargetMode="External"/><Relationship Id="rId59" Type="http://schemas.openxmlformats.org/officeDocument/2006/relationships/hyperlink" Target="https://www.legifrance.gouv.fr/codes/section_lc/LEGITEXT000006074075/LEGISCTA000031210792/" TargetMode="External"/><Relationship Id="rId67" Type="http://schemas.openxmlformats.org/officeDocument/2006/relationships/fontTable" Target="fontTable.xm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comments" Target="comments.xml"/><Relationship Id="rId54" Type="http://schemas.openxmlformats.org/officeDocument/2006/relationships/hyperlink" Target="https://www.legifrance.gouv.fr/codes/section_lc/LEGITEXT000006074220/LEGISCTA000006176606/" TargetMode="External"/><Relationship Id="rId62" Type="http://schemas.openxmlformats.org/officeDocument/2006/relationships/hyperlink" Target="https://inspire.ec.europa.eu/documents/Data_Specifications/INSPIRE_DataSpecification_PF_v3.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2.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29D4F4-A29C-4FD6-AACA-FDB33CBE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22</Pages>
  <Words>7570</Words>
  <Characters>43153</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6</cp:revision>
  <cp:lastPrinted>2017-09-18T16:06:00Z</cp:lastPrinted>
  <dcterms:created xsi:type="dcterms:W3CDTF">2022-06-03T13:17:00Z</dcterms:created>
  <dcterms:modified xsi:type="dcterms:W3CDTF">2022-06-15T16:14:00Z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