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3E2" w:rsidRDefault="00D72EF3" w:rsidP="009365F9">
      <w:pPr>
        <w:jc w:val="both"/>
      </w:pPr>
      <w:r>
        <w:rPr>
          <w:noProof/>
          <w:lang w:eastAsia="fr-FR"/>
        </w:rPr>
        <w:drawing>
          <wp:anchor distT="0" distB="0" distL="114300" distR="114300" simplePos="0" relativeHeight="2" behindDoc="1" locked="0" layoutInCell="1" allowOverlap="1" wp14:anchorId="4A310D64" wp14:editId="56DB9815">
            <wp:simplePos x="0" y="0"/>
            <wp:positionH relativeFrom="column">
              <wp:posOffset>-152400</wp:posOffset>
            </wp:positionH>
            <wp:positionV relativeFrom="paragraph">
              <wp:posOffset>-510540</wp:posOffset>
            </wp:positionV>
            <wp:extent cx="826770" cy="8826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a:stretch>
                      <a:fillRect/>
                    </a:stretch>
                  </pic:blipFill>
                  <pic:spPr bwMode="auto">
                    <a:xfrm>
                      <a:off x="0" y="0"/>
                      <a:ext cx="826770" cy="882650"/>
                    </a:xfrm>
                    <a:prstGeom prst="rect">
                      <a:avLst/>
                    </a:prstGeom>
                  </pic:spPr>
                </pic:pic>
              </a:graphicData>
            </a:graphic>
          </wp:anchor>
        </w:drawing>
      </w:r>
      <w:r>
        <w:rPr>
          <w:noProof/>
          <w:lang w:eastAsia="fr-FR"/>
        </w:rPr>
        <w:drawing>
          <wp:anchor distT="0" distB="0" distL="114300" distR="114300" simplePos="0" relativeHeight="4" behindDoc="1" locked="0" layoutInCell="1" allowOverlap="1" wp14:anchorId="416646E7" wp14:editId="0BBAEDA1">
            <wp:simplePos x="0" y="0"/>
            <wp:positionH relativeFrom="column">
              <wp:posOffset>3878580</wp:posOffset>
            </wp:positionH>
            <wp:positionV relativeFrom="paragraph">
              <wp:posOffset>-542290</wp:posOffset>
            </wp:positionV>
            <wp:extent cx="1891665" cy="902970"/>
            <wp:effectExtent l="0" t="0" r="0" b="0"/>
            <wp:wrapNone/>
            <wp:docPr id="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pic:cNvPicPr>
                      <a:picLocks noChangeAspect="1" noChangeArrowheads="1"/>
                    </pic:cNvPicPr>
                  </pic:nvPicPr>
                  <pic:blipFill>
                    <a:blip r:embed="rId10"/>
                    <a:stretch>
                      <a:fillRect/>
                    </a:stretch>
                  </pic:blipFill>
                  <pic:spPr bwMode="auto">
                    <a:xfrm>
                      <a:off x="0" y="0"/>
                      <a:ext cx="1891665" cy="902970"/>
                    </a:xfrm>
                    <a:prstGeom prst="rect">
                      <a:avLst/>
                    </a:prstGeom>
                  </pic:spPr>
                </pic:pic>
              </a:graphicData>
            </a:graphic>
          </wp:anchor>
        </w:drawing>
      </w:r>
      <w:r>
        <w:rPr>
          <w:noProof/>
          <w:lang w:eastAsia="fr-FR"/>
        </w:rPr>
        <w:drawing>
          <wp:anchor distT="0" distB="1905" distL="114300" distR="120650" simplePos="0" relativeHeight="5" behindDoc="1" locked="0" layoutInCell="1" allowOverlap="1" wp14:anchorId="1D3AE792" wp14:editId="77D29AB6">
            <wp:simplePos x="0" y="0"/>
            <wp:positionH relativeFrom="column">
              <wp:posOffset>984250</wp:posOffset>
            </wp:positionH>
            <wp:positionV relativeFrom="paragraph">
              <wp:posOffset>-605790</wp:posOffset>
            </wp:positionV>
            <wp:extent cx="1460500" cy="106489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1460500" cy="1064895"/>
                    </a:xfrm>
                    <a:prstGeom prst="rect">
                      <a:avLst/>
                    </a:prstGeom>
                  </pic:spPr>
                </pic:pic>
              </a:graphicData>
            </a:graphic>
          </wp:anchor>
        </w:drawing>
      </w:r>
      <w:r>
        <w:t xml:space="preserve"> </w:t>
      </w:r>
    </w:p>
    <w:p w:rsidR="00CD73E2" w:rsidRDefault="00CD73E2" w:rsidP="009365F9">
      <w:pPr>
        <w:jc w:val="both"/>
      </w:pPr>
    </w:p>
    <w:p w:rsidR="00CD73E2" w:rsidRDefault="00CD73E2" w:rsidP="009365F9">
      <w:pPr>
        <w:jc w:val="both"/>
      </w:pPr>
    </w:p>
    <w:p w:rsidR="00CD73E2" w:rsidRDefault="00D72EF3" w:rsidP="009365F9">
      <w:pPr>
        <w:jc w:val="both"/>
        <w:rPr>
          <w:b/>
          <w:sz w:val="28"/>
        </w:rPr>
      </w:pPr>
      <w:r>
        <w:rPr>
          <w:b/>
          <w:sz w:val="28"/>
        </w:rPr>
        <w:t>Refonte des Géostandards</w:t>
      </w:r>
    </w:p>
    <w:p w:rsidR="00CD73E2" w:rsidRDefault="00D72EF3" w:rsidP="009365F9">
      <w:pPr>
        <w:jc w:val="both"/>
        <w:rPr>
          <w:b/>
        </w:rPr>
      </w:pPr>
      <w:r>
        <w:rPr>
          <w:b/>
          <w:sz w:val="28"/>
        </w:rPr>
        <w:t>__</w:t>
      </w:r>
    </w:p>
    <w:p w:rsidR="00CD73E2" w:rsidRDefault="00D72EF3" w:rsidP="009365F9">
      <w:pPr>
        <w:jc w:val="both"/>
        <w:rPr>
          <w:b/>
          <w:sz w:val="28"/>
        </w:rPr>
      </w:pPr>
      <w:r>
        <w:rPr>
          <w:b/>
          <w:sz w:val="28"/>
        </w:rPr>
        <w:t>Compte re</w:t>
      </w:r>
      <w:r w:rsidR="00AB155E">
        <w:rPr>
          <w:b/>
          <w:sz w:val="28"/>
        </w:rPr>
        <w:t xml:space="preserve">ndu de la réunion de lancement </w:t>
      </w:r>
      <w:bookmarkStart w:id="0" w:name="_GoBack"/>
      <w:bookmarkEnd w:id="0"/>
      <w:r>
        <w:rPr>
          <w:b/>
          <w:sz w:val="28"/>
        </w:rPr>
        <w:t>du groupe de travail le 14/01/2022 de 9h30 à 12h</w:t>
      </w:r>
    </w:p>
    <w:p w:rsidR="00CD73E2" w:rsidRDefault="00CD73E2" w:rsidP="009365F9">
      <w:pPr>
        <w:jc w:val="both"/>
        <w:rPr>
          <w:b/>
        </w:rPr>
      </w:pPr>
    </w:p>
    <w:p w:rsidR="00CD73E2" w:rsidRDefault="00D72EF3" w:rsidP="009365F9">
      <w:pPr>
        <w:jc w:val="both"/>
      </w:pPr>
      <w:r>
        <w:rPr>
          <w:b/>
        </w:rPr>
        <w:t xml:space="preserve">Objet : </w:t>
      </w:r>
      <w:r>
        <w:t>Refonte des géostandards risques selon les nouvelles catégories métiers</w:t>
      </w:r>
    </w:p>
    <w:p w:rsidR="00CD73E2" w:rsidRDefault="00D72EF3" w:rsidP="009365F9">
      <w:pPr>
        <w:jc w:val="both"/>
        <w:rPr>
          <w:b/>
        </w:rPr>
      </w:pPr>
      <w:r>
        <w:rPr>
          <w:b/>
        </w:rPr>
        <w:t xml:space="preserve">Ordre du jour : </w:t>
      </w:r>
    </w:p>
    <w:p w:rsidR="00CD73E2" w:rsidRDefault="00D72EF3" w:rsidP="009365F9">
      <w:pPr>
        <w:pStyle w:val="Paragraphedeliste"/>
        <w:numPr>
          <w:ilvl w:val="0"/>
          <w:numId w:val="2"/>
        </w:numPr>
        <w:jc w:val="both"/>
        <w:rPr>
          <w:b/>
        </w:rPr>
      </w:pPr>
      <w:r>
        <w:rPr>
          <w:b/>
        </w:rPr>
        <w:t>Introduction</w:t>
      </w:r>
    </w:p>
    <w:p w:rsidR="00CD73E2" w:rsidRDefault="00D72EF3" w:rsidP="009365F9">
      <w:pPr>
        <w:pStyle w:val="Paragraphedeliste"/>
        <w:numPr>
          <w:ilvl w:val="0"/>
          <w:numId w:val="2"/>
        </w:numPr>
        <w:jc w:val="both"/>
        <w:rPr>
          <w:b/>
        </w:rPr>
      </w:pPr>
      <w:r>
        <w:rPr>
          <w:b/>
        </w:rPr>
        <w:t>Présentations – Tour de table</w:t>
      </w:r>
    </w:p>
    <w:p w:rsidR="00CD73E2" w:rsidRDefault="00D72EF3" w:rsidP="009365F9">
      <w:pPr>
        <w:pStyle w:val="Paragraphedeliste"/>
        <w:numPr>
          <w:ilvl w:val="0"/>
          <w:numId w:val="2"/>
        </w:numPr>
        <w:jc w:val="both"/>
        <w:rPr>
          <w:b/>
        </w:rPr>
      </w:pPr>
      <w:r>
        <w:rPr>
          <w:b/>
        </w:rPr>
        <w:t>Revue du Mandat</w:t>
      </w:r>
    </w:p>
    <w:p w:rsidR="00CD73E2" w:rsidRDefault="00D72EF3" w:rsidP="009365F9">
      <w:pPr>
        <w:pStyle w:val="Paragraphedeliste"/>
        <w:numPr>
          <w:ilvl w:val="0"/>
          <w:numId w:val="2"/>
        </w:numPr>
        <w:jc w:val="both"/>
        <w:rPr>
          <w:b/>
        </w:rPr>
      </w:pPr>
      <w:r>
        <w:rPr>
          <w:b/>
        </w:rPr>
        <w:t>Focus sur les organismes représentés</w:t>
      </w:r>
    </w:p>
    <w:p w:rsidR="00CD73E2" w:rsidRDefault="00D72EF3" w:rsidP="009365F9">
      <w:pPr>
        <w:pStyle w:val="Paragraphedeliste"/>
        <w:numPr>
          <w:ilvl w:val="0"/>
          <w:numId w:val="2"/>
        </w:numPr>
        <w:jc w:val="both"/>
        <w:rPr>
          <w:b/>
        </w:rPr>
      </w:pPr>
      <w:r>
        <w:rPr>
          <w:b/>
        </w:rPr>
        <w:t>Organisation proposée</w:t>
      </w:r>
    </w:p>
    <w:p w:rsidR="00CD73E2" w:rsidRDefault="00D72EF3" w:rsidP="009365F9">
      <w:pPr>
        <w:pStyle w:val="Paragraphedeliste"/>
        <w:numPr>
          <w:ilvl w:val="0"/>
          <w:numId w:val="2"/>
        </w:numPr>
        <w:jc w:val="both"/>
        <w:rPr>
          <w:b/>
        </w:rPr>
      </w:pPr>
      <w:r>
        <w:rPr>
          <w:b/>
        </w:rPr>
        <w:t>Prochaines actions</w:t>
      </w:r>
    </w:p>
    <w:p w:rsidR="00CD73E2" w:rsidRDefault="00D72EF3" w:rsidP="009365F9">
      <w:pPr>
        <w:pStyle w:val="Paragraphedeliste"/>
        <w:numPr>
          <w:ilvl w:val="0"/>
          <w:numId w:val="2"/>
        </w:numPr>
        <w:jc w:val="both"/>
        <w:rPr>
          <w:b/>
        </w:rPr>
      </w:pPr>
      <w:r>
        <w:rPr>
          <w:b/>
        </w:rPr>
        <w:t>Autres sujets ?</w:t>
      </w:r>
    </w:p>
    <w:p w:rsidR="00CD73E2" w:rsidRDefault="00447765" w:rsidP="009365F9">
      <w:pPr>
        <w:jc w:val="both"/>
        <w:rPr>
          <w:sz w:val="20"/>
        </w:rPr>
      </w:pPr>
      <w:r w:rsidRPr="009A5A77">
        <w:rPr>
          <w:b/>
        </w:rPr>
        <w:t>Support de présentation</w:t>
      </w:r>
      <w:r w:rsidRPr="009A5A77">
        <w:t> </w:t>
      </w:r>
      <w:r>
        <w:rPr>
          <w:sz w:val="20"/>
        </w:rPr>
        <w:t xml:space="preserve">: </w:t>
      </w:r>
      <w:hyperlink r:id="rId12" w:history="1">
        <w:r w:rsidRPr="009A40D3">
          <w:rPr>
            <w:rStyle w:val="Lienhypertexte"/>
            <w:sz w:val="20"/>
          </w:rPr>
          <w:t>http://cnig.gouv.fr/wp-content/uploads/2022/01/SPP-22-0364-Lancement-GT-Geostandards-14-01-2022.pdf</w:t>
        </w:r>
      </w:hyperlink>
      <w:r>
        <w:rPr>
          <w:sz w:val="20"/>
        </w:rPr>
        <w:t xml:space="preserve"> </w:t>
      </w:r>
    </w:p>
    <w:tbl>
      <w:tblPr>
        <w:tblW w:w="916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0"/>
        <w:gridCol w:w="5880"/>
      </w:tblGrid>
      <w:tr w:rsidR="00CD73E2">
        <w:trPr>
          <w:trHeight w:val="290"/>
        </w:trPr>
        <w:tc>
          <w:tcPr>
            <w:tcW w:w="915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b/>
                <w:bCs/>
                <w:color w:val="000000"/>
                <w:lang w:val="en-US"/>
              </w:rPr>
            </w:pPr>
            <w:r>
              <w:rPr>
                <w:rFonts w:ascii="Arial" w:eastAsia="Times New Roman" w:hAnsi="Arial" w:cs="Arial"/>
                <w:b/>
                <w:bCs/>
                <w:color w:val="000000"/>
                <w:lang w:val="en-US"/>
              </w:rPr>
              <w:t xml:space="preserve">Participants </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b/>
                <w:bCs/>
                <w:color w:val="000000"/>
                <w:lang w:val="en-US"/>
              </w:rPr>
            </w:pPr>
            <w:r>
              <w:rPr>
                <w:rFonts w:ascii="Arial" w:eastAsia="Times New Roman" w:hAnsi="Arial" w:cs="Arial"/>
                <w:b/>
                <w:bCs/>
                <w:color w:val="000000"/>
                <w:lang w:val="en-US"/>
              </w:rPr>
              <w:t>Nom/</w:t>
            </w:r>
            <w:proofErr w:type="spellStart"/>
            <w:r>
              <w:rPr>
                <w:rFonts w:ascii="Arial" w:eastAsia="Times New Roman" w:hAnsi="Arial" w:cs="Arial"/>
                <w:b/>
                <w:bCs/>
                <w:color w:val="000000"/>
                <w:lang w:val="en-US"/>
              </w:rPr>
              <w:t>Prénom</w:t>
            </w:r>
            <w:proofErr w:type="spellEnd"/>
            <w:r>
              <w:rPr>
                <w:rFonts w:ascii="Arial" w:eastAsia="Times New Roman" w:hAnsi="Arial" w:cs="Arial"/>
                <w:b/>
                <w:bCs/>
                <w:color w:val="000000"/>
                <w:lang w:val="en-US"/>
              </w:rPr>
              <w:t xml:space="preserve"> </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b/>
                <w:bCs/>
                <w:color w:val="000000"/>
                <w:lang w:val="en-US"/>
              </w:rPr>
            </w:pPr>
            <w:proofErr w:type="spellStart"/>
            <w:r>
              <w:rPr>
                <w:rFonts w:ascii="Arial" w:eastAsia="Times New Roman" w:hAnsi="Arial" w:cs="Arial"/>
                <w:b/>
                <w:bCs/>
                <w:color w:val="000000"/>
                <w:lang w:val="en-US"/>
              </w:rPr>
              <w:t>Organisme</w:t>
            </w:r>
            <w:proofErr w:type="spellEnd"/>
            <w:r>
              <w:rPr>
                <w:rFonts w:ascii="Arial" w:eastAsia="Times New Roman" w:hAnsi="Arial" w:cs="Arial"/>
                <w:b/>
                <w:bCs/>
                <w:color w:val="000000"/>
                <w:lang w:val="en-US"/>
              </w:rPr>
              <w:t xml:space="preserve"> - </w:t>
            </w:r>
            <w:proofErr w:type="spellStart"/>
            <w:r>
              <w:rPr>
                <w:rFonts w:ascii="Arial" w:eastAsia="Times New Roman" w:hAnsi="Arial" w:cs="Arial"/>
                <w:b/>
                <w:bCs/>
                <w:color w:val="000000"/>
                <w:lang w:val="en-US"/>
              </w:rPr>
              <w:t>Fonction</w:t>
            </w:r>
            <w:proofErr w:type="spellEnd"/>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Guillaume </w:t>
            </w:r>
            <w:proofErr w:type="spellStart"/>
            <w:r>
              <w:rPr>
                <w:rFonts w:ascii="Arial" w:eastAsia="Times New Roman" w:hAnsi="Arial" w:cs="Arial"/>
                <w:color w:val="000000"/>
                <w:sz w:val="20"/>
                <w:lang w:val="en-US"/>
              </w:rPr>
              <w:t>Béchameil</w:t>
            </w:r>
            <w:proofErr w:type="spellEnd"/>
            <w:r>
              <w:rPr>
                <w:rFonts w:ascii="Arial" w:eastAsia="Times New Roman" w:hAnsi="Arial" w:cs="Arial"/>
                <w:color w:val="000000"/>
                <w:sz w:val="20"/>
                <w:lang w:val="en-US"/>
              </w:rPr>
              <w:t xml:space="preserve"> </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Responsable de l'unité prévention des risques à la DDT du Lot et Garonne</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Nicolas Bonnin</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DGPR : Pilotage projet géostandards et géorisques</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Marie Cécile Bosert</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IGN : Cheffe de projet MOA AMO DGPR</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Nicolas </w:t>
            </w:r>
            <w:proofErr w:type="spellStart"/>
            <w:r>
              <w:rPr>
                <w:rFonts w:ascii="Arial" w:eastAsia="Times New Roman" w:hAnsi="Arial" w:cs="Arial"/>
                <w:color w:val="000000"/>
                <w:sz w:val="20"/>
                <w:lang w:val="en-US"/>
              </w:rPr>
              <w:t>Boudesseul</w:t>
            </w:r>
            <w:proofErr w:type="spellEnd"/>
            <w:r>
              <w:rPr>
                <w:rFonts w:ascii="Arial" w:eastAsia="Times New Roman" w:hAnsi="Arial" w:cs="Arial"/>
                <w:color w:val="000000"/>
                <w:sz w:val="20"/>
                <w:lang w:val="en-US"/>
              </w:rPr>
              <w:t xml:space="preserve"> </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DREAL Pays de la Loire : Chargé mission risques naturels </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proofErr w:type="spellStart"/>
            <w:r>
              <w:rPr>
                <w:rFonts w:ascii="Arial" w:eastAsia="Times New Roman" w:hAnsi="Arial" w:cs="Arial"/>
                <w:color w:val="000000"/>
                <w:sz w:val="20"/>
                <w:lang w:val="en-US"/>
              </w:rPr>
              <w:t>Aurelien</w:t>
            </w:r>
            <w:proofErr w:type="spellEnd"/>
            <w:r>
              <w:rPr>
                <w:rFonts w:ascii="Arial" w:eastAsia="Times New Roman" w:hAnsi="Arial" w:cs="Arial"/>
                <w:color w:val="000000"/>
                <w:sz w:val="20"/>
                <w:lang w:val="en-US"/>
              </w:rPr>
              <w:t xml:space="preserve"> </w:t>
            </w:r>
            <w:proofErr w:type="spellStart"/>
            <w:r>
              <w:rPr>
                <w:rFonts w:ascii="Arial" w:eastAsia="Times New Roman" w:hAnsi="Arial" w:cs="Arial"/>
                <w:color w:val="000000"/>
                <w:sz w:val="20"/>
                <w:lang w:val="en-US"/>
              </w:rPr>
              <w:t>Bouet</w:t>
            </w:r>
            <w:proofErr w:type="spellEnd"/>
            <w:r>
              <w:rPr>
                <w:rFonts w:ascii="Arial" w:eastAsia="Times New Roman" w:hAnsi="Arial" w:cs="Arial"/>
                <w:color w:val="000000"/>
                <w:sz w:val="20"/>
                <w:lang w:val="en-US"/>
              </w:rPr>
              <w:t xml:space="preserve"> </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DGPR: Chargé de mission service risques naturels et hydrauliques </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Simon </w:t>
            </w:r>
            <w:proofErr w:type="spellStart"/>
            <w:r>
              <w:rPr>
                <w:rFonts w:ascii="Arial" w:eastAsia="Times New Roman" w:hAnsi="Arial" w:cs="Arial"/>
                <w:color w:val="000000"/>
                <w:sz w:val="20"/>
                <w:lang w:val="en-US"/>
              </w:rPr>
              <w:t>Carrage</w:t>
            </w:r>
            <w:proofErr w:type="spellEnd"/>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Institut Paris Région IDF : Géomaticien  </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Guillaume Chrétien</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DDTM76 (Seine Maritime) : PPRT et Risques naturels SIG</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Gilles Cébélieu</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IGN : Chef de projet en normalisation </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Benoit David </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CGDD (Administrateur </w:t>
            </w:r>
            <w:proofErr w:type="spellStart"/>
            <w:r>
              <w:rPr>
                <w:rFonts w:ascii="Arial" w:eastAsia="Times New Roman" w:hAnsi="Arial" w:cs="Arial"/>
                <w:color w:val="000000"/>
                <w:sz w:val="20"/>
              </w:rPr>
              <w:t>ministeriel</w:t>
            </w:r>
            <w:proofErr w:type="spellEnd"/>
            <w:r>
              <w:rPr>
                <w:rFonts w:ascii="Arial" w:eastAsia="Times New Roman" w:hAnsi="Arial" w:cs="Arial"/>
                <w:color w:val="000000"/>
                <w:sz w:val="20"/>
              </w:rPr>
              <w:t xml:space="preserve"> des données) – Accès à la donnée, catalogage et </w:t>
            </w:r>
            <w:proofErr w:type="spellStart"/>
            <w:r>
              <w:rPr>
                <w:rFonts w:ascii="Arial" w:eastAsia="Times New Roman" w:hAnsi="Arial" w:cs="Arial"/>
                <w:color w:val="000000"/>
                <w:sz w:val="20"/>
              </w:rPr>
              <w:t>interoperabilité</w:t>
            </w:r>
            <w:proofErr w:type="spellEnd"/>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Helene Decourcelle</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DREAL ARA (Auvergne-Rhône-Alpes) : Chargée de mission au Pôle Plan Rhône</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lastRenderedPageBreak/>
              <w:t>Magali Di Salvo</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DREAL ARA : Responsable du pôle système infos géographique </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Yohann Evain</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CEREMA Clermont Ferrand : Chargé d'étude risque d’inondations </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Arnauld Gallais</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pPr>
            <w:r>
              <w:rPr>
                <w:rFonts w:ascii="Arial" w:eastAsia="Times New Roman" w:hAnsi="Arial" w:cs="Arial"/>
                <w:color w:val="000000"/>
                <w:sz w:val="20"/>
              </w:rPr>
              <w:t>CEREMA Ouest : Expert de la standardisation et qualification des données géographiques et animateur de GT CNIG</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Isabelle Giraud</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 DDTM 34 (Hérault) Service Eau Risques et Nature </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Eric Lecler</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DDT95 : Responsable du pôle géomatique </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Vincent Lanher</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BGRM : Data manager</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Pascal Lagrabe</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DGPR : Responsable </w:t>
            </w:r>
            <w:proofErr w:type="spellStart"/>
            <w:r>
              <w:rPr>
                <w:rFonts w:ascii="Arial" w:eastAsia="Times New Roman" w:hAnsi="Arial" w:cs="Arial"/>
                <w:color w:val="000000"/>
                <w:sz w:val="20"/>
                <w:lang w:val="en-US"/>
              </w:rPr>
              <w:t>numérique</w:t>
            </w:r>
            <w:proofErr w:type="spellEnd"/>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Leslie Lemaire</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MTE/SNUM : Chargée de mission du pôle numérique </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Alison Lenain </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IGN : </w:t>
            </w:r>
            <w:proofErr w:type="spellStart"/>
            <w:r>
              <w:rPr>
                <w:rFonts w:ascii="Arial" w:eastAsia="Times New Roman" w:hAnsi="Arial" w:cs="Arial"/>
                <w:color w:val="000000"/>
                <w:sz w:val="20"/>
                <w:lang w:val="en-US"/>
              </w:rPr>
              <w:t>Consultante</w:t>
            </w:r>
            <w:proofErr w:type="spellEnd"/>
            <w:r>
              <w:rPr>
                <w:rFonts w:ascii="Arial" w:eastAsia="Times New Roman" w:hAnsi="Arial" w:cs="Arial"/>
                <w:color w:val="000000"/>
                <w:sz w:val="20"/>
                <w:lang w:val="en-US"/>
              </w:rPr>
              <w:t xml:space="preserve"> en </w:t>
            </w:r>
            <w:proofErr w:type="spellStart"/>
            <w:r>
              <w:rPr>
                <w:rFonts w:ascii="Arial" w:eastAsia="Times New Roman" w:hAnsi="Arial" w:cs="Arial"/>
                <w:color w:val="000000"/>
                <w:sz w:val="20"/>
                <w:lang w:val="en-US"/>
              </w:rPr>
              <w:t>normalisation</w:t>
            </w:r>
            <w:proofErr w:type="spellEnd"/>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Stéphane Loigerot</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BGRM : Chef de projet géorisques</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proofErr w:type="spellStart"/>
            <w:r>
              <w:rPr>
                <w:rFonts w:ascii="Arial" w:eastAsia="Times New Roman" w:hAnsi="Arial" w:cs="Arial"/>
                <w:color w:val="000000"/>
                <w:sz w:val="20"/>
                <w:lang w:val="en-US"/>
              </w:rPr>
              <w:t>Delphine</w:t>
            </w:r>
            <w:proofErr w:type="spellEnd"/>
            <w:r>
              <w:rPr>
                <w:rFonts w:ascii="Arial" w:eastAsia="Times New Roman" w:hAnsi="Arial" w:cs="Arial"/>
                <w:color w:val="000000"/>
                <w:sz w:val="20"/>
                <w:lang w:val="en-US"/>
              </w:rPr>
              <w:t xml:space="preserve"> LOISON </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DDT38 (Isère) : Cheffe de l’unité SIG centrale et observatoire (représente Stanislas Besson)</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proofErr w:type="spellStart"/>
            <w:r>
              <w:rPr>
                <w:rFonts w:ascii="Arial" w:eastAsia="Times New Roman" w:hAnsi="Arial" w:cs="Arial"/>
                <w:color w:val="000000"/>
                <w:sz w:val="20"/>
                <w:lang w:val="en-US"/>
              </w:rPr>
              <w:t>Ségolene</w:t>
            </w:r>
            <w:proofErr w:type="spellEnd"/>
            <w:r>
              <w:rPr>
                <w:rFonts w:ascii="Arial" w:eastAsia="Times New Roman" w:hAnsi="Arial" w:cs="Arial"/>
                <w:color w:val="000000"/>
                <w:sz w:val="20"/>
                <w:lang w:val="en-US"/>
              </w:rPr>
              <w:t xml:space="preserve"> </w:t>
            </w:r>
            <w:proofErr w:type="spellStart"/>
            <w:r>
              <w:rPr>
                <w:rFonts w:ascii="Arial" w:eastAsia="Times New Roman" w:hAnsi="Arial" w:cs="Arial"/>
                <w:color w:val="000000"/>
                <w:sz w:val="20"/>
                <w:lang w:val="en-US"/>
              </w:rPr>
              <w:t>Naville</w:t>
            </w:r>
            <w:proofErr w:type="spellEnd"/>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DDT 38 : Adjointe au  Chef du service risque et sécurité</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proofErr w:type="spellStart"/>
            <w:r>
              <w:rPr>
                <w:rFonts w:ascii="Arial" w:eastAsia="Times New Roman" w:hAnsi="Arial" w:cs="Arial"/>
                <w:color w:val="000000"/>
                <w:sz w:val="20"/>
                <w:lang w:val="en-US"/>
              </w:rPr>
              <w:t>Hervé</w:t>
            </w:r>
            <w:proofErr w:type="spellEnd"/>
            <w:r>
              <w:rPr>
                <w:rFonts w:ascii="Arial" w:eastAsia="Times New Roman" w:hAnsi="Arial" w:cs="Arial"/>
                <w:color w:val="000000"/>
                <w:sz w:val="20"/>
                <w:lang w:val="en-US"/>
              </w:rPr>
              <w:t xml:space="preserve"> Parmentier</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proofErr w:type="spellStart"/>
            <w:r>
              <w:rPr>
                <w:rFonts w:ascii="Arial" w:eastAsia="Times New Roman" w:hAnsi="Arial" w:cs="Arial"/>
                <w:color w:val="000000"/>
                <w:sz w:val="20"/>
                <w:lang w:val="en-US"/>
              </w:rPr>
              <w:t>Laboratoire</w:t>
            </w:r>
            <w:proofErr w:type="spellEnd"/>
            <w:r>
              <w:rPr>
                <w:rFonts w:ascii="Arial" w:eastAsia="Times New Roman" w:hAnsi="Arial" w:cs="Arial"/>
                <w:color w:val="000000"/>
                <w:sz w:val="20"/>
                <w:lang w:val="en-US"/>
              </w:rPr>
              <w:t xml:space="preserve"> de </w:t>
            </w:r>
            <w:proofErr w:type="spellStart"/>
            <w:r>
              <w:rPr>
                <w:rFonts w:ascii="Arial" w:eastAsia="Times New Roman" w:hAnsi="Arial" w:cs="Arial"/>
                <w:color w:val="000000"/>
                <w:sz w:val="20"/>
                <w:lang w:val="en-US"/>
              </w:rPr>
              <w:t>recherche</w:t>
            </w:r>
            <w:proofErr w:type="spellEnd"/>
            <w:r>
              <w:rPr>
                <w:rFonts w:ascii="Arial" w:eastAsia="Times New Roman" w:hAnsi="Arial" w:cs="Arial"/>
                <w:color w:val="000000"/>
                <w:sz w:val="20"/>
                <w:lang w:val="en-US"/>
              </w:rPr>
              <w:t xml:space="preserve"> (hydrologie )</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Jean Luc Perrin</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DGPR : Sous-directeur des risques chroniques et du pilotage de la prévision des risques technologiques</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Ariane Stephan </w:t>
            </w:r>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DGPR/SRNH/BRNT (Bureau des Risques Naturels Terrestres) </w:t>
            </w:r>
          </w:p>
        </w:tc>
      </w:tr>
      <w:tr w:rsidR="00CD73E2">
        <w:trPr>
          <w:trHeight w:val="29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proofErr w:type="spellStart"/>
            <w:r>
              <w:rPr>
                <w:rFonts w:ascii="Arial" w:eastAsia="Times New Roman" w:hAnsi="Arial" w:cs="Arial"/>
                <w:color w:val="000000"/>
                <w:sz w:val="20"/>
                <w:lang w:val="en-US"/>
              </w:rPr>
              <w:t>Bénédique</w:t>
            </w:r>
            <w:proofErr w:type="spellEnd"/>
            <w:r>
              <w:rPr>
                <w:rFonts w:ascii="Arial" w:eastAsia="Times New Roman" w:hAnsi="Arial" w:cs="Arial"/>
                <w:color w:val="000000"/>
                <w:sz w:val="20"/>
                <w:lang w:val="en-US"/>
              </w:rPr>
              <w:t xml:space="preserve"> </w:t>
            </w:r>
            <w:proofErr w:type="spellStart"/>
            <w:r>
              <w:rPr>
                <w:rFonts w:ascii="Arial" w:eastAsia="Times New Roman" w:hAnsi="Arial" w:cs="Arial"/>
                <w:color w:val="000000"/>
                <w:sz w:val="20"/>
                <w:lang w:val="en-US"/>
              </w:rPr>
              <w:t>Tardivo</w:t>
            </w:r>
            <w:proofErr w:type="spellEnd"/>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DGPR - SRNH/BRIL (Bureau des Risques Inondation et Littoraux) - Représente aussi Jacques </w:t>
            </w:r>
            <w:proofErr w:type="spellStart"/>
            <w:r>
              <w:rPr>
                <w:rFonts w:ascii="Arial" w:eastAsia="Times New Roman" w:hAnsi="Arial" w:cs="Arial"/>
                <w:color w:val="000000"/>
                <w:sz w:val="20"/>
              </w:rPr>
              <w:t>Bouffier</w:t>
            </w:r>
            <w:proofErr w:type="spellEnd"/>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Sylvain </w:t>
            </w:r>
            <w:proofErr w:type="spellStart"/>
            <w:r>
              <w:rPr>
                <w:rFonts w:ascii="Arial" w:eastAsia="Times New Roman" w:hAnsi="Arial" w:cs="Arial"/>
                <w:color w:val="000000"/>
                <w:sz w:val="20"/>
                <w:lang w:val="en-US"/>
              </w:rPr>
              <w:t>Vergaert</w:t>
            </w:r>
            <w:proofErr w:type="spellEnd"/>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DGPR – SRT/BRIEC (Bureau des Risques Industrie Energie Chimie) - Adjoint au Chef de bureau des risques industries, énergies et de la chimie</w:t>
            </w:r>
          </w:p>
        </w:tc>
      </w:tr>
      <w:tr w:rsidR="00CD73E2">
        <w:trPr>
          <w:trHeight w:val="560"/>
        </w:trPr>
        <w:tc>
          <w:tcPr>
            <w:tcW w:w="3280"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Felicien </w:t>
            </w:r>
            <w:proofErr w:type="spellStart"/>
            <w:r>
              <w:rPr>
                <w:rFonts w:ascii="Arial" w:eastAsia="Times New Roman" w:hAnsi="Arial" w:cs="Arial"/>
                <w:color w:val="000000"/>
                <w:sz w:val="20"/>
                <w:lang w:val="en-US"/>
              </w:rPr>
              <w:t>Zuber</w:t>
            </w:r>
            <w:proofErr w:type="spellEnd"/>
          </w:p>
        </w:tc>
        <w:tc>
          <w:tcPr>
            <w:tcW w:w="587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 DGPR – SRNH/SCHAPI - Chargé de mission: Prévision des inondations</w:t>
            </w:r>
          </w:p>
        </w:tc>
      </w:tr>
    </w:tbl>
    <w:p w:rsidR="00CD73E2" w:rsidRDefault="00CD73E2" w:rsidP="009365F9">
      <w:pPr>
        <w:jc w:val="both"/>
        <w:rPr>
          <w:rFonts w:ascii="Arial" w:eastAsia="Times New Roman" w:hAnsi="Arial" w:cs="Arial"/>
          <w:color w:val="000000"/>
        </w:rPr>
      </w:pPr>
    </w:p>
    <w:tbl>
      <w:tblPr>
        <w:tblW w:w="910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5"/>
        <w:gridCol w:w="3459"/>
        <w:gridCol w:w="4266"/>
      </w:tblGrid>
      <w:tr w:rsidR="00CD73E2">
        <w:trPr>
          <w:trHeight w:val="290"/>
        </w:trPr>
        <w:tc>
          <w:tcPr>
            <w:tcW w:w="9100"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CD73E2" w:rsidRDefault="00D72EF3" w:rsidP="009365F9">
            <w:pPr>
              <w:spacing w:after="0" w:line="240" w:lineRule="auto"/>
              <w:jc w:val="both"/>
              <w:rPr>
                <w:rFonts w:ascii="Arial" w:eastAsia="Times New Roman" w:hAnsi="Arial" w:cs="Arial"/>
                <w:color w:val="000000"/>
                <w:lang w:val="en-US"/>
              </w:rPr>
            </w:pPr>
            <w:proofErr w:type="spellStart"/>
            <w:r>
              <w:rPr>
                <w:rFonts w:ascii="Arial" w:eastAsia="Times New Roman" w:hAnsi="Arial" w:cs="Arial"/>
                <w:color w:val="000000"/>
                <w:lang w:val="en-US"/>
              </w:rPr>
              <w:t>Suivi</w:t>
            </w:r>
            <w:proofErr w:type="spellEnd"/>
            <w:r>
              <w:rPr>
                <w:rFonts w:ascii="Arial" w:eastAsia="Times New Roman" w:hAnsi="Arial" w:cs="Arial"/>
                <w:color w:val="000000"/>
                <w:lang w:val="en-US"/>
              </w:rPr>
              <w:t xml:space="preserve"> du document </w:t>
            </w:r>
          </w:p>
        </w:tc>
      </w:tr>
      <w:tr w:rsidR="00CD73E2">
        <w:trPr>
          <w:trHeight w:val="290"/>
        </w:trPr>
        <w:tc>
          <w:tcPr>
            <w:tcW w:w="1375" w:type="dxa"/>
            <w:tcBorders>
              <w:left w:val="single" w:sz="4" w:space="0" w:color="000000"/>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lang w:val="en-US"/>
              </w:rPr>
            </w:pPr>
            <w:r>
              <w:rPr>
                <w:rFonts w:ascii="Arial" w:eastAsia="Times New Roman" w:hAnsi="Arial" w:cs="Arial"/>
                <w:color w:val="000000"/>
                <w:lang w:val="en-US"/>
              </w:rPr>
              <w:t xml:space="preserve">Date </w:t>
            </w:r>
          </w:p>
        </w:tc>
        <w:tc>
          <w:tcPr>
            <w:tcW w:w="3459"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lang w:val="en-US"/>
              </w:rPr>
            </w:pPr>
            <w:proofErr w:type="spellStart"/>
            <w:r>
              <w:rPr>
                <w:rFonts w:ascii="Arial" w:eastAsia="Times New Roman" w:hAnsi="Arial" w:cs="Arial"/>
                <w:color w:val="000000"/>
                <w:lang w:val="en-US"/>
              </w:rPr>
              <w:t>Noms</w:t>
            </w:r>
            <w:proofErr w:type="spellEnd"/>
          </w:p>
        </w:tc>
        <w:tc>
          <w:tcPr>
            <w:tcW w:w="4266"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lang w:val="en-US"/>
              </w:rPr>
            </w:pPr>
            <w:proofErr w:type="spellStart"/>
            <w:r>
              <w:rPr>
                <w:rFonts w:ascii="Arial" w:eastAsia="Times New Roman" w:hAnsi="Arial" w:cs="Arial"/>
                <w:color w:val="000000"/>
                <w:lang w:val="en-US"/>
              </w:rPr>
              <w:t>Commentaires</w:t>
            </w:r>
            <w:proofErr w:type="spellEnd"/>
            <w:r>
              <w:rPr>
                <w:rFonts w:ascii="Arial" w:eastAsia="Times New Roman" w:hAnsi="Arial" w:cs="Arial"/>
                <w:color w:val="000000"/>
                <w:lang w:val="en-US"/>
              </w:rPr>
              <w:t xml:space="preserve"> </w:t>
            </w:r>
          </w:p>
        </w:tc>
      </w:tr>
      <w:tr w:rsidR="00CD73E2" w:rsidTr="009A5A77">
        <w:trPr>
          <w:trHeight w:val="560"/>
        </w:trPr>
        <w:tc>
          <w:tcPr>
            <w:tcW w:w="1375" w:type="dxa"/>
            <w:tcBorders>
              <w:left w:val="single" w:sz="4" w:space="0" w:color="000000"/>
              <w:bottom w:val="single" w:sz="4" w:space="0" w:color="000000"/>
              <w:right w:val="single" w:sz="4" w:space="0" w:color="000000"/>
            </w:tcBorders>
            <w:shd w:val="clear" w:color="auto" w:fill="auto"/>
            <w:vAlign w:val="center"/>
          </w:tcPr>
          <w:p w:rsidR="00CD73E2" w:rsidRDefault="00D72EF3" w:rsidP="009A5A77">
            <w:pPr>
              <w:spacing w:after="0" w:line="240" w:lineRule="auto"/>
              <w:jc w:val="center"/>
              <w:rPr>
                <w:rFonts w:ascii="Arial" w:eastAsia="Times New Roman" w:hAnsi="Arial" w:cs="Arial"/>
                <w:color w:val="000000"/>
                <w:sz w:val="20"/>
                <w:lang w:val="en-US"/>
              </w:rPr>
            </w:pPr>
            <w:r>
              <w:rPr>
                <w:rFonts w:ascii="Arial" w:eastAsia="Times New Roman" w:hAnsi="Arial" w:cs="Arial"/>
                <w:color w:val="000000"/>
                <w:sz w:val="20"/>
                <w:lang w:val="en-US"/>
              </w:rPr>
              <w:t>21/02/2022</w:t>
            </w:r>
          </w:p>
        </w:tc>
        <w:tc>
          <w:tcPr>
            <w:tcW w:w="3459" w:type="dxa"/>
            <w:tcBorders>
              <w:bottom w:val="single" w:sz="4" w:space="0" w:color="000000"/>
              <w:right w:val="single" w:sz="4" w:space="0" w:color="000000"/>
            </w:tcBorders>
            <w:shd w:val="clear" w:color="auto" w:fill="auto"/>
            <w:vAlign w:val="center"/>
          </w:tcPr>
          <w:p w:rsidR="00CD73E2" w:rsidRDefault="00D72EF3" w:rsidP="009A5A77">
            <w:pPr>
              <w:spacing w:after="0" w:line="240" w:lineRule="auto"/>
              <w:jc w:val="both"/>
              <w:rPr>
                <w:rFonts w:ascii="Arial" w:eastAsia="Times New Roman" w:hAnsi="Arial" w:cs="Arial"/>
                <w:color w:val="000000"/>
                <w:sz w:val="20"/>
              </w:rPr>
            </w:pPr>
            <w:r>
              <w:rPr>
                <w:rFonts w:ascii="Arial" w:eastAsia="Times New Roman" w:hAnsi="Arial" w:cs="Arial"/>
                <w:color w:val="000000"/>
                <w:sz w:val="20"/>
              </w:rPr>
              <w:t xml:space="preserve">Gilles Cébélieu et Alison Lenain </w:t>
            </w:r>
          </w:p>
        </w:tc>
        <w:tc>
          <w:tcPr>
            <w:tcW w:w="4266" w:type="dxa"/>
            <w:tcBorders>
              <w:bottom w:val="single" w:sz="4" w:space="0" w:color="000000"/>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 xml:space="preserve">Première version pour </w:t>
            </w:r>
            <w:proofErr w:type="spellStart"/>
            <w:r>
              <w:rPr>
                <w:rFonts w:ascii="Arial" w:eastAsia="Times New Roman" w:hAnsi="Arial" w:cs="Arial"/>
                <w:color w:val="000000"/>
                <w:sz w:val="20"/>
                <w:lang w:val="en-US"/>
              </w:rPr>
              <w:t>relecture</w:t>
            </w:r>
            <w:proofErr w:type="spellEnd"/>
          </w:p>
        </w:tc>
      </w:tr>
      <w:tr w:rsidR="00CD73E2" w:rsidTr="009A5A77">
        <w:trPr>
          <w:trHeight w:val="570"/>
        </w:trPr>
        <w:tc>
          <w:tcPr>
            <w:tcW w:w="1375" w:type="dxa"/>
            <w:tcBorders>
              <w:left w:val="single" w:sz="4" w:space="0" w:color="000000"/>
              <w:right w:val="single" w:sz="4" w:space="0" w:color="000000"/>
            </w:tcBorders>
            <w:shd w:val="clear" w:color="auto" w:fill="auto"/>
            <w:vAlign w:val="center"/>
          </w:tcPr>
          <w:p w:rsidR="00CD73E2" w:rsidRDefault="00B37EDA" w:rsidP="009A5A77">
            <w:pPr>
              <w:spacing w:after="0" w:line="240" w:lineRule="auto"/>
              <w:jc w:val="center"/>
              <w:rPr>
                <w:rFonts w:ascii="Arial" w:eastAsia="Times New Roman" w:hAnsi="Arial" w:cs="Arial"/>
                <w:color w:val="000000"/>
                <w:sz w:val="20"/>
                <w:lang w:val="en-US"/>
              </w:rPr>
            </w:pPr>
            <w:r>
              <w:rPr>
                <w:rFonts w:ascii="Arial" w:eastAsia="Times New Roman" w:hAnsi="Arial" w:cs="Arial"/>
                <w:color w:val="000000"/>
                <w:sz w:val="20"/>
                <w:lang w:val="en-US"/>
              </w:rPr>
              <w:t>02/02/2022</w:t>
            </w:r>
          </w:p>
        </w:tc>
        <w:tc>
          <w:tcPr>
            <w:tcW w:w="3459" w:type="dxa"/>
            <w:tcBorders>
              <w:right w:val="single" w:sz="4" w:space="0" w:color="000000"/>
            </w:tcBorders>
            <w:shd w:val="clear" w:color="auto" w:fill="auto"/>
            <w:vAlign w:val="center"/>
          </w:tcPr>
          <w:p w:rsidR="00CD73E2" w:rsidRDefault="00D72EF3"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Participants GT</w:t>
            </w:r>
          </w:p>
        </w:tc>
        <w:tc>
          <w:tcPr>
            <w:tcW w:w="4266" w:type="dxa"/>
            <w:tcBorders>
              <w:right w:val="single" w:sz="4" w:space="0" w:color="000000"/>
            </w:tcBorders>
            <w:shd w:val="clear" w:color="auto" w:fill="auto"/>
            <w:vAlign w:val="center"/>
          </w:tcPr>
          <w:p w:rsidR="00CD73E2" w:rsidRDefault="00D72EF3" w:rsidP="009A5A77">
            <w:pPr>
              <w:spacing w:after="0" w:line="240" w:lineRule="auto"/>
              <w:jc w:val="both"/>
              <w:rPr>
                <w:rFonts w:ascii="Arial" w:eastAsia="Times New Roman" w:hAnsi="Arial" w:cs="Arial"/>
                <w:color w:val="000000"/>
                <w:sz w:val="20"/>
                <w:lang w:val="en-US"/>
              </w:rPr>
            </w:pPr>
            <w:proofErr w:type="spellStart"/>
            <w:r>
              <w:rPr>
                <w:rFonts w:ascii="Arial" w:eastAsia="Times New Roman" w:hAnsi="Arial" w:cs="Arial"/>
                <w:color w:val="000000"/>
                <w:sz w:val="20"/>
                <w:lang w:val="en-US"/>
              </w:rPr>
              <w:t>Relecture</w:t>
            </w:r>
            <w:proofErr w:type="spellEnd"/>
          </w:p>
        </w:tc>
      </w:tr>
      <w:tr w:rsidR="00B37EDA" w:rsidTr="009A5A77">
        <w:trPr>
          <w:trHeight w:val="570"/>
        </w:trPr>
        <w:tc>
          <w:tcPr>
            <w:tcW w:w="1375" w:type="dxa"/>
            <w:tcBorders>
              <w:left w:val="single" w:sz="4" w:space="0" w:color="000000"/>
              <w:bottom w:val="single" w:sz="4" w:space="0" w:color="000000"/>
              <w:right w:val="single" w:sz="4" w:space="0" w:color="000000"/>
            </w:tcBorders>
            <w:shd w:val="clear" w:color="auto" w:fill="auto"/>
            <w:vAlign w:val="center"/>
          </w:tcPr>
          <w:p w:rsidR="00B37EDA" w:rsidRDefault="00B37EDA" w:rsidP="009A5A77">
            <w:pPr>
              <w:spacing w:after="0" w:line="240" w:lineRule="auto"/>
              <w:jc w:val="center"/>
              <w:rPr>
                <w:rFonts w:ascii="Arial" w:eastAsia="Times New Roman" w:hAnsi="Arial" w:cs="Arial"/>
                <w:color w:val="000000"/>
                <w:sz w:val="20"/>
                <w:lang w:val="en-US"/>
              </w:rPr>
            </w:pPr>
            <w:r>
              <w:rPr>
                <w:rFonts w:ascii="Arial" w:eastAsia="Times New Roman" w:hAnsi="Arial" w:cs="Arial"/>
                <w:color w:val="000000"/>
                <w:sz w:val="20"/>
                <w:lang w:val="en-US"/>
              </w:rPr>
              <w:t>18/02/2022</w:t>
            </w:r>
          </w:p>
        </w:tc>
        <w:tc>
          <w:tcPr>
            <w:tcW w:w="3459" w:type="dxa"/>
            <w:tcBorders>
              <w:bottom w:val="single" w:sz="4" w:space="0" w:color="000000"/>
              <w:right w:val="single" w:sz="4" w:space="0" w:color="000000"/>
            </w:tcBorders>
            <w:shd w:val="clear" w:color="auto" w:fill="auto"/>
            <w:vAlign w:val="center"/>
          </w:tcPr>
          <w:p w:rsidR="00B37EDA" w:rsidRDefault="00B37EDA"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Participants GT</w:t>
            </w:r>
          </w:p>
        </w:tc>
        <w:tc>
          <w:tcPr>
            <w:tcW w:w="4266" w:type="dxa"/>
            <w:tcBorders>
              <w:bottom w:val="single" w:sz="4" w:space="0" w:color="000000"/>
              <w:right w:val="single" w:sz="4" w:space="0" w:color="000000"/>
            </w:tcBorders>
            <w:shd w:val="clear" w:color="auto" w:fill="auto"/>
            <w:vAlign w:val="center"/>
          </w:tcPr>
          <w:p w:rsidR="00B37EDA" w:rsidRDefault="00B37EDA" w:rsidP="009365F9">
            <w:pPr>
              <w:spacing w:after="0" w:line="240" w:lineRule="auto"/>
              <w:jc w:val="both"/>
              <w:rPr>
                <w:rFonts w:ascii="Arial" w:eastAsia="Times New Roman" w:hAnsi="Arial" w:cs="Arial"/>
                <w:color w:val="000000"/>
                <w:sz w:val="20"/>
                <w:lang w:val="en-US"/>
              </w:rPr>
            </w:pPr>
            <w:r>
              <w:rPr>
                <w:rFonts w:ascii="Arial" w:eastAsia="Times New Roman" w:hAnsi="Arial" w:cs="Arial"/>
                <w:color w:val="000000"/>
                <w:sz w:val="20"/>
                <w:lang w:val="en-US"/>
              </w:rPr>
              <w:t>Approbation</w:t>
            </w:r>
          </w:p>
        </w:tc>
      </w:tr>
    </w:tbl>
    <w:p w:rsidR="00CD73E2" w:rsidRDefault="00CD73E2" w:rsidP="009365F9">
      <w:pPr>
        <w:jc w:val="both"/>
      </w:pPr>
    </w:p>
    <w:p w:rsidR="00CD73E2" w:rsidRDefault="00D72EF3" w:rsidP="009365F9">
      <w:pPr>
        <w:jc w:val="both"/>
      </w:pPr>
      <w:r>
        <w:rPr>
          <w:noProof/>
          <w:lang w:eastAsia="fr-FR"/>
        </w:rPr>
        <mc:AlternateContent>
          <mc:Choice Requires="wps">
            <w:drawing>
              <wp:anchor distT="0" distB="0" distL="114300" distR="114300" simplePos="0" relativeHeight="3" behindDoc="0" locked="0" layoutInCell="1" allowOverlap="1" wp14:anchorId="50967FE5" wp14:editId="38B55C91">
                <wp:simplePos x="0" y="0"/>
                <wp:positionH relativeFrom="column">
                  <wp:posOffset>-41054</wp:posOffset>
                </wp:positionH>
                <wp:positionV relativeFrom="paragraph">
                  <wp:posOffset>161815</wp:posOffset>
                </wp:positionV>
                <wp:extent cx="3132814" cy="485280"/>
                <wp:effectExtent l="0" t="0" r="10795" b="10160"/>
                <wp:wrapNone/>
                <wp:docPr id="4" name="Rectangle 2"/>
                <wp:cNvGraphicFramePr/>
                <a:graphic xmlns:a="http://schemas.openxmlformats.org/drawingml/2006/main">
                  <a:graphicData uri="http://schemas.microsoft.com/office/word/2010/wordprocessingShape">
                    <wps:wsp>
                      <wps:cNvSpPr/>
                      <wps:spPr>
                        <a:xfrm>
                          <a:off x="0" y="0"/>
                          <a:ext cx="3132814" cy="485280"/>
                        </a:xfrm>
                        <a:prstGeom prst="rect">
                          <a:avLst/>
                        </a:prstGeom>
                        <a:noFill/>
                        <a:ln w="12600">
                          <a:solidFill>
                            <a:schemeClr val="tx1"/>
                          </a:solidFill>
                          <a:round/>
                        </a:ln>
                      </wps:spPr>
                      <wps:style>
                        <a:lnRef idx="2">
                          <a:schemeClr val="accent6"/>
                        </a:lnRef>
                        <a:fillRef idx="1">
                          <a:schemeClr val="lt1"/>
                        </a:fillRef>
                        <a:effectRef idx="0">
                          <a:schemeClr val="accent6"/>
                        </a:effectRef>
                        <a:fontRef idx="minor"/>
                      </wps:style>
                      <wps:bodyPr/>
                    </wps:wsp>
                  </a:graphicData>
                </a:graphic>
                <wp14:sizeRelH relativeFrom="margin">
                  <wp14:pctWidth>0</wp14:pctWidth>
                </wp14:sizeRelH>
              </wp:anchor>
            </w:drawing>
          </mc:Choice>
          <mc:Fallback>
            <w:pict>
              <v:rect id="Rectangle 2" o:spid="_x0000_s1026" style="position:absolute;margin-left:-3.25pt;margin-top:12.75pt;width:246.7pt;height:38.2pt;z-index: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" filled="f" strokecolor="black [3213]" strokeweight=".35mm">
                <v:stroke joinstyle="round"/>
              </v:rect>
            </w:pict>
          </mc:Fallback>
        </mc:AlternateContent>
      </w:r>
    </w:p>
    <w:p w:rsidR="00CD73E2" w:rsidRDefault="00D72EF3" w:rsidP="009365F9">
      <w:pPr>
        <w:jc w:val="both"/>
      </w:pPr>
      <w:r>
        <w:rPr>
          <w:rFonts w:ascii="Arial" w:hAnsi="Arial" w:cs="Arial"/>
        </w:rPr>
        <w:t>Prochaine réunion prévue le 18 février 9h30</w:t>
      </w:r>
      <w:r>
        <w:t xml:space="preserve">. </w:t>
      </w:r>
    </w:p>
    <w:p w:rsidR="00CD73E2" w:rsidRDefault="00CD73E2" w:rsidP="009365F9">
      <w:pPr>
        <w:jc w:val="both"/>
      </w:pPr>
    </w:p>
    <w:p w:rsidR="002C7EEF" w:rsidRDefault="002C7EEF" w:rsidP="009365F9">
      <w:pPr>
        <w:jc w:val="both"/>
        <w:rPr>
          <w:rFonts w:ascii="Arial" w:hAnsi="Arial" w:cs="Arial"/>
          <w:b/>
        </w:rPr>
      </w:pPr>
      <w:r w:rsidRPr="009A5A77">
        <w:rPr>
          <w:rFonts w:ascii="Arial" w:hAnsi="Arial" w:cs="Arial"/>
        </w:rPr>
        <w:t xml:space="preserve">La refonte des Géostandards a été lancée à l’initiative de la DGPR. Une étude de cadrage a été menée </w:t>
      </w:r>
      <w:r w:rsidR="00B37EDA" w:rsidRPr="009A5A77">
        <w:rPr>
          <w:rFonts w:ascii="Arial" w:hAnsi="Arial" w:cs="Arial"/>
        </w:rPr>
        <w:t>dans un premier temps</w:t>
      </w:r>
      <w:r w:rsidR="00B37EDA" w:rsidRPr="009A5A77">
        <w:rPr>
          <w:rFonts w:ascii="Arial" w:hAnsi="Arial" w:cs="Arial"/>
        </w:rPr>
        <w:t xml:space="preserve"> </w:t>
      </w:r>
      <w:r w:rsidRPr="009A5A77">
        <w:rPr>
          <w:rFonts w:ascii="Arial" w:hAnsi="Arial" w:cs="Arial"/>
        </w:rPr>
        <w:t>en 2021</w:t>
      </w:r>
      <w:r w:rsidR="00B37EDA" w:rsidRPr="009A5A77">
        <w:rPr>
          <w:rFonts w:ascii="Arial" w:hAnsi="Arial" w:cs="Arial"/>
        </w:rPr>
        <w:t xml:space="preserve"> à la suite de laquelle un</w:t>
      </w:r>
      <w:r w:rsidR="00B37EDA" w:rsidRPr="009A5A77">
        <w:rPr>
          <w:rFonts w:ascii="Arial" w:hAnsi="Arial" w:cs="Arial"/>
        </w:rPr>
        <w:t xml:space="preserve"> </w:t>
      </w:r>
      <w:r w:rsidRPr="009A5A77">
        <w:rPr>
          <w:rFonts w:ascii="Arial" w:hAnsi="Arial" w:cs="Arial"/>
        </w:rPr>
        <w:t xml:space="preserve">mandat pour la création d’un groupe de travail a été présenté </w:t>
      </w:r>
      <w:r w:rsidR="00B37EDA" w:rsidRPr="009A5A77">
        <w:rPr>
          <w:rFonts w:ascii="Arial" w:hAnsi="Arial" w:cs="Arial"/>
        </w:rPr>
        <w:t xml:space="preserve">et validé </w:t>
      </w:r>
      <w:r w:rsidRPr="009A5A77">
        <w:rPr>
          <w:rFonts w:ascii="Arial" w:hAnsi="Arial" w:cs="Arial"/>
        </w:rPr>
        <w:t>en octobre 2021 au CNIG</w:t>
      </w:r>
      <w:r w:rsidR="00B37EDA">
        <w:rPr>
          <w:rFonts w:ascii="Arial" w:hAnsi="Arial" w:cs="Arial"/>
          <w:b/>
        </w:rPr>
        <w:t>.</w:t>
      </w:r>
    </w:p>
    <w:p w:rsidR="002C7EEF" w:rsidRDefault="002C7EEF" w:rsidP="009365F9">
      <w:pPr>
        <w:jc w:val="both"/>
      </w:pPr>
    </w:p>
    <w:p w:rsidR="00CD73E2" w:rsidRDefault="00D72EF3" w:rsidP="002C7EEF">
      <w:pPr>
        <w:jc w:val="both"/>
      </w:pPr>
      <w:r>
        <w:rPr>
          <w:rFonts w:ascii="Arial" w:hAnsi="Arial" w:cs="Arial"/>
          <w:b/>
        </w:rPr>
        <w:t>Présentation procédure de standardisation CNIG (</w:t>
      </w:r>
      <w:r>
        <w:rPr>
          <w:rFonts w:ascii="Arial" w:hAnsi="Arial" w:cs="Arial"/>
        </w:rPr>
        <w:t xml:space="preserve">décrite </w:t>
      </w:r>
      <w:hyperlink r:id="rId13">
        <w:r>
          <w:rPr>
            <w:rStyle w:val="LienInternet"/>
          </w:rPr>
          <w:t>ici sur le site du CNIG</w:t>
        </w:r>
      </w:hyperlink>
      <w:r>
        <w:rPr>
          <w:rFonts w:ascii="Arial" w:hAnsi="Arial" w:cs="Arial"/>
          <w:b/>
        </w:rPr>
        <w:t>)</w:t>
      </w:r>
    </w:p>
    <w:p w:rsidR="00CD73E2" w:rsidRDefault="00D72EF3" w:rsidP="009365F9">
      <w:pPr>
        <w:jc w:val="both"/>
        <w:rPr>
          <w:rFonts w:ascii="Arial" w:hAnsi="Arial" w:cs="Arial"/>
        </w:rPr>
      </w:pPr>
      <w:r>
        <w:rPr>
          <w:rFonts w:ascii="Arial" w:hAnsi="Arial" w:cs="Arial"/>
        </w:rPr>
        <w:t>Benoît David précise que le conseil plénier CNIG s’est récemment de nouveau réuni suite à sa reformation et que la procédure de silence pour l’attribution du label CNIG court à partir du moment où les documents ont été transmis aux membres du CNIG.</w:t>
      </w:r>
    </w:p>
    <w:p w:rsidR="00CD73E2" w:rsidRDefault="00D72EF3" w:rsidP="009365F9">
      <w:pPr>
        <w:jc w:val="both"/>
      </w:pPr>
      <w:r>
        <w:rPr>
          <w:rFonts w:ascii="Arial" w:hAnsi="Arial" w:cs="Arial"/>
          <w:b/>
        </w:rPr>
        <w:t>Présentation du mandat CNIG</w:t>
      </w:r>
      <w:r>
        <w:rPr>
          <w:rFonts w:ascii="Arial" w:hAnsi="Arial" w:cs="Arial"/>
        </w:rPr>
        <w:t xml:space="preserve"> (disponible sur le Github et à partir de ce </w:t>
      </w:r>
      <w:hyperlink r:id="rId14">
        <w:r>
          <w:rPr>
            <w:rStyle w:val="LienInternet"/>
            <w:rFonts w:ascii="Arial" w:hAnsi="Arial" w:cs="Arial"/>
          </w:rPr>
          <w:t>lien</w:t>
        </w:r>
      </w:hyperlink>
      <w:r>
        <w:rPr>
          <w:rFonts w:ascii="Arial" w:hAnsi="Arial" w:cs="Arial"/>
        </w:rPr>
        <w:t>)</w:t>
      </w:r>
    </w:p>
    <w:p w:rsidR="00CD73E2" w:rsidRDefault="00D72EF3" w:rsidP="009365F9">
      <w:pPr>
        <w:jc w:val="both"/>
      </w:pPr>
      <w:r>
        <w:rPr>
          <w:rFonts w:ascii="Arial" w:hAnsi="Arial" w:cs="Arial"/>
        </w:rPr>
        <w:t>Le groupe de travail travaillera sur la refonte des standards actuels en six standards définis selon les objets métiers (</w:t>
      </w:r>
      <w:r w:rsidR="002C7EEF">
        <w:rPr>
          <w:rFonts w:ascii="Arial" w:hAnsi="Arial" w:cs="Arial"/>
        </w:rPr>
        <w:t>a</w:t>
      </w:r>
      <w:r>
        <w:rPr>
          <w:rFonts w:ascii="Arial" w:hAnsi="Arial" w:cs="Arial"/>
        </w:rPr>
        <w:t xml:space="preserve">léa, enjeu, périmètre, zonage, infos administratives, périmètre et les documents annexes à diffuser). </w:t>
      </w:r>
    </w:p>
    <w:p w:rsidR="00CD73E2" w:rsidRDefault="00D72EF3" w:rsidP="009365F9">
      <w:pPr>
        <w:jc w:val="both"/>
        <w:rPr>
          <w:rFonts w:ascii="Arial" w:hAnsi="Arial" w:cs="Arial"/>
        </w:rPr>
      </w:pPr>
      <w:r>
        <w:rPr>
          <w:rFonts w:ascii="Arial" w:hAnsi="Arial" w:cs="Arial"/>
          <w:u w:val="single"/>
        </w:rPr>
        <w:t>Intervention de Guillaume Chrétien</w:t>
      </w:r>
      <w:r>
        <w:rPr>
          <w:rFonts w:ascii="Arial" w:hAnsi="Arial" w:cs="Arial"/>
        </w:rPr>
        <w:t xml:space="preserve"> sur le périmètre des standards pris en compte pour la refonte. On a parlé de la DI, des PPRN, PPRM, et des PPRT mais dans la précédente réunion de l’année précédente, on avait également parlé des cavités souterraines, des données risques des ICPE (</w:t>
      </w:r>
      <w:r w:rsidR="002C7EEF">
        <w:rPr>
          <w:rFonts w:ascii="Arial" w:hAnsi="Arial" w:cs="Arial"/>
        </w:rPr>
        <w:t>i</w:t>
      </w:r>
      <w:r>
        <w:rPr>
          <w:rFonts w:ascii="Arial" w:hAnsi="Arial" w:cs="Arial"/>
        </w:rPr>
        <w:t xml:space="preserve">nstallation classée pour la protection de l'environnement). Quelles données seront </w:t>
      </w:r>
      <w:proofErr w:type="spellStart"/>
      <w:r>
        <w:rPr>
          <w:rFonts w:ascii="Arial" w:hAnsi="Arial" w:cs="Arial"/>
        </w:rPr>
        <w:t>re</w:t>
      </w:r>
      <w:proofErr w:type="spellEnd"/>
      <w:r>
        <w:rPr>
          <w:rFonts w:ascii="Arial" w:hAnsi="Arial" w:cs="Arial"/>
        </w:rPr>
        <w:t xml:space="preserve">-standardisées ? Est-ce que cela portera juste sur les données COVADIS ? </w:t>
      </w:r>
    </w:p>
    <w:p w:rsidR="00CD73E2" w:rsidRDefault="00D72EF3" w:rsidP="009365F9">
      <w:pPr>
        <w:jc w:val="both"/>
        <w:rPr>
          <w:rFonts w:ascii="Arial" w:hAnsi="Arial" w:cs="Arial"/>
        </w:rPr>
      </w:pPr>
      <w:r>
        <w:rPr>
          <w:rFonts w:ascii="Arial" w:hAnsi="Arial" w:cs="Arial"/>
          <w:u w:val="single"/>
        </w:rPr>
        <w:t>Gilles Cébélieu</w:t>
      </w:r>
      <w:r>
        <w:rPr>
          <w:rFonts w:ascii="Arial" w:hAnsi="Arial" w:cs="Arial"/>
        </w:rPr>
        <w:t xml:space="preserve"> répond que la motivation de départ porte sur les TRI et les PPR mais on peut en prendre d’autres s’ils décrivent les mêmes phénomènes. Ça sera l’objet des premiers débats s’il y a un besoin d’intégrer d’autres données au périmètre de refonte. </w:t>
      </w:r>
    </w:p>
    <w:p w:rsidR="00CD73E2" w:rsidRDefault="00D72EF3" w:rsidP="009365F9">
      <w:pPr>
        <w:jc w:val="both"/>
      </w:pPr>
      <w:r>
        <w:rPr>
          <w:rFonts w:ascii="Arial" w:hAnsi="Arial" w:cs="Arial"/>
          <w:u w:val="single"/>
        </w:rPr>
        <w:t>Guillaume Chrétien</w:t>
      </w:r>
      <w:r>
        <w:rPr>
          <w:rFonts w:ascii="Arial" w:hAnsi="Arial" w:cs="Arial"/>
        </w:rPr>
        <w:t xml:space="preserve"> rappelle un débat intéressant disant que les données prioritaires à standardiser étaient celles ayant une forte valeur juridique et réglementaire. Ainsi, le nouveau standard zonage réglementaire risque d’exclure certaines données du périmètre à standardiser. Il y a un risque de standardiser une donnée qui n’a pas de valeur pour les collectivités, pour les notaires ou les bureaux études. Point de vigilance, il faut essayer de coller à notre réglementation nationale. Les nouveaux standards selon les objets métiers sont proches des noms de tables dans la COVADIS. </w:t>
      </w:r>
    </w:p>
    <w:p w:rsidR="00CD73E2" w:rsidRDefault="00D72EF3" w:rsidP="009365F9">
      <w:pPr>
        <w:jc w:val="both"/>
      </w:pPr>
      <w:r>
        <w:rPr>
          <w:rFonts w:ascii="Arial" w:hAnsi="Arial" w:cs="Arial"/>
        </w:rPr>
        <w:t xml:space="preserve">Est-ce que la priorité porte seulement sur </w:t>
      </w:r>
      <w:r w:rsidR="002C7EEF">
        <w:rPr>
          <w:rFonts w:ascii="Arial" w:hAnsi="Arial" w:cs="Arial"/>
        </w:rPr>
        <w:t xml:space="preserve">les </w:t>
      </w:r>
      <w:r>
        <w:rPr>
          <w:rFonts w:ascii="Arial" w:hAnsi="Arial" w:cs="Arial"/>
        </w:rPr>
        <w:t xml:space="preserve">PPR et TRI ? Ou </w:t>
      </w:r>
      <w:r w:rsidR="002C7EEF">
        <w:rPr>
          <w:rFonts w:ascii="Arial" w:hAnsi="Arial" w:cs="Arial"/>
        </w:rPr>
        <w:t>est ce qu’on inclut également dans la refonte des Géostandards,  les</w:t>
      </w:r>
      <w:r>
        <w:rPr>
          <w:rFonts w:ascii="Arial" w:hAnsi="Arial" w:cs="Arial"/>
        </w:rPr>
        <w:t xml:space="preserve"> cavités souterraines ou </w:t>
      </w:r>
      <w:r w:rsidR="002C7EEF">
        <w:rPr>
          <w:rFonts w:ascii="Arial" w:hAnsi="Arial" w:cs="Arial"/>
        </w:rPr>
        <w:t>l</w:t>
      </w:r>
      <w:r>
        <w:rPr>
          <w:rFonts w:ascii="Arial" w:hAnsi="Arial" w:cs="Arial"/>
        </w:rPr>
        <w:t xml:space="preserve">es données sur les ICPE (qui intéressent beaucoup les particuliers) </w:t>
      </w:r>
      <w:r w:rsidR="002C7EEF">
        <w:rPr>
          <w:rFonts w:ascii="Arial" w:hAnsi="Arial" w:cs="Arial"/>
        </w:rPr>
        <w:t xml:space="preserve">ayant </w:t>
      </w:r>
      <w:r>
        <w:rPr>
          <w:rFonts w:ascii="Arial" w:hAnsi="Arial" w:cs="Arial"/>
        </w:rPr>
        <w:t xml:space="preserve">des seuils bas </w:t>
      </w:r>
      <w:r w:rsidR="002C7EEF">
        <w:rPr>
          <w:rFonts w:ascii="Arial" w:hAnsi="Arial" w:cs="Arial"/>
        </w:rPr>
        <w:t>avec des</w:t>
      </w:r>
      <w:r>
        <w:rPr>
          <w:rFonts w:ascii="Arial" w:hAnsi="Arial" w:cs="Arial"/>
        </w:rPr>
        <w:t xml:space="preserve"> </w:t>
      </w:r>
      <w:r w:rsidR="002C7EEF">
        <w:rPr>
          <w:rFonts w:ascii="Arial" w:hAnsi="Arial" w:cs="Arial"/>
        </w:rPr>
        <w:t>aléas</w:t>
      </w:r>
      <w:r>
        <w:rPr>
          <w:rFonts w:ascii="Arial" w:hAnsi="Arial" w:cs="Arial"/>
        </w:rPr>
        <w:t xml:space="preserve"> qui débordent de leurs emprises et qui </w:t>
      </w:r>
      <w:r w:rsidR="002C7EEF">
        <w:rPr>
          <w:rFonts w:ascii="Arial" w:hAnsi="Arial" w:cs="Arial"/>
        </w:rPr>
        <w:t xml:space="preserve">génèrent </w:t>
      </w:r>
      <w:r>
        <w:rPr>
          <w:rFonts w:ascii="Arial" w:hAnsi="Arial" w:cs="Arial"/>
        </w:rPr>
        <w:t xml:space="preserve">des fortes contraintes en termes d’urbanisme. </w:t>
      </w:r>
    </w:p>
    <w:p w:rsidR="00CD73E2" w:rsidRDefault="00D72EF3" w:rsidP="009365F9">
      <w:pPr>
        <w:jc w:val="both"/>
        <w:rPr>
          <w:rFonts w:ascii="Arial" w:hAnsi="Arial" w:cs="Arial"/>
        </w:rPr>
      </w:pPr>
      <w:r>
        <w:rPr>
          <w:rFonts w:ascii="Arial" w:hAnsi="Arial" w:cs="Arial"/>
          <w:u w:val="single"/>
        </w:rPr>
        <w:t>Réponse de Pascal Lagrabe</w:t>
      </w:r>
      <w:r>
        <w:rPr>
          <w:rFonts w:ascii="Arial" w:hAnsi="Arial" w:cs="Arial"/>
        </w:rPr>
        <w:t xml:space="preserve"> : C’est un vaste sujet en termes de périmètre.  La priorité porte bien sur les PPR et TRI  mais il y a toujours la possibilité d’aborder des nouvelles thématiques. Il y a un enjeu de réfléchir sur les standards de production, de diffusion et d’utilisation. C’est une approche par périmètre. Il y a une ambition plus cohérente de traiter les sujets prioritaires mais le travail de réflexion pourra mener à l’intégration de nouveaux sujets. </w:t>
      </w:r>
    </w:p>
    <w:p w:rsidR="00CD73E2" w:rsidRDefault="00D72EF3" w:rsidP="009365F9">
      <w:pPr>
        <w:jc w:val="both"/>
      </w:pPr>
      <w:r>
        <w:rPr>
          <w:rFonts w:ascii="Arial" w:hAnsi="Arial" w:cs="Arial"/>
          <w:u w:val="single"/>
        </w:rPr>
        <w:t>Arnauld Gallais</w:t>
      </w:r>
      <w:r>
        <w:rPr>
          <w:rFonts w:ascii="Arial" w:hAnsi="Arial" w:cs="Arial"/>
        </w:rPr>
        <w:t xml:space="preserve"> précise qu’il y a beaucoup de services de l'Etat dans le groupe de travail, il faudrait solliciter des collectivités afin qu’elles puissent participer au GT. </w:t>
      </w:r>
    </w:p>
    <w:p w:rsidR="00CD73E2" w:rsidRDefault="00D72EF3" w:rsidP="009365F9">
      <w:pPr>
        <w:jc w:val="both"/>
        <w:rPr>
          <w:rFonts w:ascii="Arial" w:hAnsi="Arial" w:cs="Arial"/>
        </w:rPr>
      </w:pPr>
      <w:r>
        <w:rPr>
          <w:rFonts w:ascii="Arial" w:hAnsi="Arial" w:cs="Arial"/>
          <w:u w:val="single"/>
        </w:rPr>
        <w:t>Benoit David</w:t>
      </w:r>
      <w:r>
        <w:rPr>
          <w:rFonts w:ascii="Arial" w:hAnsi="Arial" w:cs="Arial"/>
        </w:rPr>
        <w:t xml:space="preserve"> approuve et dit qu’il serait intéressant de solliciter des bureaux d’études également. </w:t>
      </w:r>
    </w:p>
    <w:p w:rsidR="002C7EEF" w:rsidRDefault="00D72EF3" w:rsidP="009365F9">
      <w:pPr>
        <w:jc w:val="both"/>
        <w:rPr>
          <w:rFonts w:ascii="Arial" w:hAnsi="Arial" w:cs="Arial"/>
        </w:rPr>
      </w:pPr>
      <w:r>
        <w:rPr>
          <w:rFonts w:ascii="Arial" w:hAnsi="Arial" w:cs="Arial"/>
        </w:rPr>
        <w:lastRenderedPageBreak/>
        <w:t xml:space="preserve">Lors de la présentation de la diapositive sur les organismes représentés, </w:t>
      </w:r>
      <w:r w:rsidR="002C7EEF">
        <w:rPr>
          <w:rFonts w:ascii="Arial" w:hAnsi="Arial" w:cs="Arial"/>
        </w:rPr>
        <w:t xml:space="preserve">Bénédicte Tardivo </w:t>
      </w:r>
      <w:r w:rsidR="002C7EEF" w:rsidRPr="00A136A4">
        <w:rPr>
          <w:rFonts w:ascii="Arial" w:hAnsi="Arial" w:cs="Arial"/>
        </w:rPr>
        <w:t xml:space="preserve">remarque qu’il manque le </w:t>
      </w:r>
      <w:r w:rsidR="002C7EEF">
        <w:rPr>
          <w:rFonts w:ascii="Arial" w:hAnsi="Arial" w:cs="Arial"/>
        </w:rPr>
        <w:t xml:space="preserve">bureau des risques d’inondation et littoraux (BRIL) </w:t>
      </w:r>
      <w:r w:rsidR="002C7EEF" w:rsidRPr="00A136A4">
        <w:rPr>
          <w:rFonts w:ascii="Arial" w:hAnsi="Arial" w:cs="Arial"/>
        </w:rPr>
        <w:t xml:space="preserve">et Nicolas </w:t>
      </w:r>
      <w:proofErr w:type="spellStart"/>
      <w:r w:rsidR="002C7EEF" w:rsidRPr="00A136A4">
        <w:rPr>
          <w:rFonts w:ascii="Arial" w:hAnsi="Arial" w:cs="Arial"/>
        </w:rPr>
        <w:t>Bouet</w:t>
      </w:r>
      <w:proofErr w:type="spellEnd"/>
      <w:r w:rsidR="009A5A77">
        <w:rPr>
          <w:rFonts w:ascii="Arial" w:hAnsi="Arial" w:cs="Arial"/>
        </w:rPr>
        <w:t xml:space="preserve"> </w:t>
      </w:r>
      <w:r w:rsidR="002C7EEF" w:rsidRPr="00A136A4">
        <w:rPr>
          <w:rFonts w:ascii="Arial" w:hAnsi="Arial" w:cs="Arial"/>
        </w:rPr>
        <w:t>ajoute le bureau d’actions territoriales</w:t>
      </w:r>
      <w:r w:rsidR="002C7EEF">
        <w:rPr>
          <w:rFonts w:ascii="Arial" w:hAnsi="Arial" w:cs="Arial"/>
        </w:rPr>
        <w:t xml:space="preserve"> (BAT)</w:t>
      </w:r>
      <w:r w:rsidR="002C7EEF" w:rsidRPr="00A136A4">
        <w:rPr>
          <w:rFonts w:ascii="Arial" w:hAnsi="Arial" w:cs="Arial"/>
        </w:rPr>
        <w:t xml:space="preserve">. </w:t>
      </w:r>
    </w:p>
    <w:p w:rsidR="00CD73E2" w:rsidRDefault="00CD73E2" w:rsidP="009365F9">
      <w:pPr>
        <w:jc w:val="both"/>
        <w:rPr>
          <w:rFonts w:ascii="Arial" w:hAnsi="Arial" w:cs="Arial"/>
        </w:rPr>
      </w:pPr>
    </w:p>
    <w:p w:rsidR="00CD73E2" w:rsidRDefault="00D72EF3" w:rsidP="009365F9">
      <w:pPr>
        <w:jc w:val="both"/>
      </w:pPr>
      <w:r>
        <w:rPr>
          <w:rFonts w:ascii="Arial" w:eastAsia="Times New Roman" w:hAnsi="Arial" w:cs="Arial"/>
          <w:b/>
        </w:rPr>
        <w:t xml:space="preserve">Présentation du </w:t>
      </w:r>
      <w:hyperlink r:id="rId15">
        <w:r>
          <w:rPr>
            <w:rStyle w:val="LienInternet"/>
            <w:rFonts w:ascii="Arial" w:eastAsia="Times New Roman" w:hAnsi="Arial" w:cs="Arial"/>
            <w:b/>
          </w:rPr>
          <w:t>Github</w:t>
        </w:r>
      </w:hyperlink>
      <w:r>
        <w:rPr>
          <w:rFonts w:ascii="Arial" w:eastAsia="Times New Roman" w:hAnsi="Arial" w:cs="Arial"/>
          <w:b/>
        </w:rPr>
        <w:t xml:space="preserve"> pour le partage des documents</w:t>
      </w:r>
      <w:r>
        <w:rPr>
          <w:rFonts w:ascii="Arial" w:eastAsia="Times New Roman" w:hAnsi="Arial" w:cs="Arial"/>
        </w:rPr>
        <w:t xml:space="preserve"> </w:t>
      </w:r>
    </w:p>
    <w:p w:rsidR="00CD73E2" w:rsidRDefault="00D72EF3" w:rsidP="009365F9">
      <w:pPr>
        <w:jc w:val="both"/>
      </w:pPr>
      <w:r>
        <w:rPr>
          <w:rFonts w:ascii="Arial" w:eastAsia="Times New Roman" w:hAnsi="Arial" w:cs="Arial"/>
        </w:rPr>
        <w:t xml:space="preserve">Cela concerne les références documentaires, les standards en cours de rédaction, les présentations et les CR. </w:t>
      </w:r>
      <w:r>
        <w:rPr>
          <w:rFonts w:ascii="Arial" w:hAnsi="Arial" w:cs="Arial"/>
        </w:rPr>
        <w:t xml:space="preserve">Le Github permet d’utiliser les issues (sujets à traiter et en assurer le suivi) et des Pull </w:t>
      </w:r>
      <w:proofErr w:type="spellStart"/>
      <w:r>
        <w:rPr>
          <w:rFonts w:ascii="Arial" w:hAnsi="Arial" w:cs="Arial"/>
        </w:rPr>
        <w:t>request</w:t>
      </w:r>
      <w:proofErr w:type="spellEnd"/>
      <w:r>
        <w:rPr>
          <w:rFonts w:ascii="Arial" w:hAnsi="Arial" w:cs="Arial"/>
        </w:rPr>
        <w:t>. Il faut disposer d'un compte pour y accéder.</w:t>
      </w:r>
    </w:p>
    <w:p w:rsidR="00CD73E2" w:rsidRDefault="00D72EF3" w:rsidP="009365F9">
      <w:pPr>
        <w:spacing w:after="0" w:line="240" w:lineRule="auto"/>
        <w:jc w:val="both"/>
        <w:rPr>
          <w:rFonts w:ascii="Arial" w:eastAsia="Times New Roman" w:hAnsi="Arial" w:cs="Arial"/>
        </w:rPr>
      </w:pPr>
      <w:r>
        <w:rPr>
          <w:rFonts w:ascii="Arial" w:hAnsi="Arial" w:cs="Arial"/>
          <w:u w:val="single"/>
        </w:rPr>
        <w:t>Leslie Lemaire</w:t>
      </w:r>
      <w:r>
        <w:rPr>
          <w:rFonts w:ascii="Arial" w:hAnsi="Arial" w:cs="Arial"/>
        </w:rPr>
        <w:t xml:space="preserve"> précise qu’on peut envoyer des invitations au Github sans avoir les identifiants des membres du GT. </w:t>
      </w:r>
      <w:r>
        <w:rPr>
          <w:rFonts w:ascii="Arial" w:eastAsia="Times New Roman" w:hAnsi="Arial" w:cs="Arial"/>
        </w:rPr>
        <w:t xml:space="preserve">De cette façon, ceux qui n'ont pas encore de compte pourront le créer et accepter ensuite l'invitation. </w:t>
      </w:r>
    </w:p>
    <w:p w:rsidR="00CD73E2" w:rsidRDefault="00D72EF3" w:rsidP="009365F9">
      <w:pPr>
        <w:jc w:val="both"/>
        <w:rPr>
          <w:rFonts w:ascii="Arial" w:eastAsia="Times New Roman" w:hAnsi="Arial" w:cs="Arial"/>
        </w:rPr>
      </w:pPr>
      <w:r>
        <w:rPr>
          <w:rFonts w:ascii="Arial" w:hAnsi="Arial" w:cs="Arial"/>
        </w:rPr>
        <w:t>Gilles et Alison vont envoyer les</w:t>
      </w:r>
      <w:r>
        <w:rPr>
          <w:rFonts w:ascii="Arial" w:eastAsia="Times New Roman" w:hAnsi="Arial" w:cs="Arial"/>
        </w:rPr>
        <w:t xml:space="preserve"> invitations</w:t>
      </w:r>
      <w:r>
        <w:rPr>
          <w:rFonts w:ascii="Arial" w:hAnsi="Arial" w:cs="Arial"/>
        </w:rPr>
        <w:t xml:space="preserve"> </w:t>
      </w:r>
      <w:r>
        <w:rPr>
          <w:rFonts w:ascii="Arial" w:eastAsia="Times New Roman" w:hAnsi="Arial" w:cs="Arial"/>
        </w:rPr>
        <w:t xml:space="preserve">la liste des emails de diffusions des membres du GT pour qu’ils puissent accéder au Github. </w:t>
      </w:r>
    </w:p>
    <w:p w:rsidR="00CD73E2" w:rsidRDefault="00D72EF3" w:rsidP="009365F9">
      <w:pPr>
        <w:jc w:val="both"/>
      </w:pPr>
      <w:r>
        <w:rPr>
          <w:rFonts w:ascii="Arial" w:eastAsia="Times New Roman" w:hAnsi="Arial" w:cs="Arial"/>
          <w:u w:val="single"/>
        </w:rPr>
        <w:t>Arnauld Gallais</w:t>
      </w:r>
      <w:r>
        <w:rPr>
          <w:rFonts w:ascii="Arial" w:eastAsia="Times New Roman" w:hAnsi="Arial" w:cs="Arial"/>
        </w:rPr>
        <w:t xml:space="preserve"> précise qu’il faut s’abonner aux issues pour suivre les discussions sur les issues (touche </w:t>
      </w:r>
      <w:r w:rsidR="009A5A77">
        <w:rPr>
          <w:rFonts w:ascii="Arial" w:eastAsia="Times New Roman" w:hAnsi="Arial" w:cs="Arial"/>
        </w:rPr>
        <w:t>« </w:t>
      </w:r>
      <w:proofErr w:type="spellStart"/>
      <w:r>
        <w:rPr>
          <w:rFonts w:ascii="Arial" w:eastAsia="Times New Roman" w:hAnsi="Arial" w:cs="Arial"/>
        </w:rPr>
        <w:t>watch</w:t>
      </w:r>
      <w:proofErr w:type="spellEnd"/>
      <w:r w:rsidR="009A5A77">
        <w:rPr>
          <w:rFonts w:ascii="Arial" w:eastAsia="Times New Roman" w:hAnsi="Arial" w:cs="Arial"/>
        </w:rPr>
        <w:t> »</w:t>
      </w:r>
      <w:r>
        <w:rPr>
          <w:rFonts w:ascii="Arial" w:eastAsia="Times New Roman" w:hAnsi="Arial" w:cs="Arial"/>
        </w:rPr>
        <w:t xml:space="preserve"> pour être notifiés par email). </w:t>
      </w:r>
    </w:p>
    <w:p w:rsidR="00CD73E2" w:rsidRDefault="00D72EF3" w:rsidP="009365F9">
      <w:pPr>
        <w:spacing w:after="0" w:line="240" w:lineRule="auto"/>
        <w:jc w:val="both"/>
      </w:pPr>
      <w:r>
        <w:rPr>
          <w:rFonts w:ascii="Arial" w:eastAsia="Times New Roman" w:hAnsi="Arial" w:cs="Arial"/>
          <w:u w:val="single"/>
        </w:rPr>
        <w:t>Guillaume Chrétien</w:t>
      </w:r>
      <w:r>
        <w:rPr>
          <w:rFonts w:ascii="Arial" w:eastAsia="Times New Roman" w:hAnsi="Arial" w:cs="Arial"/>
        </w:rPr>
        <w:t xml:space="preserve"> </w:t>
      </w:r>
      <w:r w:rsidR="002C7EEF" w:rsidRPr="00A136A4">
        <w:rPr>
          <w:rFonts w:ascii="Arial" w:eastAsia="Times New Roman" w:hAnsi="Arial" w:cs="Arial"/>
        </w:rPr>
        <w:t xml:space="preserve">précise que selon la version de Firefox cela peut empêcher l’accès au Github mais en passant par un autre navigateur </w:t>
      </w:r>
      <w:r w:rsidR="002C7EEF">
        <w:rPr>
          <w:rFonts w:ascii="Arial" w:eastAsia="Times New Roman" w:hAnsi="Arial" w:cs="Arial"/>
        </w:rPr>
        <w:t>cela fonctionne. Par ailleurs</w:t>
      </w:r>
      <w:r w:rsidR="002C7EEF" w:rsidRPr="00A136A4">
        <w:rPr>
          <w:rFonts w:ascii="Arial" w:eastAsia="Times New Roman" w:hAnsi="Arial" w:cs="Arial"/>
        </w:rPr>
        <w:t xml:space="preserve"> on peut installer une version portable de "chrome" sans être administrateur sur nos postes</w:t>
      </w:r>
      <w:r w:rsidR="002C7EEF">
        <w:rPr>
          <w:rFonts w:ascii="Arial" w:eastAsia="Times New Roman" w:hAnsi="Arial" w:cs="Arial"/>
        </w:rPr>
        <w:t xml:space="preserve"> </w:t>
      </w:r>
      <w:r>
        <w:rPr>
          <w:rFonts w:ascii="Arial" w:eastAsia="Times New Roman" w:hAnsi="Arial" w:cs="Arial"/>
        </w:rPr>
        <w:t>(</w:t>
      </w:r>
      <w:hyperlink r:id="rId16" w:tgtFrame="https://portableapps.com/">
        <w:r>
          <w:rPr>
            <w:rStyle w:val="ListLabel8"/>
            <w:rFonts w:eastAsiaTheme="minorHAnsi"/>
          </w:rPr>
          <w:t>https://portableapps.com/</w:t>
        </w:r>
      </w:hyperlink>
      <w:r>
        <w:rPr>
          <w:rFonts w:ascii="Arial" w:eastAsia="Times New Roman" w:hAnsi="Arial" w:cs="Arial"/>
        </w:rPr>
        <w:t xml:space="preserve">). </w:t>
      </w:r>
    </w:p>
    <w:p w:rsidR="00CD73E2" w:rsidRDefault="00CD73E2" w:rsidP="009365F9">
      <w:pPr>
        <w:jc w:val="both"/>
      </w:pPr>
    </w:p>
    <w:p w:rsidR="00CD73E2" w:rsidRDefault="00D72EF3" w:rsidP="009365F9">
      <w:pPr>
        <w:jc w:val="both"/>
        <w:rPr>
          <w:rFonts w:ascii="Arial" w:hAnsi="Arial" w:cs="Arial"/>
        </w:rPr>
      </w:pPr>
      <w:r>
        <w:rPr>
          <w:rFonts w:ascii="Arial" w:hAnsi="Arial" w:cs="Arial"/>
          <w:b/>
        </w:rPr>
        <w:t xml:space="preserve">Présentation de la liste de diffusion </w:t>
      </w:r>
      <w:proofErr w:type="spellStart"/>
      <w:r>
        <w:rPr>
          <w:rFonts w:ascii="Arial" w:hAnsi="Arial" w:cs="Arial"/>
          <w:b/>
        </w:rPr>
        <w:t>framaliste</w:t>
      </w:r>
      <w:proofErr w:type="spellEnd"/>
      <w:r>
        <w:rPr>
          <w:rFonts w:ascii="Arial" w:hAnsi="Arial" w:cs="Arial"/>
          <w:b/>
        </w:rPr>
        <w:t xml:space="preserve"> : </w:t>
      </w:r>
    </w:p>
    <w:p w:rsidR="00CD73E2" w:rsidRDefault="00D72EF3" w:rsidP="009365F9">
      <w:pPr>
        <w:jc w:val="both"/>
        <w:rPr>
          <w:rFonts w:ascii="Arial" w:hAnsi="Arial" w:cs="Arial"/>
        </w:rPr>
      </w:pPr>
      <w:r>
        <w:rPr>
          <w:rFonts w:ascii="Arial" w:hAnsi="Arial" w:cs="Arial"/>
        </w:rPr>
        <w:t xml:space="preserve">L’objectif serait que la liste soit le vecteur de communications du groupe et de ne plus envoyer d’emails et de CR. </w:t>
      </w:r>
    </w:p>
    <w:p w:rsidR="00CD73E2" w:rsidRDefault="00D72EF3" w:rsidP="009365F9">
      <w:pPr>
        <w:jc w:val="both"/>
        <w:rPr>
          <w:rFonts w:ascii="Arial" w:hAnsi="Arial" w:cs="Arial"/>
        </w:rPr>
      </w:pPr>
      <w:r>
        <w:rPr>
          <w:rFonts w:ascii="Arial" w:hAnsi="Arial" w:cs="Arial"/>
          <w:u w:val="single"/>
        </w:rPr>
        <w:t>Jean Luc Perrin</w:t>
      </w:r>
      <w:r>
        <w:rPr>
          <w:rFonts w:ascii="Arial" w:hAnsi="Arial" w:cs="Arial"/>
        </w:rPr>
        <w:t xml:space="preserve"> précise qu’il reçoit beaucoup d’emails en lien avec d’autres sujets et qu’il ne souhaite  pas s’abonner à la liste de diffusion car il risque de recevoir trop d'emails. </w:t>
      </w:r>
    </w:p>
    <w:p w:rsidR="002C7EEF" w:rsidRPr="00CD6841" w:rsidRDefault="00D72EF3" w:rsidP="002C7EEF">
      <w:pPr>
        <w:jc w:val="both"/>
        <w:rPr>
          <w:rFonts w:ascii="Arial" w:hAnsi="Arial" w:cs="Arial"/>
        </w:rPr>
      </w:pPr>
      <w:r>
        <w:rPr>
          <w:rFonts w:ascii="Arial" w:hAnsi="Arial" w:cs="Arial"/>
          <w:u w:val="single"/>
        </w:rPr>
        <w:t>Yohann Evain</w:t>
      </w:r>
      <w:r>
        <w:rPr>
          <w:rFonts w:ascii="Arial" w:hAnsi="Arial" w:cs="Arial"/>
        </w:rPr>
        <w:t xml:space="preserve"> </w:t>
      </w:r>
      <w:r w:rsidR="002C7EEF">
        <w:rPr>
          <w:rFonts w:ascii="Arial" w:hAnsi="Arial" w:cs="Arial"/>
        </w:rPr>
        <w:t xml:space="preserve">et Pascal Lagrabe </w:t>
      </w:r>
      <w:r w:rsidR="002C7EEF" w:rsidRPr="00CD6841">
        <w:rPr>
          <w:rFonts w:ascii="Arial" w:hAnsi="Arial" w:cs="Arial"/>
        </w:rPr>
        <w:t>rejoi</w:t>
      </w:r>
      <w:r w:rsidR="002C7EEF">
        <w:rPr>
          <w:rFonts w:ascii="Arial" w:hAnsi="Arial" w:cs="Arial"/>
        </w:rPr>
        <w:t>gnent</w:t>
      </w:r>
      <w:r w:rsidR="002C7EEF" w:rsidRPr="00CD6841">
        <w:rPr>
          <w:rFonts w:ascii="Arial" w:hAnsi="Arial" w:cs="Arial"/>
        </w:rPr>
        <w:t xml:space="preserve"> l’avis de Jean Luc Perrin. </w:t>
      </w:r>
    </w:p>
    <w:p w:rsidR="00CD73E2" w:rsidRDefault="00D72EF3" w:rsidP="009365F9">
      <w:pPr>
        <w:jc w:val="both"/>
      </w:pPr>
      <w:r>
        <w:rPr>
          <w:rFonts w:ascii="Arial" w:hAnsi="Arial" w:cs="Arial"/>
          <w:u w:val="single"/>
        </w:rPr>
        <w:t>Arnauld Gallais</w:t>
      </w:r>
      <w:r>
        <w:rPr>
          <w:rFonts w:ascii="Arial" w:hAnsi="Arial" w:cs="Arial"/>
        </w:rPr>
        <w:t> : précise qu’il existe la possibilité de s’abonner ou désabonner sur les listes de diffusions mais également pour le Github.  Il n’y a pas de risques qu’ils manquent des informations très importantes car elles seront rappelées au début des séances du GT.</w:t>
      </w:r>
    </w:p>
    <w:p w:rsidR="00CD73E2" w:rsidRDefault="00D72EF3" w:rsidP="009365F9">
      <w:pPr>
        <w:jc w:val="both"/>
        <w:rPr>
          <w:rFonts w:ascii="Arial" w:hAnsi="Arial" w:cs="Arial"/>
        </w:rPr>
      </w:pPr>
      <w:r>
        <w:rPr>
          <w:rFonts w:ascii="Arial" w:hAnsi="Arial" w:cs="Arial"/>
          <w:u w:val="single"/>
        </w:rPr>
        <w:t>Jean Luc Perrin</w:t>
      </w:r>
      <w:r>
        <w:rPr>
          <w:rFonts w:ascii="Arial" w:hAnsi="Arial" w:cs="Arial"/>
        </w:rPr>
        <w:t xml:space="preserve"> : est d’accord pour qu’on fixe une synthèse avant chaque plénière.  </w:t>
      </w:r>
    </w:p>
    <w:p w:rsidR="00CD73E2" w:rsidRDefault="00CD73E2" w:rsidP="009365F9">
      <w:pPr>
        <w:jc w:val="both"/>
        <w:rPr>
          <w:rFonts w:ascii="Arial" w:hAnsi="Arial" w:cs="Arial"/>
        </w:rPr>
      </w:pPr>
    </w:p>
    <w:p w:rsidR="00CD73E2" w:rsidRDefault="00D72EF3" w:rsidP="009365F9">
      <w:pPr>
        <w:jc w:val="both"/>
        <w:rPr>
          <w:rFonts w:ascii="Arial" w:hAnsi="Arial" w:cs="Arial"/>
          <w:b/>
        </w:rPr>
      </w:pPr>
      <w:r>
        <w:rPr>
          <w:rFonts w:ascii="Arial" w:hAnsi="Arial" w:cs="Arial"/>
          <w:b/>
        </w:rPr>
        <w:t xml:space="preserve">Périodicité des réunions : </w:t>
      </w:r>
    </w:p>
    <w:p w:rsidR="00CD73E2" w:rsidRDefault="00D72EF3" w:rsidP="009365F9">
      <w:pPr>
        <w:jc w:val="both"/>
        <w:rPr>
          <w:rFonts w:ascii="Arial" w:hAnsi="Arial" w:cs="Arial"/>
        </w:rPr>
      </w:pPr>
      <w:r>
        <w:rPr>
          <w:rFonts w:ascii="Arial" w:hAnsi="Arial" w:cs="Arial"/>
        </w:rPr>
        <w:t xml:space="preserve">Proposition d’organiser des réunions plénières mensuelles plutôt en </w:t>
      </w:r>
      <w:proofErr w:type="spellStart"/>
      <w:r>
        <w:rPr>
          <w:rFonts w:ascii="Arial" w:hAnsi="Arial" w:cs="Arial"/>
        </w:rPr>
        <w:t>distanciel</w:t>
      </w:r>
      <w:proofErr w:type="spellEnd"/>
      <w:r>
        <w:rPr>
          <w:rFonts w:ascii="Arial" w:hAnsi="Arial" w:cs="Arial"/>
        </w:rPr>
        <w:t xml:space="preserve">, l’idée est d’établir un créneau régulier qui sera plutôt fixé le vendredi matin. </w:t>
      </w:r>
    </w:p>
    <w:p w:rsidR="00CD73E2" w:rsidRDefault="00D72EF3" w:rsidP="009365F9">
      <w:pPr>
        <w:jc w:val="both"/>
      </w:pPr>
      <w:r>
        <w:rPr>
          <w:rFonts w:ascii="Arial" w:hAnsi="Arial" w:cs="Arial"/>
        </w:rPr>
        <w:t xml:space="preserve">Proposition de la date du vendredi 18 février 9h30 pour la prochaine séance plénière. </w:t>
      </w:r>
    </w:p>
    <w:p w:rsidR="00CD73E2" w:rsidRDefault="00D72EF3" w:rsidP="009365F9">
      <w:pPr>
        <w:jc w:val="both"/>
      </w:pPr>
      <w:r>
        <w:rPr>
          <w:rFonts w:ascii="Arial" w:hAnsi="Arial" w:cs="Arial"/>
        </w:rPr>
        <w:t xml:space="preserve">Il y aura également des ateliers intermédiaires et des points de situation en plénière CNIG pour la restitution des travaux. </w:t>
      </w:r>
    </w:p>
    <w:p w:rsidR="00CD73E2" w:rsidRDefault="00CD73E2" w:rsidP="009365F9">
      <w:pPr>
        <w:jc w:val="both"/>
        <w:rPr>
          <w:rFonts w:ascii="Arial" w:hAnsi="Arial" w:cs="Arial"/>
        </w:rPr>
      </w:pPr>
    </w:p>
    <w:p w:rsidR="00CD73E2" w:rsidRDefault="00D72EF3" w:rsidP="009365F9">
      <w:pPr>
        <w:jc w:val="both"/>
        <w:rPr>
          <w:rFonts w:ascii="Arial" w:hAnsi="Arial" w:cs="Arial"/>
          <w:b/>
        </w:rPr>
      </w:pPr>
      <w:r>
        <w:rPr>
          <w:rFonts w:ascii="Arial" w:hAnsi="Arial" w:cs="Arial"/>
          <w:b/>
        </w:rPr>
        <w:t>Issue 1 : Validation du logo</w:t>
      </w:r>
    </w:p>
    <w:p w:rsidR="00CD73E2" w:rsidRDefault="00D72EF3" w:rsidP="009365F9">
      <w:pPr>
        <w:pStyle w:val="Paragraphedeliste"/>
        <w:numPr>
          <w:ilvl w:val="0"/>
          <w:numId w:val="1"/>
        </w:numPr>
        <w:jc w:val="both"/>
        <w:rPr>
          <w:rFonts w:ascii="Arial" w:hAnsi="Arial" w:cs="Arial"/>
        </w:rPr>
      </w:pPr>
      <w:r>
        <w:rPr>
          <w:rFonts w:ascii="Arial" w:hAnsi="Arial" w:cs="Arial"/>
        </w:rPr>
        <w:t xml:space="preserve">Un logo </w:t>
      </w:r>
      <w:r w:rsidR="002C7EEF">
        <w:rPr>
          <w:rFonts w:ascii="Arial" w:hAnsi="Arial" w:cs="Arial"/>
        </w:rPr>
        <w:t xml:space="preserve">a été </w:t>
      </w:r>
      <w:r>
        <w:rPr>
          <w:rFonts w:ascii="Arial" w:hAnsi="Arial" w:cs="Arial"/>
        </w:rPr>
        <w:t xml:space="preserve">proposé par le CNIG </w:t>
      </w:r>
    </w:p>
    <w:p w:rsidR="00CD73E2" w:rsidRDefault="00D72EF3" w:rsidP="009365F9">
      <w:pPr>
        <w:pStyle w:val="Paragraphedeliste"/>
        <w:numPr>
          <w:ilvl w:val="0"/>
          <w:numId w:val="1"/>
        </w:numPr>
        <w:jc w:val="both"/>
        <w:rPr>
          <w:rFonts w:ascii="Arial" w:hAnsi="Arial" w:cs="Arial"/>
        </w:rPr>
      </w:pPr>
      <w:r>
        <w:rPr>
          <w:rFonts w:ascii="Arial" w:hAnsi="Arial" w:cs="Arial"/>
        </w:rPr>
        <w:t xml:space="preserve">Idée </w:t>
      </w:r>
      <w:r w:rsidR="002C7EEF">
        <w:rPr>
          <w:rFonts w:ascii="Arial" w:hAnsi="Arial" w:cs="Arial"/>
        </w:rPr>
        <w:t xml:space="preserve">est de </w:t>
      </w:r>
      <w:r>
        <w:rPr>
          <w:rFonts w:ascii="Arial" w:hAnsi="Arial" w:cs="Arial"/>
        </w:rPr>
        <w:t>rassembler les propositions via le Github ou autres moyens</w:t>
      </w:r>
    </w:p>
    <w:p w:rsidR="00CD73E2" w:rsidRDefault="00D72EF3" w:rsidP="009365F9">
      <w:pPr>
        <w:pStyle w:val="Paragraphedeliste"/>
        <w:numPr>
          <w:ilvl w:val="0"/>
          <w:numId w:val="1"/>
        </w:numPr>
        <w:jc w:val="both"/>
        <w:rPr>
          <w:rFonts w:ascii="Arial" w:hAnsi="Arial" w:cs="Arial"/>
        </w:rPr>
      </w:pPr>
      <w:r>
        <w:rPr>
          <w:rFonts w:ascii="Arial" w:hAnsi="Arial" w:cs="Arial"/>
        </w:rPr>
        <w:t>Vote final sera fait le 18/02</w:t>
      </w:r>
      <w:r w:rsidR="002C7EEF">
        <w:rPr>
          <w:rFonts w:ascii="Arial" w:hAnsi="Arial" w:cs="Arial"/>
        </w:rPr>
        <w:t xml:space="preserve"> lors de la prochaine </w:t>
      </w:r>
      <w:proofErr w:type="spellStart"/>
      <w:r w:rsidR="002C7EEF">
        <w:rPr>
          <w:rFonts w:ascii="Arial" w:hAnsi="Arial" w:cs="Arial"/>
        </w:rPr>
        <w:t>pléniére</w:t>
      </w:r>
      <w:proofErr w:type="spellEnd"/>
    </w:p>
    <w:p w:rsidR="00CD73E2" w:rsidRDefault="00D72EF3" w:rsidP="009365F9">
      <w:pPr>
        <w:jc w:val="both"/>
        <w:rPr>
          <w:rFonts w:ascii="Arial" w:hAnsi="Arial" w:cs="Arial"/>
        </w:rPr>
      </w:pPr>
      <w:r>
        <w:rPr>
          <w:rFonts w:ascii="Arial" w:hAnsi="Arial" w:cs="Arial"/>
          <w:b/>
        </w:rPr>
        <w:t>Issue 2 : Présentation des documents sur le Github </w:t>
      </w:r>
      <w:r>
        <w:rPr>
          <w:rFonts w:ascii="Arial" w:hAnsi="Arial" w:cs="Arial"/>
        </w:rPr>
        <w:t xml:space="preserve">: </w:t>
      </w:r>
    </w:p>
    <w:p w:rsidR="002C7EEF" w:rsidRPr="00CD6841" w:rsidRDefault="00D72EF3" w:rsidP="002C7EEF">
      <w:pPr>
        <w:jc w:val="both"/>
        <w:rPr>
          <w:rFonts w:ascii="Arial" w:hAnsi="Arial" w:cs="Arial"/>
        </w:rPr>
      </w:pPr>
      <w:r>
        <w:rPr>
          <w:rFonts w:ascii="Arial" w:hAnsi="Arial" w:cs="Arial"/>
        </w:rPr>
        <w:t xml:space="preserve">Les documents de travails sont disponibles sur le Github. Ils sont séparés en quatre catégories. Les standards à refondre </w:t>
      </w:r>
      <w:r w:rsidR="002C7EEF">
        <w:rPr>
          <w:rFonts w:ascii="Arial" w:hAnsi="Arial" w:cs="Arial"/>
        </w:rPr>
        <w:t xml:space="preserve">à ce stade : </w:t>
      </w:r>
      <w:r w:rsidR="002C7EEF" w:rsidRPr="00CD6841">
        <w:rPr>
          <w:rFonts w:ascii="Arial" w:hAnsi="Arial" w:cs="Arial"/>
        </w:rPr>
        <w:t xml:space="preserve">la DI version 2.1 </w:t>
      </w:r>
      <w:r w:rsidR="002C7EEF">
        <w:rPr>
          <w:rFonts w:ascii="Arial" w:hAnsi="Arial" w:cs="Arial"/>
        </w:rPr>
        <w:t>non publiée en ligne mais ayant servi au rapportage des TRI</w:t>
      </w:r>
      <w:r w:rsidR="002C7EEF" w:rsidRPr="00CD6841">
        <w:rPr>
          <w:rFonts w:ascii="Arial" w:hAnsi="Arial" w:cs="Arial"/>
        </w:rPr>
        <w:t xml:space="preserve">, et les PPR), en adhérence (les SUP, le dictionnaire Sandre, la directive Inspire, et le WISE), dans le thème (le standard OGC </w:t>
      </w:r>
      <w:proofErr w:type="spellStart"/>
      <w:r w:rsidR="002C7EEF" w:rsidRPr="00CD6841">
        <w:rPr>
          <w:rFonts w:ascii="Arial" w:hAnsi="Arial" w:cs="Arial"/>
        </w:rPr>
        <w:t>waterML</w:t>
      </w:r>
      <w:proofErr w:type="spellEnd"/>
      <w:r w:rsidR="002C7EEF" w:rsidRPr="00CD6841">
        <w:rPr>
          <w:rFonts w:ascii="Arial" w:hAnsi="Arial" w:cs="Arial"/>
        </w:rPr>
        <w:t>) et les documents utiles (le PAC, l</w:t>
      </w:r>
      <w:r w:rsidR="002C7EEF">
        <w:rPr>
          <w:rFonts w:ascii="Arial" w:hAnsi="Arial" w:cs="Arial"/>
        </w:rPr>
        <w:t>a documentation du</w:t>
      </w:r>
      <w:r w:rsidR="002C7EEF" w:rsidRPr="00CD6841">
        <w:rPr>
          <w:rFonts w:ascii="Arial" w:hAnsi="Arial" w:cs="Arial"/>
        </w:rPr>
        <w:t xml:space="preserve"> validateur TR</w:t>
      </w:r>
      <w:r w:rsidR="002C7EEF">
        <w:rPr>
          <w:rFonts w:ascii="Arial" w:hAnsi="Arial" w:cs="Arial"/>
        </w:rPr>
        <w:t>I</w:t>
      </w:r>
      <w:r w:rsidR="002C7EEF" w:rsidRPr="00CD6841">
        <w:rPr>
          <w:rFonts w:ascii="Arial" w:hAnsi="Arial" w:cs="Arial"/>
        </w:rPr>
        <w:t xml:space="preserve"> et le Mandat du GT). </w:t>
      </w:r>
    </w:p>
    <w:p w:rsidR="00CD73E2" w:rsidRDefault="00D72EF3" w:rsidP="002C7EEF">
      <w:pPr>
        <w:jc w:val="both"/>
      </w:pPr>
      <w:r>
        <w:rPr>
          <w:rFonts w:ascii="Arial" w:hAnsi="Arial" w:cs="Arial"/>
        </w:rPr>
        <w:t>Les membres du GT sont invités à prendre connaissance de ces documents, à y contribuer et à les valider. L’idée est de voir quels sont les standards à refondre et ceux en adhérence. Les membres du GT pourront commenter via les issues sur les documents et faire des propositions de modifications qui seront traitées dans un atelier intermédiaire (prévu dans à peu près 15 jours).</w:t>
      </w:r>
    </w:p>
    <w:p w:rsidR="00CD73E2" w:rsidRDefault="00D72EF3" w:rsidP="002C7EEF">
      <w:pPr>
        <w:jc w:val="both"/>
        <w:rPr>
          <w:rFonts w:ascii="Arial" w:hAnsi="Arial" w:cs="Arial"/>
          <w:b/>
        </w:rPr>
      </w:pPr>
      <w:r>
        <w:rPr>
          <w:rFonts w:ascii="Arial" w:hAnsi="Arial" w:cs="Arial"/>
          <w:b/>
        </w:rPr>
        <w:t xml:space="preserve">Issue 3 : La ventilation des classes existantes dans les nouvelles thématiques métiers : </w:t>
      </w:r>
    </w:p>
    <w:p w:rsidR="00CD73E2" w:rsidRDefault="00D72EF3" w:rsidP="002C7EEF">
      <w:pPr>
        <w:jc w:val="both"/>
        <w:rPr>
          <w:rFonts w:ascii="Arial" w:hAnsi="Arial" w:cs="Arial"/>
        </w:rPr>
      </w:pPr>
      <w:r>
        <w:rPr>
          <w:rFonts w:ascii="Arial" w:hAnsi="Arial" w:cs="Arial"/>
        </w:rPr>
        <w:t xml:space="preserve">Ces tableaux permettent de présenter notre approche sur les standards à refondre et sur les standards en adhérence en ventilant leurs classes d'objets dans les nouvelles thématiques métiers afin de valider leur définition, d’identifier les redondances et de préparer le travail pour la définition des nouveaux modèles de données. Cette répartition se fera en groupe lors de différents ateliers.  </w:t>
      </w:r>
    </w:p>
    <w:p w:rsidR="00CD73E2" w:rsidRDefault="00D72EF3" w:rsidP="002C7EEF">
      <w:pPr>
        <w:jc w:val="both"/>
        <w:rPr>
          <w:rFonts w:ascii="Arial" w:hAnsi="Arial" w:cs="Arial"/>
          <w:b/>
        </w:rPr>
      </w:pPr>
      <w:r>
        <w:rPr>
          <w:rFonts w:ascii="Arial" w:hAnsi="Arial" w:cs="Arial"/>
          <w:b/>
        </w:rPr>
        <w:t xml:space="preserve">Issue 4 : Consolider la cartographie des processus autour des données risques : </w:t>
      </w:r>
    </w:p>
    <w:p w:rsidR="00CD73E2" w:rsidRDefault="00D72EF3" w:rsidP="002C7EEF">
      <w:pPr>
        <w:jc w:val="both"/>
        <w:rPr>
          <w:rFonts w:ascii="Arial" w:hAnsi="Arial" w:cs="Arial"/>
        </w:rPr>
      </w:pPr>
      <w:r>
        <w:rPr>
          <w:rFonts w:ascii="Arial" w:hAnsi="Arial" w:cs="Arial"/>
        </w:rPr>
        <w:t xml:space="preserve">Le travail portera sur la validation de la diapositive fournie par </w:t>
      </w:r>
      <w:r w:rsidR="002C7EEF">
        <w:rPr>
          <w:rFonts w:ascii="Arial" w:hAnsi="Arial" w:cs="Arial"/>
        </w:rPr>
        <w:t>B</w:t>
      </w:r>
      <w:r>
        <w:rPr>
          <w:rFonts w:ascii="Arial" w:hAnsi="Arial" w:cs="Arial"/>
        </w:rPr>
        <w:t>earing</w:t>
      </w:r>
      <w:r w:rsidR="009365F9">
        <w:rPr>
          <w:rFonts w:ascii="Arial" w:hAnsi="Arial" w:cs="Arial"/>
        </w:rPr>
        <w:t>-</w:t>
      </w:r>
      <w:r w:rsidR="002C7EEF">
        <w:rPr>
          <w:rFonts w:ascii="Arial" w:hAnsi="Arial" w:cs="Arial"/>
        </w:rPr>
        <w:t>P</w:t>
      </w:r>
      <w:r>
        <w:rPr>
          <w:rFonts w:ascii="Arial" w:hAnsi="Arial" w:cs="Arial"/>
        </w:rPr>
        <w:t xml:space="preserve">oint pour être d’accord sur production et la circulation des différentes données risques. Cette diapositive peut permettre également d’identifier les nouveaux membres du GT et d’avoir une vision partagée entre les membres du GT. </w:t>
      </w:r>
    </w:p>
    <w:p w:rsidR="00CD73E2" w:rsidRDefault="00D72EF3" w:rsidP="002C7EEF">
      <w:pPr>
        <w:jc w:val="both"/>
        <w:rPr>
          <w:rFonts w:ascii="Arial" w:hAnsi="Arial" w:cs="Arial"/>
        </w:rPr>
      </w:pPr>
      <w:r>
        <w:rPr>
          <w:rFonts w:ascii="Arial" w:hAnsi="Arial" w:cs="Arial"/>
          <w:u w:val="single"/>
        </w:rPr>
        <w:t xml:space="preserve">Pascal Lagrabe </w:t>
      </w:r>
      <w:r>
        <w:rPr>
          <w:rFonts w:ascii="Arial" w:hAnsi="Arial" w:cs="Arial"/>
        </w:rPr>
        <w:t xml:space="preserve">est d’accord pour diffuser le power point réalisée par </w:t>
      </w:r>
      <w:r w:rsidR="002C7EEF">
        <w:rPr>
          <w:rFonts w:ascii="Arial" w:hAnsi="Arial" w:cs="Arial"/>
        </w:rPr>
        <w:t>B</w:t>
      </w:r>
      <w:r>
        <w:rPr>
          <w:rFonts w:ascii="Arial" w:hAnsi="Arial" w:cs="Arial"/>
        </w:rPr>
        <w:t>earing</w:t>
      </w:r>
      <w:r w:rsidR="009365F9">
        <w:rPr>
          <w:rFonts w:ascii="Arial" w:hAnsi="Arial" w:cs="Arial"/>
        </w:rPr>
        <w:t>-</w:t>
      </w:r>
      <w:r w:rsidR="002C7EEF">
        <w:rPr>
          <w:rFonts w:ascii="Arial" w:hAnsi="Arial" w:cs="Arial"/>
        </w:rPr>
        <w:t>P</w:t>
      </w:r>
      <w:r>
        <w:rPr>
          <w:rFonts w:ascii="Arial" w:hAnsi="Arial" w:cs="Arial"/>
        </w:rPr>
        <w:t xml:space="preserve">oint et celui présenté lors du Cotech. Ils seront déposés sur le Github. </w:t>
      </w:r>
    </w:p>
    <w:p w:rsidR="00CD73E2" w:rsidRDefault="00D72EF3" w:rsidP="002C7EEF">
      <w:pPr>
        <w:jc w:val="both"/>
        <w:rPr>
          <w:rFonts w:ascii="Arial" w:hAnsi="Arial" w:cs="Arial"/>
          <w:b/>
        </w:rPr>
      </w:pPr>
      <w:r>
        <w:rPr>
          <w:rFonts w:ascii="Arial" w:hAnsi="Arial" w:cs="Arial"/>
          <w:b/>
        </w:rPr>
        <w:t xml:space="preserve">Issue 5 : Identifier les domaines à couvrir par les nouveaux standards : </w:t>
      </w:r>
    </w:p>
    <w:p w:rsidR="00CD73E2" w:rsidRDefault="00D72EF3" w:rsidP="002C7EEF">
      <w:pPr>
        <w:jc w:val="both"/>
        <w:rPr>
          <w:rFonts w:ascii="Arial" w:hAnsi="Arial" w:cs="Arial"/>
        </w:rPr>
      </w:pPr>
      <w:r>
        <w:rPr>
          <w:rFonts w:ascii="Arial" w:hAnsi="Arial" w:cs="Arial"/>
        </w:rPr>
        <w:t xml:space="preserve">L’idée est de voir jusqu’où le domaine d’application va s’étendre afin de fixer jusqu’où on va dans le contenu des standards. </w:t>
      </w:r>
    </w:p>
    <w:p w:rsidR="00CD73E2" w:rsidRDefault="00D72EF3" w:rsidP="002C7EEF">
      <w:pPr>
        <w:jc w:val="both"/>
        <w:rPr>
          <w:rFonts w:ascii="Arial" w:hAnsi="Arial" w:cs="Arial"/>
        </w:rPr>
      </w:pPr>
      <w:r>
        <w:rPr>
          <w:rFonts w:ascii="Arial" w:hAnsi="Arial" w:cs="Arial"/>
          <w:u w:val="single"/>
        </w:rPr>
        <w:t>Gilles Cébélieu</w:t>
      </w:r>
      <w:r>
        <w:rPr>
          <w:rFonts w:ascii="Arial" w:hAnsi="Arial" w:cs="Arial"/>
        </w:rPr>
        <w:t xml:space="preserve"> propose d’utiliser un modèle existant comme ceux du CNIG. </w:t>
      </w:r>
    </w:p>
    <w:p w:rsidR="00CD73E2" w:rsidRDefault="00D72EF3" w:rsidP="002C7EEF">
      <w:pPr>
        <w:jc w:val="both"/>
      </w:pPr>
      <w:r>
        <w:rPr>
          <w:rFonts w:ascii="Arial" w:hAnsi="Arial" w:cs="Arial"/>
          <w:u w:val="single"/>
        </w:rPr>
        <w:t>Arnauld Gallais</w:t>
      </w:r>
      <w:r>
        <w:rPr>
          <w:rFonts w:ascii="Arial" w:hAnsi="Arial" w:cs="Arial"/>
        </w:rPr>
        <w:t xml:space="preserve">  précise qu’il existe un modèle pour les spécifications de qualité et les métadonnées dans les standards CNIG, </w:t>
      </w:r>
      <w:hyperlink r:id="rId17">
        <w:r>
          <w:rPr>
            <w:rStyle w:val="LienInternet"/>
            <w:rFonts w:ascii="Arial" w:hAnsi="Arial" w:cs="Arial"/>
          </w:rPr>
          <w:t>disponible ici</w:t>
        </w:r>
      </w:hyperlink>
      <w:r>
        <w:rPr>
          <w:rFonts w:ascii="Arial" w:hAnsi="Arial" w:cs="Arial"/>
        </w:rPr>
        <w:t>.</w:t>
      </w:r>
    </w:p>
    <w:p w:rsidR="00CD73E2" w:rsidRDefault="00D72EF3" w:rsidP="002C7EEF">
      <w:pPr>
        <w:jc w:val="both"/>
      </w:pPr>
      <w:r>
        <w:rPr>
          <w:rFonts w:ascii="Arial" w:hAnsi="Arial" w:cs="Arial"/>
          <w:u w:val="single"/>
        </w:rPr>
        <w:lastRenderedPageBreak/>
        <w:t>Benoit David</w:t>
      </w:r>
      <w:r w:rsidRPr="009365F9">
        <w:rPr>
          <w:rFonts w:ascii="Arial" w:hAnsi="Arial" w:cs="Arial"/>
        </w:rPr>
        <w:t xml:space="preserve"> </w:t>
      </w:r>
      <w:r>
        <w:rPr>
          <w:rFonts w:ascii="Arial" w:hAnsi="Arial" w:cs="Arial"/>
        </w:rPr>
        <w:t>partage une remarque.  Il y a une bonne pratique qui est utilisée dans le cadre du SANDRE qui distingue la logique de dictionnaires des données (plutôt aspect sémantique : définition du modèle et des classes)  et celle les scénarios d’échanges (aspect technique : comment mettre en œuvre le dictionnaire de données pour un besoin particulier (besoin de diffusion, ou de production</w:t>
      </w:r>
      <w:r w:rsidR="009365F9">
        <w:rPr>
          <w:rFonts w:ascii="Arial" w:hAnsi="Arial" w:cs="Arial"/>
        </w:rPr>
        <w:t xml:space="preserve">). </w:t>
      </w:r>
      <w:r>
        <w:rPr>
          <w:rFonts w:ascii="Arial" w:hAnsi="Arial" w:cs="Arial"/>
        </w:rPr>
        <w:t xml:space="preserve">Cette distinction serait intéressante à reprendre dans les nouveaux standards pour construire de nouveaux scénarios d’échanges indépendants du standard qui sera créé. Exemple : s’il y a besoin de diffusion nouvelle, on pourra définir un nouveau scénario d’échange. C’est une approche permettant plus de flexibilité. </w:t>
      </w:r>
    </w:p>
    <w:p w:rsidR="00CD73E2" w:rsidRDefault="00D72EF3" w:rsidP="002C7EEF">
      <w:pPr>
        <w:jc w:val="both"/>
      </w:pPr>
      <w:r>
        <w:rPr>
          <w:rFonts w:ascii="Arial" w:hAnsi="Arial" w:cs="Arial"/>
          <w:u w:val="single"/>
        </w:rPr>
        <w:t>Pascal Lagrabe</w:t>
      </w:r>
      <w:r>
        <w:rPr>
          <w:rFonts w:ascii="Arial" w:hAnsi="Arial" w:cs="Arial"/>
        </w:rPr>
        <w:t xml:space="preserve"> demande </w:t>
      </w:r>
      <w:r w:rsidR="009365F9">
        <w:rPr>
          <w:rFonts w:ascii="Arial" w:hAnsi="Arial" w:cs="Arial"/>
        </w:rPr>
        <w:t xml:space="preserve">si ça entraine la production de </w:t>
      </w:r>
      <w:r>
        <w:rPr>
          <w:rFonts w:ascii="Arial" w:hAnsi="Arial" w:cs="Arial"/>
        </w:rPr>
        <w:t xml:space="preserve">deux livrables distincts : </w:t>
      </w:r>
      <w:r w:rsidR="009365F9">
        <w:rPr>
          <w:rFonts w:ascii="Arial" w:hAnsi="Arial" w:cs="Arial"/>
        </w:rPr>
        <w:t>un dictionnaire</w:t>
      </w:r>
      <w:r>
        <w:rPr>
          <w:rFonts w:ascii="Arial" w:hAnsi="Arial" w:cs="Arial"/>
        </w:rPr>
        <w:t xml:space="preserve"> de données</w:t>
      </w:r>
      <w:r w:rsidR="009365F9">
        <w:rPr>
          <w:rFonts w:ascii="Arial" w:hAnsi="Arial" w:cs="Arial"/>
        </w:rPr>
        <w:t xml:space="preserve"> d’une part</w:t>
      </w:r>
      <w:r>
        <w:rPr>
          <w:rFonts w:ascii="Arial" w:hAnsi="Arial" w:cs="Arial"/>
        </w:rPr>
        <w:t xml:space="preserve"> et </w:t>
      </w:r>
      <w:r w:rsidR="009365F9">
        <w:rPr>
          <w:rFonts w:ascii="Arial" w:hAnsi="Arial" w:cs="Arial"/>
        </w:rPr>
        <w:t xml:space="preserve">un ou plusieurs </w:t>
      </w:r>
      <w:r>
        <w:rPr>
          <w:rFonts w:ascii="Arial" w:hAnsi="Arial" w:cs="Arial"/>
        </w:rPr>
        <w:t>scénario</w:t>
      </w:r>
      <w:r w:rsidR="009365F9">
        <w:rPr>
          <w:rFonts w:ascii="Arial" w:hAnsi="Arial" w:cs="Arial"/>
        </w:rPr>
        <w:t>s</w:t>
      </w:r>
      <w:r>
        <w:rPr>
          <w:rFonts w:ascii="Arial" w:hAnsi="Arial" w:cs="Arial"/>
        </w:rPr>
        <w:t xml:space="preserve"> d’échange de l’autre ? </w:t>
      </w:r>
    </w:p>
    <w:p w:rsidR="00CD73E2" w:rsidRDefault="00D72EF3" w:rsidP="002C7EEF">
      <w:pPr>
        <w:jc w:val="both"/>
        <w:rPr>
          <w:rFonts w:ascii="Arial" w:hAnsi="Arial" w:cs="Arial"/>
        </w:rPr>
      </w:pPr>
      <w:r>
        <w:rPr>
          <w:rFonts w:ascii="Arial" w:hAnsi="Arial" w:cs="Arial"/>
          <w:u w:val="single"/>
        </w:rPr>
        <w:t>Benoit David</w:t>
      </w:r>
      <w:r>
        <w:rPr>
          <w:rFonts w:ascii="Arial" w:hAnsi="Arial" w:cs="Arial"/>
        </w:rPr>
        <w:t xml:space="preserve"> confirme et précise qu’il peut y avoir plusieurs scénarios d’échanges. Il pourra y avoir de nouveaux scénarios d’échanges en fonction des besoins. </w:t>
      </w:r>
    </w:p>
    <w:p w:rsidR="00CD73E2" w:rsidRDefault="00CD73E2" w:rsidP="002C7EEF">
      <w:pPr>
        <w:jc w:val="both"/>
        <w:rPr>
          <w:rFonts w:ascii="Arial" w:hAnsi="Arial" w:cs="Arial"/>
        </w:rPr>
      </w:pPr>
    </w:p>
    <w:p w:rsidR="00CD73E2" w:rsidRDefault="00D72EF3" w:rsidP="002C7EEF">
      <w:pPr>
        <w:jc w:val="both"/>
        <w:rPr>
          <w:rFonts w:ascii="Arial" w:hAnsi="Arial" w:cs="Arial"/>
          <w:b/>
        </w:rPr>
      </w:pPr>
      <w:r>
        <w:rPr>
          <w:rFonts w:ascii="Arial" w:hAnsi="Arial" w:cs="Arial"/>
          <w:b/>
        </w:rPr>
        <w:t xml:space="preserve">Issue 6 : Statuer sur la licence de diffusion du standard : </w:t>
      </w:r>
    </w:p>
    <w:p w:rsidR="00CD73E2" w:rsidRDefault="00D72EF3" w:rsidP="002C7EEF">
      <w:pPr>
        <w:jc w:val="both"/>
        <w:rPr>
          <w:rFonts w:ascii="Arial" w:hAnsi="Arial" w:cs="Arial"/>
          <w:b/>
        </w:rPr>
      </w:pPr>
      <w:r>
        <w:rPr>
          <w:rFonts w:ascii="Arial" w:hAnsi="Arial" w:cs="Arial"/>
        </w:rPr>
        <w:t xml:space="preserve">L’idée est de définir les droits d’accès sur les documents finaux. Quelle licence s’applique déjà sur les standards existants ? Est-ce qu’il y a une politique particulière qui s’applique sur les standards CNIG ? </w:t>
      </w:r>
    </w:p>
    <w:p w:rsidR="00CD73E2" w:rsidRDefault="00D72EF3" w:rsidP="002C7EEF">
      <w:pPr>
        <w:jc w:val="both"/>
        <w:rPr>
          <w:rFonts w:ascii="Arial" w:hAnsi="Arial" w:cs="Arial"/>
        </w:rPr>
      </w:pPr>
      <w:r w:rsidRPr="009365F9">
        <w:rPr>
          <w:rFonts w:ascii="Arial" w:hAnsi="Arial" w:cs="Arial"/>
          <w:u w:val="single"/>
        </w:rPr>
        <w:t>Pascal  Lagrabe</w:t>
      </w:r>
      <w:r>
        <w:rPr>
          <w:rFonts w:ascii="Arial" w:hAnsi="Arial" w:cs="Arial"/>
        </w:rPr>
        <w:t xml:space="preserve"> précise qu’on est dans un cadre CNIG donc il faudrait plutôt hériter des orientations du CNIG afin d’éviter d’avoir quelque chose de dissonant. </w:t>
      </w:r>
    </w:p>
    <w:p w:rsidR="00CD73E2" w:rsidRDefault="00D72EF3" w:rsidP="002C7EEF">
      <w:pPr>
        <w:jc w:val="both"/>
        <w:rPr>
          <w:rFonts w:ascii="Arial" w:hAnsi="Arial" w:cs="Arial"/>
        </w:rPr>
      </w:pPr>
      <w:r w:rsidRPr="009365F9">
        <w:rPr>
          <w:rFonts w:ascii="Arial" w:hAnsi="Arial" w:cs="Arial"/>
          <w:u w:val="single"/>
        </w:rPr>
        <w:t>Yohann Evai</w:t>
      </w:r>
      <w:r>
        <w:rPr>
          <w:rFonts w:ascii="Arial" w:hAnsi="Arial" w:cs="Arial"/>
        </w:rPr>
        <w:t xml:space="preserve">n confirme qu’avoir une licence ouverte est totalement possible. Dans la licence </w:t>
      </w:r>
      <w:proofErr w:type="spellStart"/>
      <w:proofErr w:type="gramStart"/>
      <w:r>
        <w:rPr>
          <w:rFonts w:ascii="Arial" w:eastAsia="Times New Roman" w:hAnsi="Arial" w:cs="Arial"/>
        </w:rPr>
        <w:t>Etalab</w:t>
      </w:r>
      <w:proofErr w:type="spellEnd"/>
      <w:r>
        <w:rPr>
          <w:rFonts w:ascii="Arial" w:eastAsia="Times New Roman" w:hAnsi="Arial" w:cs="Arial"/>
        </w:rPr>
        <w:t xml:space="preserve"> ,</w:t>
      </w:r>
      <w:proofErr w:type="gramEnd"/>
      <w:r>
        <w:rPr>
          <w:rFonts w:ascii="Arial" w:eastAsia="Times New Roman" w:hAnsi="Arial" w:cs="Arial"/>
        </w:rPr>
        <w:t xml:space="preserve"> il est question de la paternité. Il faudrait que ça soit le CNIG qui </w:t>
      </w:r>
      <w:r w:rsidR="009365F9">
        <w:rPr>
          <w:rFonts w:ascii="Arial" w:eastAsia="Times New Roman" w:hAnsi="Arial" w:cs="Arial"/>
        </w:rPr>
        <w:t xml:space="preserve">ait </w:t>
      </w:r>
      <w:r>
        <w:rPr>
          <w:rFonts w:ascii="Arial" w:eastAsia="Times New Roman" w:hAnsi="Arial" w:cs="Arial"/>
        </w:rPr>
        <w:t xml:space="preserve">la paternité dessus. </w:t>
      </w:r>
    </w:p>
    <w:p w:rsidR="00CD73E2" w:rsidRDefault="00D72EF3" w:rsidP="002C7EEF">
      <w:pPr>
        <w:jc w:val="both"/>
        <w:rPr>
          <w:rFonts w:ascii="Arial" w:hAnsi="Arial" w:cs="Arial"/>
        </w:rPr>
      </w:pPr>
      <w:r>
        <w:rPr>
          <w:rFonts w:ascii="Arial" w:hAnsi="Arial" w:cs="Arial"/>
          <w:u w:val="single"/>
        </w:rPr>
        <w:t>Gilles Cébélieu</w:t>
      </w:r>
      <w:r>
        <w:rPr>
          <w:rFonts w:ascii="Arial" w:hAnsi="Arial" w:cs="Arial"/>
        </w:rPr>
        <w:t xml:space="preserve"> propose que le sujet soit traité pour la prochaine séance plénière le 18/02.</w:t>
      </w:r>
    </w:p>
    <w:p w:rsidR="00CD73E2" w:rsidRDefault="00D72EF3" w:rsidP="002C7EEF">
      <w:pPr>
        <w:jc w:val="both"/>
      </w:pPr>
      <w:r>
        <w:rPr>
          <w:rFonts w:ascii="Arial" w:hAnsi="Arial" w:cs="Arial"/>
        </w:rPr>
        <w:t xml:space="preserve">Dans les remarques, </w:t>
      </w:r>
      <w:r>
        <w:rPr>
          <w:rFonts w:ascii="Arial" w:eastAsia="Times New Roman" w:hAnsi="Arial" w:cs="Arial"/>
        </w:rPr>
        <w:t xml:space="preserve">Arnauld Gallais indique que les géostandards sont sous Licence Ouverte </w:t>
      </w:r>
      <w:proofErr w:type="spellStart"/>
      <w:r>
        <w:rPr>
          <w:rFonts w:ascii="Arial" w:eastAsia="Times New Roman" w:hAnsi="Arial" w:cs="Arial"/>
        </w:rPr>
        <w:t>Etalab</w:t>
      </w:r>
      <w:proofErr w:type="spellEnd"/>
      <w:r>
        <w:rPr>
          <w:rFonts w:ascii="Arial" w:eastAsia="Times New Roman" w:hAnsi="Arial" w:cs="Arial"/>
        </w:rPr>
        <w:t xml:space="preserve">. </w:t>
      </w:r>
    </w:p>
    <w:p w:rsidR="00CD73E2" w:rsidRDefault="00D72EF3" w:rsidP="002C7EEF">
      <w:pPr>
        <w:spacing w:after="0" w:line="240" w:lineRule="auto"/>
        <w:jc w:val="both"/>
        <w:rPr>
          <w:rFonts w:ascii="Arial" w:eastAsia="Times New Roman" w:hAnsi="Arial" w:cs="Arial"/>
        </w:rPr>
      </w:pPr>
      <w:r>
        <w:rPr>
          <w:rFonts w:ascii="Arial" w:eastAsia="Times New Roman" w:hAnsi="Arial" w:cs="Arial"/>
          <w:u w:val="single"/>
        </w:rPr>
        <w:t>Leslie Lemaire</w:t>
      </w:r>
      <w:r>
        <w:rPr>
          <w:rFonts w:ascii="Arial" w:eastAsia="Times New Roman" w:hAnsi="Arial" w:cs="Arial"/>
        </w:rPr>
        <w:t xml:space="preserve"> précise que la licence ouverte est la seule licence autorisée pour les administrations qui soit adaptée pour des documents, de toute façon. Les autres sont vraiment ciblées données ou codes sources.</w:t>
      </w:r>
    </w:p>
    <w:p w:rsidR="00CD73E2" w:rsidRDefault="00CD73E2" w:rsidP="002C7EEF">
      <w:pPr>
        <w:spacing w:after="0" w:line="240" w:lineRule="auto"/>
        <w:jc w:val="both"/>
        <w:rPr>
          <w:rFonts w:ascii="Arial" w:eastAsia="Times New Roman" w:hAnsi="Arial" w:cs="Arial"/>
        </w:rPr>
      </w:pPr>
    </w:p>
    <w:p w:rsidR="00CD73E2" w:rsidRDefault="00CD73E2" w:rsidP="002C7EEF">
      <w:pPr>
        <w:spacing w:after="0" w:line="240" w:lineRule="auto"/>
        <w:jc w:val="both"/>
        <w:rPr>
          <w:rFonts w:ascii="Arial" w:eastAsia="Times New Roman" w:hAnsi="Arial" w:cs="Arial"/>
        </w:rPr>
      </w:pPr>
    </w:p>
    <w:p w:rsidR="00CD73E2" w:rsidRDefault="00D72EF3" w:rsidP="002C7EEF">
      <w:pPr>
        <w:jc w:val="both"/>
        <w:rPr>
          <w:rFonts w:ascii="Arial" w:hAnsi="Arial" w:cs="Arial"/>
          <w:u w:val="single"/>
        </w:rPr>
      </w:pPr>
      <w:r>
        <w:rPr>
          <w:rFonts w:ascii="Arial" w:hAnsi="Arial" w:cs="Arial"/>
          <w:u w:val="single"/>
        </w:rPr>
        <w:t xml:space="preserve">Actions IGN : </w:t>
      </w:r>
    </w:p>
    <w:p w:rsidR="00CD73E2" w:rsidRDefault="00D72EF3" w:rsidP="002C7EEF">
      <w:pPr>
        <w:pStyle w:val="Paragraphedeliste"/>
        <w:numPr>
          <w:ilvl w:val="0"/>
          <w:numId w:val="1"/>
        </w:numPr>
        <w:jc w:val="both"/>
        <w:rPr>
          <w:rFonts w:ascii="Arial" w:hAnsi="Arial" w:cs="Arial"/>
        </w:rPr>
      </w:pPr>
      <w:r>
        <w:rPr>
          <w:rFonts w:ascii="Arial" w:hAnsi="Arial" w:cs="Arial"/>
        </w:rPr>
        <w:t xml:space="preserve">CR dépôt sur Github + page du CNIG. </w:t>
      </w:r>
    </w:p>
    <w:p w:rsidR="00CD73E2" w:rsidRDefault="00D72EF3" w:rsidP="002C7EEF">
      <w:pPr>
        <w:pStyle w:val="Paragraphedeliste"/>
        <w:numPr>
          <w:ilvl w:val="0"/>
          <w:numId w:val="1"/>
        </w:numPr>
        <w:jc w:val="both"/>
        <w:rPr>
          <w:rFonts w:ascii="Arial" w:hAnsi="Arial" w:cs="Arial"/>
        </w:rPr>
      </w:pPr>
      <w:r>
        <w:rPr>
          <w:rFonts w:ascii="Arial" w:hAnsi="Arial" w:cs="Arial"/>
        </w:rPr>
        <w:t xml:space="preserve"> Dépôt Power point Bearing</w:t>
      </w:r>
      <w:r w:rsidR="009365F9">
        <w:rPr>
          <w:rFonts w:ascii="Arial" w:hAnsi="Arial" w:cs="Arial"/>
        </w:rPr>
        <w:t>-</w:t>
      </w:r>
      <w:r>
        <w:rPr>
          <w:rFonts w:ascii="Arial" w:hAnsi="Arial" w:cs="Arial"/>
        </w:rPr>
        <w:t xml:space="preserve">Point et celui du Cotech sur le Github </w:t>
      </w:r>
    </w:p>
    <w:p w:rsidR="00CD73E2" w:rsidRDefault="00D72EF3" w:rsidP="002C7EEF">
      <w:pPr>
        <w:pStyle w:val="Paragraphedeliste"/>
        <w:numPr>
          <w:ilvl w:val="0"/>
          <w:numId w:val="1"/>
        </w:numPr>
        <w:jc w:val="both"/>
        <w:rPr>
          <w:rFonts w:ascii="Arial" w:hAnsi="Arial" w:cs="Arial"/>
        </w:rPr>
      </w:pPr>
      <w:r>
        <w:rPr>
          <w:rFonts w:ascii="Arial" w:hAnsi="Arial" w:cs="Arial"/>
        </w:rPr>
        <w:t xml:space="preserve"> Ajout des membres via les adresses emails sur Github</w:t>
      </w:r>
    </w:p>
    <w:p w:rsidR="00CD73E2" w:rsidRDefault="00D72EF3" w:rsidP="002C7EEF">
      <w:pPr>
        <w:jc w:val="both"/>
        <w:rPr>
          <w:rFonts w:ascii="Arial" w:hAnsi="Arial" w:cs="Arial"/>
          <w:u w:val="single"/>
        </w:rPr>
      </w:pPr>
      <w:r>
        <w:rPr>
          <w:rFonts w:ascii="Arial" w:hAnsi="Arial" w:cs="Arial"/>
          <w:u w:val="single"/>
        </w:rPr>
        <w:t xml:space="preserve">Action autres membres : </w:t>
      </w:r>
    </w:p>
    <w:p w:rsidR="00CD73E2" w:rsidRDefault="00D72EF3" w:rsidP="002C7EEF">
      <w:pPr>
        <w:pStyle w:val="Paragraphedeliste"/>
        <w:numPr>
          <w:ilvl w:val="0"/>
          <w:numId w:val="1"/>
        </w:numPr>
        <w:jc w:val="both"/>
        <w:rPr>
          <w:rFonts w:ascii="Arial" w:hAnsi="Arial" w:cs="Arial"/>
        </w:rPr>
      </w:pPr>
      <w:r>
        <w:rPr>
          <w:rFonts w:ascii="Arial" w:hAnsi="Arial" w:cs="Arial"/>
        </w:rPr>
        <w:t>Dépôt du modèle CNIG sur les spécifications de données et les métadonnées</w:t>
      </w:r>
    </w:p>
    <w:p w:rsidR="00CD73E2" w:rsidRDefault="00D72EF3" w:rsidP="002C7EEF">
      <w:pPr>
        <w:pStyle w:val="Paragraphedeliste"/>
        <w:numPr>
          <w:ilvl w:val="0"/>
          <w:numId w:val="1"/>
        </w:numPr>
        <w:jc w:val="both"/>
        <w:rPr>
          <w:rFonts w:ascii="Arial" w:hAnsi="Arial" w:cs="Arial"/>
        </w:rPr>
      </w:pPr>
      <w:r>
        <w:rPr>
          <w:rFonts w:ascii="Arial" w:hAnsi="Arial" w:cs="Arial"/>
        </w:rPr>
        <w:t xml:space="preserve">Contributions des membres dans les issues du </w:t>
      </w:r>
      <w:hyperlink r:id="rId18" w:history="1">
        <w:r w:rsidRPr="00C64535">
          <w:rPr>
            <w:rStyle w:val="Lienhypertexte"/>
            <w:rFonts w:ascii="Arial" w:hAnsi="Arial" w:cs="Arial"/>
          </w:rPr>
          <w:t>Github</w:t>
        </w:r>
      </w:hyperlink>
      <w:r w:rsidR="00C64535">
        <w:rPr>
          <w:rFonts w:ascii="Arial" w:hAnsi="Arial" w:cs="Arial"/>
        </w:rPr>
        <w:t xml:space="preserve"> </w:t>
      </w:r>
    </w:p>
    <w:p w:rsidR="00CD73E2" w:rsidRDefault="00D72EF3" w:rsidP="002C7EEF">
      <w:pPr>
        <w:pStyle w:val="Paragraphedeliste"/>
        <w:numPr>
          <w:ilvl w:val="0"/>
          <w:numId w:val="1"/>
        </w:numPr>
        <w:jc w:val="both"/>
      </w:pPr>
      <w:r>
        <w:rPr>
          <w:rFonts w:ascii="Arial" w:hAnsi="Arial" w:cs="Arial"/>
        </w:rPr>
        <w:t xml:space="preserve">S’abonner au </w:t>
      </w:r>
      <w:hyperlink r:id="rId19" w:history="1">
        <w:proofErr w:type="spellStart"/>
        <w:r w:rsidRPr="00C64535">
          <w:rPr>
            <w:rStyle w:val="Lienhypertexte"/>
            <w:rFonts w:ascii="Arial" w:hAnsi="Arial" w:cs="Arial"/>
          </w:rPr>
          <w:t>framaliste</w:t>
        </w:r>
        <w:proofErr w:type="spellEnd"/>
      </w:hyperlink>
    </w:p>
    <w:sectPr w:rsidR="00CD73E2">
      <w:footerReference w:type="default" r:id="rId20"/>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023" w:rsidRDefault="001D6023">
      <w:pPr>
        <w:spacing w:after="0" w:line="240" w:lineRule="auto"/>
      </w:pPr>
      <w:r>
        <w:separator/>
      </w:r>
    </w:p>
  </w:endnote>
  <w:endnote w:type="continuationSeparator" w:id="0">
    <w:p w:rsidR="001D6023" w:rsidRDefault="001D6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265117"/>
      <w:docPartObj>
        <w:docPartGallery w:val="Page Numbers (Bottom of Page)"/>
        <w:docPartUnique/>
      </w:docPartObj>
    </w:sdtPr>
    <w:sdtEndPr/>
    <w:sdtContent>
      <w:p w:rsidR="00CD73E2" w:rsidRDefault="00D72EF3">
        <w:pPr>
          <w:pStyle w:val="Pieddepage"/>
        </w:pPr>
        <w:r>
          <w:rPr>
            <w:rFonts w:ascii="Arial" w:hAnsi="Arial" w:cs="Arial"/>
          </w:rPr>
          <w:t xml:space="preserve">SPP/22-0372        Compte-rendu de réunion de lancement sur la refonte des géostandards </w:t>
        </w:r>
      </w:p>
      <w:p w:rsidR="00CD73E2" w:rsidRDefault="00D72EF3">
        <w:pPr>
          <w:pStyle w:val="Pieddepage"/>
          <w:jc w:val="right"/>
        </w:pPr>
        <w:r>
          <w:fldChar w:fldCharType="begin"/>
        </w:r>
        <w:r>
          <w:instrText>PAGE</w:instrText>
        </w:r>
        <w:r>
          <w:fldChar w:fldCharType="separate"/>
        </w:r>
        <w:r w:rsidR="00AB155E">
          <w:rPr>
            <w:noProof/>
          </w:rPr>
          <w:t>1</w:t>
        </w:r>
        <w:r>
          <w:fldChar w:fldCharType="end"/>
        </w:r>
      </w:p>
    </w:sdtContent>
  </w:sdt>
  <w:p w:rsidR="00CD73E2" w:rsidRDefault="00CD73E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023" w:rsidRDefault="001D6023">
      <w:pPr>
        <w:spacing w:after="0" w:line="240" w:lineRule="auto"/>
      </w:pPr>
      <w:r>
        <w:separator/>
      </w:r>
    </w:p>
  </w:footnote>
  <w:footnote w:type="continuationSeparator" w:id="0">
    <w:p w:rsidR="001D6023" w:rsidRDefault="001D60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F3C00"/>
    <w:multiLevelType w:val="multilevel"/>
    <w:tmpl w:val="2D848EB0"/>
    <w:lvl w:ilvl="0">
      <w:start w:val="9"/>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8C171DC"/>
    <w:multiLevelType w:val="multilevel"/>
    <w:tmpl w:val="940C1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3555EA3"/>
    <w:multiLevelType w:val="multilevel"/>
    <w:tmpl w:val="E03E5E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3E2"/>
    <w:rsid w:val="001D6023"/>
    <w:rsid w:val="002C7EEF"/>
    <w:rsid w:val="00447765"/>
    <w:rsid w:val="009365F9"/>
    <w:rsid w:val="009878F2"/>
    <w:rsid w:val="009A5A77"/>
    <w:rsid w:val="00AB155E"/>
    <w:rsid w:val="00B37EDA"/>
    <w:rsid w:val="00BF6530"/>
    <w:rsid w:val="00C64535"/>
    <w:rsid w:val="00CD73E2"/>
    <w:rsid w:val="00D72EF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i-provider">
    <w:name w:val="ui-provider"/>
    <w:basedOn w:val="Policepardfaut"/>
    <w:qFormat/>
    <w:rsid w:val="00A25DC1"/>
  </w:style>
  <w:style w:type="character" w:customStyle="1" w:styleId="LienInternet">
    <w:name w:val="Lien Internet"/>
    <w:basedOn w:val="Policepardfaut"/>
    <w:uiPriority w:val="99"/>
    <w:unhideWhenUsed/>
    <w:rsid w:val="00BD6D58"/>
    <w:rPr>
      <w:color w:val="0000FF"/>
      <w:u w:val="single"/>
    </w:rPr>
  </w:style>
  <w:style w:type="character" w:customStyle="1" w:styleId="TextedebullesCar">
    <w:name w:val="Texte de bulles Car"/>
    <w:basedOn w:val="Policepardfaut"/>
    <w:link w:val="Textedebulles"/>
    <w:uiPriority w:val="99"/>
    <w:semiHidden/>
    <w:qFormat/>
    <w:rsid w:val="004D68F5"/>
    <w:rPr>
      <w:rFonts w:ascii="Tahoma" w:hAnsi="Tahoma" w:cs="Tahoma"/>
      <w:sz w:val="16"/>
      <w:szCs w:val="16"/>
    </w:rPr>
  </w:style>
  <w:style w:type="character" w:customStyle="1" w:styleId="En-tteCar">
    <w:name w:val="En-tête Car"/>
    <w:basedOn w:val="Policepardfaut"/>
    <w:uiPriority w:val="99"/>
    <w:qFormat/>
    <w:rsid w:val="00BA21E7"/>
  </w:style>
  <w:style w:type="character" w:customStyle="1" w:styleId="PieddepageCar">
    <w:name w:val="Pied de page Car"/>
    <w:basedOn w:val="Policepardfaut"/>
    <w:link w:val="Pieddepage"/>
    <w:uiPriority w:val="99"/>
    <w:qFormat/>
    <w:rsid w:val="00BA21E7"/>
  </w:style>
  <w:style w:type="character" w:customStyle="1" w:styleId="ListLabel1">
    <w:name w:val="ListLabel 1"/>
    <w:qFormat/>
    <w:rPr>
      <w:rFonts w:ascii="Arial" w:eastAsia="Calibri" w:hAnsi="Arial"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ascii="Arial" w:hAnsi="Arial" w:cs="Arial"/>
    </w:rPr>
  </w:style>
  <w:style w:type="character" w:customStyle="1" w:styleId="ListLabel7">
    <w:name w:val="ListLabel 7"/>
    <w:qFormat/>
    <w:rPr>
      <w:rFonts w:ascii="Arial" w:eastAsia="Times New Roman" w:hAnsi="Arial" w:cs="Arial"/>
      <w:b/>
    </w:rPr>
  </w:style>
  <w:style w:type="character" w:customStyle="1" w:styleId="ListLabel8">
    <w:name w:val="ListLabel 8"/>
    <w:qFormat/>
    <w:rPr>
      <w:rFonts w:ascii="Arial" w:eastAsia="Times New Roman" w:hAnsi="Arial" w:cs="Arial"/>
      <w:color w:val="0000FF"/>
      <w:u w:val="single"/>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ascii="Arial" w:hAnsi="Arial" w:cs="Arial"/>
    </w:rPr>
  </w:style>
  <w:style w:type="paragraph" w:styleId="Lgende">
    <w:name w:val="caption"/>
    <w:basedOn w:val="Normal"/>
    <w:qFormat/>
    <w:pPr>
      <w:suppressLineNumbers/>
      <w:spacing w:before="120" w:after="120"/>
    </w:pPr>
    <w:rPr>
      <w:rFonts w:ascii="Arial" w:hAnsi="Arial" w:cs="Arial"/>
      <w:i/>
      <w:iCs/>
      <w:sz w:val="24"/>
      <w:szCs w:val="24"/>
    </w:rPr>
  </w:style>
  <w:style w:type="paragraph" w:customStyle="1" w:styleId="Index">
    <w:name w:val="Index"/>
    <w:basedOn w:val="Normal"/>
    <w:qFormat/>
    <w:pPr>
      <w:suppressLineNumbers/>
    </w:pPr>
    <w:rPr>
      <w:rFonts w:ascii="Arial" w:hAnsi="Arial" w:cs="Arial"/>
    </w:rPr>
  </w:style>
  <w:style w:type="paragraph" w:styleId="NormalWeb">
    <w:name w:val="Normal (Web)"/>
    <w:basedOn w:val="Normal"/>
    <w:uiPriority w:val="99"/>
    <w:semiHidden/>
    <w:unhideWhenUsed/>
    <w:qFormat/>
    <w:rsid w:val="00A25DC1"/>
    <w:pPr>
      <w:spacing w:beforeAutospacing="1" w:afterAutospacing="1" w:line="240" w:lineRule="auto"/>
    </w:pPr>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AC3540"/>
    <w:pPr>
      <w:ind w:left="720"/>
      <w:contextualSpacing/>
    </w:pPr>
  </w:style>
  <w:style w:type="paragraph" w:styleId="Textedebulles">
    <w:name w:val="Balloon Text"/>
    <w:basedOn w:val="Normal"/>
    <w:link w:val="TextedebullesCar"/>
    <w:uiPriority w:val="99"/>
    <w:semiHidden/>
    <w:unhideWhenUsed/>
    <w:qFormat/>
    <w:rsid w:val="004D68F5"/>
    <w:pPr>
      <w:spacing w:after="0" w:line="240" w:lineRule="auto"/>
    </w:pPr>
    <w:rPr>
      <w:rFonts w:ascii="Tahoma" w:hAnsi="Tahoma" w:cs="Tahoma"/>
      <w:sz w:val="16"/>
      <w:szCs w:val="16"/>
    </w:rPr>
  </w:style>
  <w:style w:type="paragraph" w:styleId="En-tte">
    <w:name w:val="header"/>
    <w:basedOn w:val="Normal"/>
    <w:uiPriority w:val="99"/>
    <w:unhideWhenUsed/>
    <w:rsid w:val="00BA21E7"/>
    <w:pPr>
      <w:tabs>
        <w:tab w:val="center" w:pos="4703"/>
        <w:tab w:val="right" w:pos="9406"/>
      </w:tabs>
      <w:spacing w:after="0" w:line="240" w:lineRule="auto"/>
    </w:pPr>
  </w:style>
  <w:style w:type="paragraph" w:styleId="Pieddepage">
    <w:name w:val="footer"/>
    <w:basedOn w:val="Normal"/>
    <w:link w:val="PieddepageCar"/>
    <w:uiPriority w:val="99"/>
    <w:unhideWhenUsed/>
    <w:rsid w:val="00BA21E7"/>
    <w:pPr>
      <w:tabs>
        <w:tab w:val="center" w:pos="4703"/>
        <w:tab w:val="right" w:pos="9406"/>
      </w:tabs>
      <w:spacing w:after="0" w:line="240" w:lineRule="auto"/>
    </w:p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Lienhypertexte">
    <w:name w:val="Hyperlink"/>
    <w:basedOn w:val="Policepardfaut"/>
    <w:uiPriority w:val="99"/>
    <w:unhideWhenUsed/>
    <w:rsid w:val="00C645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i-provider">
    <w:name w:val="ui-provider"/>
    <w:basedOn w:val="Policepardfaut"/>
    <w:qFormat/>
    <w:rsid w:val="00A25DC1"/>
  </w:style>
  <w:style w:type="character" w:customStyle="1" w:styleId="LienInternet">
    <w:name w:val="Lien Internet"/>
    <w:basedOn w:val="Policepardfaut"/>
    <w:uiPriority w:val="99"/>
    <w:unhideWhenUsed/>
    <w:rsid w:val="00BD6D58"/>
    <w:rPr>
      <w:color w:val="0000FF"/>
      <w:u w:val="single"/>
    </w:rPr>
  </w:style>
  <w:style w:type="character" w:customStyle="1" w:styleId="TextedebullesCar">
    <w:name w:val="Texte de bulles Car"/>
    <w:basedOn w:val="Policepardfaut"/>
    <w:link w:val="Textedebulles"/>
    <w:uiPriority w:val="99"/>
    <w:semiHidden/>
    <w:qFormat/>
    <w:rsid w:val="004D68F5"/>
    <w:rPr>
      <w:rFonts w:ascii="Tahoma" w:hAnsi="Tahoma" w:cs="Tahoma"/>
      <w:sz w:val="16"/>
      <w:szCs w:val="16"/>
    </w:rPr>
  </w:style>
  <w:style w:type="character" w:customStyle="1" w:styleId="En-tteCar">
    <w:name w:val="En-tête Car"/>
    <w:basedOn w:val="Policepardfaut"/>
    <w:uiPriority w:val="99"/>
    <w:qFormat/>
    <w:rsid w:val="00BA21E7"/>
  </w:style>
  <w:style w:type="character" w:customStyle="1" w:styleId="PieddepageCar">
    <w:name w:val="Pied de page Car"/>
    <w:basedOn w:val="Policepardfaut"/>
    <w:link w:val="Pieddepage"/>
    <w:uiPriority w:val="99"/>
    <w:qFormat/>
    <w:rsid w:val="00BA21E7"/>
  </w:style>
  <w:style w:type="character" w:customStyle="1" w:styleId="ListLabel1">
    <w:name w:val="ListLabel 1"/>
    <w:qFormat/>
    <w:rPr>
      <w:rFonts w:ascii="Arial" w:eastAsia="Calibri" w:hAnsi="Arial"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ascii="Arial" w:hAnsi="Arial" w:cs="Arial"/>
    </w:rPr>
  </w:style>
  <w:style w:type="character" w:customStyle="1" w:styleId="ListLabel7">
    <w:name w:val="ListLabel 7"/>
    <w:qFormat/>
    <w:rPr>
      <w:rFonts w:ascii="Arial" w:eastAsia="Times New Roman" w:hAnsi="Arial" w:cs="Arial"/>
      <w:b/>
    </w:rPr>
  </w:style>
  <w:style w:type="character" w:customStyle="1" w:styleId="ListLabel8">
    <w:name w:val="ListLabel 8"/>
    <w:qFormat/>
    <w:rPr>
      <w:rFonts w:ascii="Arial" w:eastAsia="Times New Roman" w:hAnsi="Arial" w:cs="Arial"/>
      <w:color w:val="0000FF"/>
      <w:u w:val="single"/>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ascii="Arial" w:hAnsi="Arial" w:cs="Arial"/>
    </w:rPr>
  </w:style>
  <w:style w:type="paragraph" w:styleId="Lgende">
    <w:name w:val="caption"/>
    <w:basedOn w:val="Normal"/>
    <w:qFormat/>
    <w:pPr>
      <w:suppressLineNumbers/>
      <w:spacing w:before="120" w:after="120"/>
    </w:pPr>
    <w:rPr>
      <w:rFonts w:ascii="Arial" w:hAnsi="Arial" w:cs="Arial"/>
      <w:i/>
      <w:iCs/>
      <w:sz w:val="24"/>
      <w:szCs w:val="24"/>
    </w:rPr>
  </w:style>
  <w:style w:type="paragraph" w:customStyle="1" w:styleId="Index">
    <w:name w:val="Index"/>
    <w:basedOn w:val="Normal"/>
    <w:qFormat/>
    <w:pPr>
      <w:suppressLineNumbers/>
    </w:pPr>
    <w:rPr>
      <w:rFonts w:ascii="Arial" w:hAnsi="Arial" w:cs="Arial"/>
    </w:rPr>
  </w:style>
  <w:style w:type="paragraph" w:styleId="NormalWeb">
    <w:name w:val="Normal (Web)"/>
    <w:basedOn w:val="Normal"/>
    <w:uiPriority w:val="99"/>
    <w:semiHidden/>
    <w:unhideWhenUsed/>
    <w:qFormat/>
    <w:rsid w:val="00A25DC1"/>
    <w:pPr>
      <w:spacing w:beforeAutospacing="1" w:afterAutospacing="1" w:line="240" w:lineRule="auto"/>
    </w:pPr>
    <w:rPr>
      <w:rFonts w:ascii="Times New Roman" w:eastAsia="Times New Roman" w:hAnsi="Times New Roman" w:cs="Times New Roman"/>
      <w:sz w:val="24"/>
      <w:szCs w:val="24"/>
      <w:lang w:val="en-US"/>
    </w:rPr>
  </w:style>
  <w:style w:type="paragraph" w:styleId="Paragraphedeliste">
    <w:name w:val="List Paragraph"/>
    <w:basedOn w:val="Normal"/>
    <w:uiPriority w:val="34"/>
    <w:qFormat/>
    <w:rsid w:val="00AC3540"/>
    <w:pPr>
      <w:ind w:left="720"/>
      <w:contextualSpacing/>
    </w:pPr>
  </w:style>
  <w:style w:type="paragraph" w:styleId="Textedebulles">
    <w:name w:val="Balloon Text"/>
    <w:basedOn w:val="Normal"/>
    <w:link w:val="TextedebullesCar"/>
    <w:uiPriority w:val="99"/>
    <w:semiHidden/>
    <w:unhideWhenUsed/>
    <w:qFormat/>
    <w:rsid w:val="004D68F5"/>
    <w:pPr>
      <w:spacing w:after="0" w:line="240" w:lineRule="auto"/>
    </w:pPr>
    <w:rPr>
      <w:rFonts w:ascii="Tahoma" w:hAnsi="Tahoma" w:cs="Tahoma"/>
      <w:sz w:val="16"/>
      <w:szCs w:val="16"/>
    </w:rPr>
  </w:style>
  <w:style w:type="paragraph" w:styleId="En-tte">
    <w:name w:val="header"/>
    <w:basedOn w:val="Normal"/>
    <w:uiPriority w:val="99"/>
    <w:unhideWhenUsed/>
    <w:rsid w:val="00BA21E7"/>
    <w:pPr>
      <w:tabs>
        <w:tab w:val="center" w:pos="4703"/>
        <w:tab w:val="right" w:pos="9406"/>
      </w:tabs>
      <w:spacing w:after="0" w:line="240" w:lineRule="auto"/>
    </w:pPr>
  </w:style>
  <w:style w:type="paragraph" w:styleId="Pieddepage">
    <w:name w:val="footer"/>
    <w:basedOn w:val="Normal"/>
    <w:link w:val="PieddepageCar"/>
    <w:uiPriority w:val="99"/>
    <w:unhideWhenUsed/>
    <w:rsid w:val="00BA21E7"/>
    <w:pPr>
      <w:tabs>
        <w:tab w:val="center" w:pos="4703"/>
        <w:tab w:val="right" w:pos="9406"/>
      </w:tabs>
      <w:spacing w:after="0" w:line="240" w:lineRule="auto"/>
    </w:p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Lienhypertexte">
    <w:name w:val="Hyperlink"/>
    <w:basedOn w:val="Policepardfaut"/>
    <w:uiPriority w:val="99"/>
    <w:unhideWhenUsed/>
    <w:rsid w:val="00C64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nig.gouv.fr/?page_id=18959" TargetMode="External"/><Relationship Id="rId18" Type="http://schemas.openxmlformats.org/officeDocument/2006/relationships/hyperlink" Target="https://github.com/cnigfr/Geostandards-Risqu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nig.gouv.fr/wp-content/uploads/2022/01/SPP-22-0364-Lancement-GT-Geostandards-14-01-2022.pdf" TargetMode="External"/><Relationship Id="rId17" Type="http://schemas.openxmlformats.org/officeDocument/2006/relationships/hyperlink" Target="http://cnig.gouv.fr/wp-content/uploads/2022/01/211130-Mod&#232;le-de-parties-Qualit&#233;-et-M&#233;tadonn&#233;es-des-g&#233;ostandards.pdf" TargetMode="External"/><Relationship Id="rId2" Type="http://schemas.openxmlformats.org/officeDocument/2006/relationships/numbering" Target="numbering.xml"/><Relationship Id="rId16" Type="http://schemas.openxmlformats.org/officeDocument/2006/relationships/hyperlink" Target="https://portableapps.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cnigfr/Geostandards-Risques" TargetMode="External"/><Relationship Id="rId10" Type="http://schemas.openxmlformats.org/officeDocument/2006/relationships/image" Target="media/image2.png"/><Relationship Id="rId19" Type="http://schemas.openxmlformats.org/officeDocument/2006/relationships/hyperlink" Target="https://framalistes.org/sympa/info/geostandards-risques-gt-cni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nig.gouv.fr/wp-content/uploads/2021/10/MandatModernisationStandardsRisque-vf.pdf"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AA47A-44F9-433E-9C73-B1CCFFFB5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2227</Words>
  <Characters>12250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Alison Lenain</dc:creator>
  <cp:lastModifiedBy>Gilles Cébélieu</cp:lastModifiedBy>
  <cp:revision>8</cp:revision>
  <dcterms:created xsi:type="dcterms:W3CDTF">2022-01-31T08:50:00Z</dcterms:created>
  <dcterms:modified xsi:type="dcterms:W3CDTF">2022-02-01T07:42:00Z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