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A952D40" w14:paraId="07AC6ACE" wp14:textId="7BB98B5F">
      <w:pPr>
        <w:pStyle w:val="Title"/>
        <w:spacing w:after="300" w:line="240" w:lineRule="auto"/>
        <w:rPr>
          <w:rFonts w:ascii="Cambria" w:hAnsi="Cambria" w:eastAsia="Cambria" w:cs="Cambria"/>
          <w:b w:val="0"/>
          <w:bCs w:val="0"/>
          <w:i w:val="0"/>
          <w:iCs w:val="0"/>
          <w:noProof w:val="0"/>
          <w:color w:val="17365D"/>
          <w:sz w:val="52"/>
          <w:szCs w:val="52"/>
          <w:lang w:val="fr-FR"/>
        </w:rPr>
      </w:pPr>
      <w:r w:rsidRPr="3A952D40" w:rsidR="2E5C64FD">
        <w:rPr>
          <w:rFonts w:ascii="Cambria" w:hAnsi="Cambria" w:eastAsia="Cambria" w:cs="Cambria"/>
          <w:b w:val="0"/>
          <w:bCs w:val="0"/>
          <w:i w:val="0"/>
          <w:iCs w:val="0"/>
          <w:noProof w:val="0"/>
          <w:color w:val="17365D"/>
          <w:sz w:val="52"/>
          <w:szCs w:val="52"/>
          <w:lang w:val="fr-FR"/>
        </w:rPr>
        <w:t>Atelier « </w:t>
      </w:r>
      <w:r w:rsidRPr="3A952D40" w:rsidR="7FBA14E6">
        <w:rPr>
          <w:rFonts w:ascii="Cambria" w:hAnsi="Cambria" w:eastAsia="Cambria" w:cs="Cambria"/>
          <w:b w:val="0"/>
          <w:bCs w:val="0"/>
          <w:i w:val="0"/>
          <w:iCs w:val="0"/>
          <w:noProof w:val="0"/>
          <w:color w:val="17365D"/>
          <w:sz w:val="52"/>
          <w:szCs w:val="52"/>
          <w:lang w:val="fr-FR"/>
        </w:rPr>
        <w:t>Thématiques métiers et Standards PPR / DI</w:t>
      </w:r>
      <w:r w:rsidRPr="3A952D40" w:rsidR="2E5C64FD">
        <w:rPr>
          <w:rFonts w:ascii="Cambria" w:hAnsi="Cambria" w:eastAsia="Cambria" w:cs="Cambria"/>
          <w:b w:val="0"/>
          <w:bCs w:val="0"/>
          <w:i w:val="0"/>
          <w:iCs w:val="0"/>
          <w:noProof w:val="0"/>
          <w:color w:val="17365D"/>
          <w:sz w:val="52"/>
          <w:szCs w:val="52"/>
          <w:lang w:val="fr-FR"/>
        </w:rPr>
        <w:t> » - 28/01/2022</w:t>
      </w:r>
    </w:p>
    <w:p w:rsidR="3A952D40" w:rsidP="3A952D40" w:rsidRDefault="3A952D40" w14:paraId="1FE542EC" w14:textId="7EF695AE">
      <w:pPr>
        <w:pStyle w:val="Heading1"/>
      </w:pPr>
    </w:p>
    <w:p xmlns:wp14="http://schemas.microsoft.com/office/word/2010/wordml" w:rsidP="3A952D40" w14:paraId="3BFEFB25" wp14:textId="5C92FA1E">
      <w:pPr>
        <w:pStyle w:val="Heading1"/>
        <w:rPr>
          <w:rFonts w:ascii="Calibri Light" w:hAnsi="Calibri Light" w:eastAsia="" w:cs=""/>
          <w:color w:val="2F5496" w:themeColor="accent1" w:themeTint="FF" w:themeShade="BF"/>
          <w:sz w:val="32"/>
          <w:szCs w:val="32"/>
        </w:rPr>
      </w:pPr>
      <w:r w:rsidR="6E3FA3A8">
        <w:rPr/>
        <w:t>Objectifs de l’atelier</w:t>
      </w:r>
    </w:p>
    <w:p w:rsidR="6E3FA3A8" w:rsidP="55FB10CD" w:rsidRDefault="6E3FA3A8" w14:paraId="17D29679" w14:textId="5679F156">
      <w:pPr>
        <w:pStyle w:val="ListParagraph"/>
        <w:numPr>
          <w:ilvl w:val="0"/>
          <w:numId w:val="1"/>
        </w:numPr>
        <w:rPr>
          <w:rFonts w:ascii="Calibri" w:hAnsi="Calibri" w:eastAsia="Calibri" w:cs="Calibri" w:asciiTheme="minorAscii" w:hAnsiTheme="minorAscii" w:eastAsiaTheme="minorAscii" w:cstheme="minorAscii"/>
          <w:sz w:val="22"/>
          <w:szCs w:val="22"/>
        </w:rPr>
      </w:pPr>
      <w:r w:rsidR="6E3FA3A8">
        <w:rPr/>
        <w:t xml:space="preserve">Partager une première définition des thématiques </w:t>
      </w:r>
      <w:r w:rsidR="6E3FA3A8">
        <w:rPr/>
        <w:t>métier</w:t>
      </w:r>
      <w:r w:rsidR="6D5B10B1">
        <w:rPr/>
        <w:t>s</w:t>
      </w:r>
      <w:r w:rsidR="6E3FA3A8">
        <w:rPr/>
        <w:t xml:space="preserve"> issues</w:t>
      </w:r>
      <w:r w:rsidR="6E3FA3A8">
        <w:rPr/>
        <w:t xml:space="preserve"> de l’étude de cadrage</w:t>
      </w:r>
    </w:p>
    <w:p w:rsidR="6E3FA3A8" w:rsidP="3A952D40" w:rsidRDefault="6E3FA3A8" w14:paraId="47CB213B" w14:textId="7D1CB97D">
      <w:pPr>
        <w:pStyle w:val="ListParagraph"/>
        <w:numPr>
          <w:ilvl w:val="0"/>
          <w:numId w:val="1"/>
        </w:numPr>
        <w:rPr>
          <w:sz w:val="22"/>
          <w:szCs w:val="22"/>
        </w:rPr>
      </w:pPr>
      <w:r w:rsidR="6E3FA3A8">
        <w:rPr/>
        <w:t>Appliquer ces thématiques métiers sur les classes des standards PPR (N,T et M) et celles de la Directive Inondation</w:t>
      </w:r>
    </w:p>
    <w:p w:rsidR="2F547E0E" w:rsidP="2F547E0E" w:rsidRDefault="2F547E0E" w14:paraId="745FB222" w14:textId="0C20B1CD">
      <w:pPr>
        <w:pStyle w:val="Normal"/>
      </w:pPr>
    </w:p>
    <w:p w:rsidR="08D529C5" w:rsidP="2F547E0E" w:rsidRDefault="08D529C5" w14:paraId="3C48E8F2" w14:textId="1089E256">
      <w:pPr>
        <w:pStyle w:val="Heading1"/>
        <w:rPr>
          <w:rFonts w:ascii="Calibri Light" w:hAnsi="Calibri Light" w:eastAsia="" w:cs=""/>
          <w:color w:val="2F5496" w:themeColor="accent1" w:themeTint="FF" w:themeShade="BF"/>
          <w:sz w:val="32"/>
          <w:szCs w:val="32"/>
        </w:rPr>
      </w:pPr>
      <w:r w:rsidR="2AA9E994">
        <w:rPr/>
        <w:t>1.</w:t>
      </w:r>
      <w:r w:rsidR="08D529C5">
        <w:rPr/>
        <w:t>Proposition</w:t>
      </w:r>
      <w:r w:rsidR="17C2BEB0">
        <w:rPr/>
        <w:t>s</w:t>
      </w:r>
      <w:r w:rsidR="08D529C5">
        <w:rPr/>
        <w:t xml:space="preserve"> de d</w:t>
      </w:r>
      <w:r w:rsidR="2E5C64FD">
        <w:rPr/>
        <w:t>éfin</w:t>
      </w:r>
      <w:r w:rsidR="3B7BF84C">
        <w:rPr/>
        <w:t>i</w:t>
      </w:r>
      <w:r w:rsidR="2E5C64FD">
        <w:rPr/>
        <w:t>tion des nouvelles théma</w:t>
      </w:r>
      <w:r w:rsidR="3BB8B3BE">
        <w:rPr/>
        <w:t>ti</w:t>
      </w:r>
      <w:r w:rsidR="2E5C64FD">
        <w:rPr/>
        <w:t>que métiers</w:t>
      </w:r>
    </w:p>
    <w:p w:rsidR="2F547E0E" w:rsidP="2F547E0E" w:rsidRDefault="2F547E0E" w14:paraId="1E01C4E3" w14:textId="4FE33FD9">
      <w:pPr>
        <w:pStyle w:val="Normal"/>
      </w:pPr>
    </w:p>
    <w:p w:rsidR="2F547E0E" w:rsidP="3A952D40" w:rsidRDefault="2F547E0E" w14:paraId="40786CB2" w14:textId="1171EF9C">
      <w:pPr>
        <w:pStyle w:val="Normal"/>
      </w:pPr>
      <w:r w:rsidR="756840F7">
        <w:rPr/>
        <w:t>Cf. Etude de cadrage :</w:t>
      </w:r>
    </w:p>
    <w:p w:rsidR="2F547E0E" w:rsidP="3A952D40" w:rsidRDefault="2F547E0E" w14:paraId="21E24585" w14:textId="6D7CE081">
      <w:pPr>
        <w:pStyle w:val="Normal"/>
      </w:pPr>
      <w:r w:rsidR="756840F7">
        <w:drawing>
          <wp:inline wp14:editId="2B5C73BD" wp14:anchorId="67AF42B3">
            <wp:extent cx="4572000" cy="2257425"/>
            <wp:effectExtent l="0" t="0" r="0" b="0"/>
            <wp:docPr id="1624623473" name="" title=""/>
            <wp:cNvGraphicFramePr>
              <a:graphicFrameLocks noChangeAspect="1"/>
            </wp:cNvGraphicFramePr>
            <a:graphic>
              <a:graphicData uri="http://schemas.openxmlformats.org/drawingml/2006/picture">
                <pic:pic>
                  <pic:nvPicPr>
                    <pic:cNvPr id="0" name=""/>
                    <pic:cNvPicPr/>
                  </pic:nvPicPr>
                  <pic:blipFill>
                    <a:blip r:embed="Rf7254ef718354b04">
                      <a:extLst>
                        <a:ext xmlns:a="http://schemas.openxmlformats.org/drawingml/2006/main" uri="{28A0092B-C50C-407E-A947-70E740481C1C}">
                          <a14:useLocalDpi val="0"/>
                        </a:ext>
                      </a:extLst>
                    </a:blip>
                    <a:stretch>
                      <a:fillRect/>
                    </a:stretch>
                  </pic:blipFill>
                  <pic:spPr>
                    <a:xfrm>
                      <a:off x="0" y="0"/>
                      <a:ext cx="4572000" cy="2257425"/>
                    </a:xfrm>
                    <a:prstGeom prst="rect">
                      <a:avLst/>
                    </a:prstGeom>
                  </pic:spPr>
                </pic:pic>
              </a:graphicData>
            </a:graphic>
          </wp:inline>
        </w:drawing>
      </w:r>
    </w:p>
    <w:p w:rsidR="3A952D40" w:rsidP="3A952D40" w:rsidRDefault="3A952D40" w14:paraId="11AFCC93" w14:textId="7FA4B84E">
      <w:pPr>
        <w:pStyle w:val="Normal"/>
      </w:pPr>
    </w:p>
    <w:p w:rsidR="2E5C64FD" w:rsidP="2F547E0E" w:rsidRDefault="2E5C64FD" w14:paraId="1AEC8215" w14:textId="1CA99118">
      <w:pPr>
        <w:pStyle w:val="Heading2"/>
        <w:rPr>
          <w:rFonts w:ascii="Calibri Light" w:hAnsi="Calibri Light" w:eastAsia="" w:cs=""/>
          <w:color w:val="2F5496" w:themeColor="accent1" w:themeTint="FF" w:themeShade="BF"/>
          <w:sz w:val="26"/>
          <w:szCs w:val="26"/>
        </w:rPr>
      </w:pPr>
      <w:r w:rsidR="2E5C64FD">
        <w:rPr/>
        <w:t>Périmètre</w:t>
      </w:r>
    </w:p>
    <w:p w:rsidR="2F547E0E" w:rsidP="55FB10CD" w:rsidRDefault="2F547E0E" w14:paraId="75AD7885" w14:textId="2E726568">
      <w:pPr>
        <w:pStyle w:val="Normal"/>
        <w:rPr>
          <w:i w:val="1"/>
          <w:iCs w:val="1"/>
        </w:rPr>
      </w:pPr>
      <w:r w:rsidRPr="55FB10CD" w:rsidR="531A4BF1">
        <w:rPr>
          <w:i w:val="1"/>
          <w:iCs w:val="1"/>
        </w:rPr>
        <w:t>PPR(N-T</w:t>
      </w:r>
      <w:r w:rsidRPr="55FB10CD" w:rsidR="187AE398">
        <w:rPr>
          <w:i w:val="1"/>
          <w:iCs w:val="1"/>
        </w:rPr>
        <w:t>-M</w:t>
      </w:r>
      <w:r w:rsidRPr="55FB10CD" w:rsidR="531A4BF1">
        <w:rPr>
          <w:i w:val="1"/>
          <w:iCs w:val="1"/>
        </w:rPr>
        <w:t>)</w:t>
      </w:r>
      <w:r w:rsidRPr="55FB10CD" w:rsidR="148002D8">
        <w:rPr>
          <w:i w:val="1"/>
          <w:iCs w:val="1"/>
        </w:rPr>
        <w:t xml:space="preserve"> : </w:t>
      </w:r>
      <w:r w:rsidRPr="55FB10CD" w:rsidR="2D654D66">
        <w:rPr>
          <w:i w:val="1"/>
          <w:iCs w:val="1"/>
        </w:rPr>
        <w:t>“</w:t>
      </w:r>
      <w:r w:rsidRPr="55FB10CD" w:rsidR="148002D8">
        <w:rPr>
          <w:i w:val="1"/>
          <w:iCs w:val="1"/>
        </w:rPr>
        <w:t>D</w:t>
      </w:r>
      <w:r w:rsidRPr="55FB10CD" w:rsidR="7B7DC864">
        <w:rPr>
          <w:i w:val="1"/>
          <w:iCs w:val="1"/>
        </w:rPr>
        <w:t>ivers périmètres en relation avec le risque pris en compte dans</w:t>
      </w:r>
      <w:r w:rsidRPr="55FB10CD" w:rsidR="102EC4DE">
        <w:rPr>
          <w:i w:val="1"/>
          <w:iCs w:val="1"/>
        </w:rPr>
        <w:t xml:space="preserve"> </w:t>
      </w:r>
      <w:r w:rsidRPr="55FB10CD" w:rsidR="7B7DC864">
        <w:rPr>
          <w:i w:val="1"/>
          <w:iCs w:val="1"/>
        </w:rPr>
        <w:t>le PPR</w:t>
      </w:r>
      <w:r w:rsidRPr="55FB10CD" w:rsidR="4629278A">
        <w:rPr>
          <w:i w:val="1"/>
          <w:iCs w:val="1"/>
        </w:rPr>
        <w:t>”</w:t>
      </w:r>
      <w:r w:rsidRPr="55FB10CD" w:rsidR="6EBD881B">
        <w:rPr>
          <w:i w:val="1"/>
          <w:iCs w:val="1"/>
        </w:rPr>
        <w:t xml:space="preserve"> - “</w:t>
      </w:r>
      <w:r w:rsidRPr="55FB10CD" w:rsidR="6EBD881B">
        <w:rPr>
          <w:i w:val="1"/>
          <w:iCs w:val="1"/>
        </w:rPr>
        <w:t>Cette classe décrit tout périmètre délimitant une zone influencée par la présence d'un PPR. Les périmètres ainsi définis ont un caractère officiel et produisent leurs effets à compter d'une date Définie."</w:t>
      </w:r>
    </w:p>
    <w:p w:rsidR="2678F5E9" w:rsidP="55FB10CD" w:rsidRDefault="2678F5E9" w14:paraId="5F3D384B" w14:textId="0ED38A01">
      <w:pPr>
        <w:pStyle w:val="Normal"/>
        <w:rPr>
          <w:i w:val="1"/>
          <w:iCs w:val="1"/>
        </w:rPr>
      </w:pPr>
      <w:r w:rsidRPr="55FB10CD" w:rsidR="2678F5E9">
        <w:rPr>
          <w:i w:val="1"/>
          <w:iCs w:val="1"/>
        </w:rPr>
        <w:t xml:space="preserve">Lorsque le PPR est prescrit, le préfet détermine un périmètre d’études. A défaut, c’est l’ensemble </w:t>
      </w:r>
      <w:r w:rsidRPr="55FB10CD" w:rsidR="2678F5E9">
        <w:rPr>
          <w:i w:val="1"/>
          <w:iCs w:val="1"/>
        </w:rPr>
        <w:t>du territoire communale</w:t>
      </w:r>
      <w:r w:rsidRPr="55FB10CD" w:rsidR="2678F5E9">
        <w:rPr>
          <w:i w:val="1"/>
          <w:iCs w:val="1"/>
        </w:rPr>
        <w:t xml:space="preserve"> qui doit être considéré comme le périmètre. Lorsque le PPR est approuvé ou appliqué par anticipation, le périmètre du PPR s’entend par le périmètre des zones réglementées.</w:t>
      </w:r>
    </w:p>
    <w:p w:rsidR="196085E6" w:rsidP="22199BEA" w:rsidRDefault="196085E6" w14:paraId="28A1302D" w14:textId="2CD50A4E">
      <w:pPr>
        <w:pStyle w:val="Normal"/>
        <w:rPr>
          <w:highlight w:val="yellow"/>
        </w:rPr>
      </w:pPr>
      <w:r w:rsidRPr="22199BEA" w:rsidR="196085E6">
        <w:rPr>
          <w:highlight w:val="yellow"/>
        </w:rPr>
        <w:t>Qu’entend-on par “Périmètre” comme concept commun aux Géostandards risques ?</w:t>
      </w:r>
    </w:p>
    <w:p w:rsidR="2E5C64FD" w:rsidP="2F547E0E" w:rsidRDefault="2E5C64FD" w14:paraId="7D884836" w14:textId="46EAE14F">
      <w:pPr>
        <w:pStyle w:val="Heading2"/>
        <w:rPr>
          <w:rFonts w:ascii="Calibri Light" w:hAnsi="Calibri Light" w:eastAsia="" w:cs=""/>
          <w:color w:val="2F5496" w:themeColor="accent1" w:themeTint="FF" w:themeShade="BF"/>
          <w:sz w:val="26"/>
          <w:szCs w:val="26"/>
        </w:rPr>
      </w:pPr>
      <w:r w:rsidR="57077BBE">
        <w:rPr/>
        <w:t>Zonage réglementaire</w:t>
      </w:r>
    </w:p>
    <w:p w:rsidR="498DC204" w:rsidP="55FB10CD" w:rsidRDefault="498DC204" w14:paraId="030B0A1B" w14:textId="4CB2889C">
      <w:pPr>
        <w:pStyle w:val="Normal"/>
        <w:rPr>
          <w:i w:val="1"/>
          <w:iCs w:val="1"/>
        </w:rPr>
      </w:pPr>
      <w:r w:rsidRPr="55FB10CD" w:rsidR="498DC204">
        <w:rPr>
          <w:i w:val="1"/>
          <w:iCs w:val="1"/>
        </w:rPr>
        <w:t xml:space="preserve">PPR(N-T) : </w:t>
      </w:r>
      <w:r w:rsidRPr="55FB10CD" w:rsidR="0F603C45">
        <w:rPr>
          <w:i w:val="1"/>
          <w:iCs w:val="1"/>
        </w:rPr>
        <w:t>“</w:t>
      </w:r>
      <w:r w:rsidRPr="55FB10CD" w:rsidR="73F80075">
        <w:rPr>
          <w:i w:val="1"/>
          <w:iCs w:val="1"/>
        </w:rPr>
        <w:t>Zones réglementées figurant sur le plan de zonage du PPR</w:t>
      </w:r>
      <w:r w:rsidRPr="55FB10CD" w:rsidR="059C5BA4">
        <w:rPr>
          <w:i w:val="1"/>
          <w:iCs w:val="1"/>
        </w:rPr>
        <w:t>”</w:t>
      </w:r>
      <w:r w:rsidRPr="55FB10CD" w:rsidR="4AF6611A">
        <w:rPr>
          <w:i w:val="1"/>
          <w:iCs w:val="1"/>
        </w:rPr>
        <w:t xml:space="preserve"> - “</w:t>
      </w:r>
      <w:r w:rsidRPr="55FB10CD" w:rsidR="1466C49E">
        <w:rPr>
          <w:i w:val="1"/>
          <w:iCs w:val="1"/>
        </w:rPr>
        <w:t>Pour les PPR naturels, le code de l'environnement définit deux catégories de zones (L562-1) : les zones exposées aux risques et les zones qui ne sont pas directement exposées aux risques mais sur lesquelles des mesures peuvent être prévues pour éviter d'aggraver le risque.”</w:t>
      </w:r>
    </w:p>
    <w:p w:rsidR="68F57CD5" w:rsidP="55FB10CD" w:rsidRDefault="68F57CD5" w14:paraId="6D380A30" w14:textId="59F39923">
      <w:pPr>
        <w:pStyle w:val="Normal"/>
        <w:rPr>
          <w:i w:val="1"/>
          <w:iCs w:val="1"/>
        </w:rPr>
      </w:pPr>
      <w:r w:rsidRPr="55FB10CD" w:rsidR="68F57CD5">
        <w:rPr>
          <w:i w:val="1"/>
          <w:iCs w:val="1"/>
        </w:rPr>
        <w:t>L’article L.562-4 du code de l’environnement précise que le PPR approuvé vaut servitude d’utilité publique (SUP) et est opposable aux tiers. Il devra être annexé au document d’urbanisme de la commune, conformément à l’article L.126-1 du code de l’urbanisme. En présence de mesures de portée différente entre les PPR et le document d’urbanisme, les dispositions les plus contraignantes s’appliquent.</w:t>
      </w:r>
      <w:r w:rsidRPr="55FB10CD" w:rsidR="6113FDFE">
        <w:rPr>
          <w:i w:val="1"/>
          <w:iCs w:val="1"/>
        </w:rPr>
        <w:t xml:space="preserve"> Et permettent de définir des types de zonages en fonction des </w:t>
      </w:r>
      <w:proofErr w:type="gramStart"/>
      <w:r w:rsidRPr="55FB10CD" w:rsidR="6113FDFE">
        <w:rPr>
          <w:i w:val="1"/>
          <w:iCs w:val="1"/>
        </w:rPr>
        <w:t>aléas(</w:t>
      </w:r>
      <w:proofErr w:type="gramEnd"/>
      <w:r w:rsidRPr="55FB10CD" w:rsidR="6113FDFE">
        <w:rPr>
          <w:i w:val="1"/>
          <w:iCs w:val="1"/>
        </w:rPr>
        <w:t>3)</w:t>
      </w:r>
    </w:p>
    <w:p w:rsidR="79FEFC65" w:rsidP="22199BEA" w:rsidRDefault="79FEFC65" w14:paraId="72F33515" w14:textId="3F41B0C3">
      <w:pPr>
        <w:pStyle w:val="Normal"/>
        <w:rPr>
          <w:highlight w:val="yellow"/>
        </w:rPr>
      </w:pPr>
      <w:r w:rsidRPr="55FB10CD" w:rsidR="79FEFC65">
        <w:rPr>
          <w:highlight w:val="yellow"/>
        </w:rPr>
        <w:t xml:space="preserve">Qu’entend-on par “Zonage réglementaire” comme concept commun aux </w:t>
      </w:r>
      <w:proofErr w:type="spellStart"/>
      <w:r w:rsidRPr="55FB10CD" w:rsidR="79FEFC65">
        <w:rPr>
          <w:highlight w:val="yellow"/>
        </w:rPr>
        <w:t>Géostandards</w:t>
      </w:r>
      <w:proofErr w:type="spellEnd"/>
      <w:r w:rsidRPr="55FB10CD" w:rsidR="79FEFC65">
        <w:rPr>
          <w:highlight w:val="yellow"/>
        </w:rPr>
        <w:t xml:space="preserve"> risques ? </w:t>
      </w:r>
      <w:r w:rsidRPr="55FB10CD" w:rsidR="79FEFC65">
        <w:rPr>
          <w:highlight w:val="yellow"/>
        </w:rPr>
        <w:t>Différen</w:t>
      </w:r>
      <w:r w:rsidRPr="55FB10CD" w:rsidR="4D8CA67A">
        <w:rPr>
          <w:highlight w:val="yellow"/>
        </w:rPr>
        <w:t>ci</w:t>
      </w:r>
      <w:r w:rsidRPr="55FB10CD" w:rsidR="79FEFC65">
        <w:rPr>
          <w:highlight w:val="yellow"/>
        </w:rPr>
        <w:t>ati</w:t>
      </w:r>
      <w:r w:rsidRPr="55FB10CD" w:rsidR="17929E01">
        <w:rPr>
          <w:highlight w:val="yellow"/>
        </w:rPr>
        <w:t>on</w:t>
      </w:r>
      <w:r w:rsidRPr="55FB10CD" w:rsidR="79FEFC65">
        <w:rPr>
          <w:highlight w:val="yellow"/>
        </w:rPr>
        <w:t xml:space="preserve"> par rapport </w:t>
      </w:r>
      <w:r w:rsidRPr="55FB10CD" w:rsidR="18FB8C70">
        <w:rPr>
          <w:highlight w:val="yellow"/>
        </w:rPr>
        <w:t>à la notion précédente de</w:t>
      </w:r>
      <w:r w:rsidRPr="55FB10CD" w:rsidR="79FEFC65">
        <w:rPr>
          <w:highlight w:val="yellow"/>
        </w:rPr>
        <w:t xml:space="preserve"> Périmètre ?</w:t>
      </w:r>
      <w:r w:rsidRPr="55FB10CD" w:rsidR="003AEC7D">
        <w:rPr>
          <w:highlight w:val="yellow"/>
        </w:rPr>
        <w:t xml:space="preserve"> </w:t>
      </w:r>
      <w:r w:rsidRPr="55FB10CD" w:rsidR="003AEC7D">
        <w:rPr>
          <w:highlight w:val="yellow"/>
        </w:rPr>
        <w:t xml:space="preserve"> </w:t>
      </w:r>
    </w:p>
    <w:p w:rsidR="2E5C64FD" w:rsidP="2F547E0E" w:rsidRDefault="2E5C64FD" w14:paraId="0EBD4116" w14:textId="0AD8D631">
      <w:pPr>
        <w:pStyle w:val="Heading2"/>
        <w:rPr>
          <w:rFonts w:ascii="Calibri Light" w:hAnsi="Calibri Light" w:eastAsia="" w:cs=""/>
          <w:color w:val="2F5496" w:themeColor="accent1" w:themeTint="FF" w:themeShade="BF"/>
          <w:sz w:val="26"/>
          <w:szCs w:val="26"/>
        </w:rPr>
      </w:pPr>
      <w:r w:rsidR="2E5C64FD">
        <w:rPr/>
        <w:t>Informations Administratives</w:t>
      </w:r>
    </w:p>
    <w:p w:rsidR="09A5F435" w:rsidP="210FE35B" w:rsidRDefault="09A5F435" w14:paraId="0EAB3C6D" w14:textId="28B95BB8">
      <w:pPr>
        <w:pStyle w:val="Normal"/>
      </w:pPr>
      <w:r w:rsidR="09A5F435">
        <w:rPr/>
        <w:t>Référentiel administratif : Cadastre</w:t>
      </w:r>
      <w:r w:rsidR="335F42A8">
        <w:rPr/>
        <w:t xml:space="preserve"> (par exemple : PCI)</w:t>
      </w:r>
      <w:r w:rsidR="09A5F435">
        <w:rPr/>
        <w:t>, Communes</w:t>
      </w:r>
    </w:p>
    <w:p w:rsidR="2F547E0E" w:rsidP="22199BEA" w:rsidRDefault="2F547E0E" w14:paraId="2615A925" w14:textId="5D5FD5B4">
      <w:pPr>
        <w:pStyle w:val="Normal"/>
        <w:rPr>
          <w:highlight w:val="yellow"/>
        </w:rPr>
      </w:pPr>
      <w:r w:rsidRPr="22199BEA" w:rsidR="5766561A">
        <w:rPr>
          <w:highlight w:val="yellow"/>
        </w:rPr>
        <w:t>Les procédures d'élaboration, de révision ou de modification des PPR en cours.</w:t>
      </w:r>
      <w:r w:rsidRPr="22199BEA" w:rsidR="1213EFEE">
        <w:rPr>
          <w:highlight w:val="yellow"/>
        </w:rPr>
        <w:t xml:space="preserve"> ?</w:t>
      </w:r>
    </w:p>
    <w:p w:rsidR="3B741D29" w:rsidP="1EBA7B9A" w:rsidRDefault="3B741D29" w14:paraId="21D41EA3" w14:textId="68817BAE">
      <w:pPr>
        <w:pStyle w:val="Normal"/>
      </w:pPr>
      <w:r w:rsidRPr="22199BEA" w:rsidR="3B741D29">
        <w:rPr>
          <w:highlight w:val="yellow"/>
        </w:rPr>
        <w:t>Etudes de caractérisation de l’aléa, enjeux et risque</w:t>
      </w:r>
      <w:r w:rsidRPr="22199BEA" w:rsidR="3B741D29">
        <w:rPr>
          <w:highlight w:val="yellow"/>
        </w:rPr>
        <w:t>s.</w:t>
      </w:r>
      <w:r w:rsidRPr="22199BEA" w:rsidR="47321AAA">
        <w:rPr>
          <w:highlight w:val="yellow"/>
        </w:rPr>
        <w:t xml:space="preserve"> ?</w:t>
      </w:r>
    </w:p>
    <w:p w:rsidR="143069CD" w:rsidP="143069CD" w:rsidRDefault="143069CD" w14:paraId="28DE8D8A" w14:textId="709C6CCD">
      <w:pPr>
        <w:pStyle w:val="Normal"/>
      </w:pPr>
    </w:p>
    <w:p w:rsidR="2E5C64FD" w:rsidP="2F547E0E" w:rsidRDefault="2E5C64FD" w14:paraId="41B8973F" w14:textId="1A532677">
      <w:pPr>
        <w:pStyle w:val="Heading2"/>
        <w:rPr>
          <w:rFonts w:ascii="Calibri Light" w:hAnsi="Calibri Light" w:eastAsia="" w:cs=""/>
          <w:color w:val="2F5496" w:themeColor="accent1" w:themeTint="FF" w:themeShade="BF"/>
          <w:sz w:val="26"/>
          <w:szCs w:val="26"/>
        </w:rPr>
      </w:pPr>
      <w:r w:rsidR="2E5C64FD">
        <w:rPr/>
        <w:t>Documents annexes à diffuser</w:t>
      </w:r>
    </w:p>
    <w:p w:rsidR="2F547E0E" w:rsidP="22199BEA" w:rsidRDefault="2F547E0E" w14:paraId="650D28A9" w14:textId="2A7D5E26">
      <w:pPr>
        <w:pStyle w:val="Normal"/>
        <w:rPr>
          <w:highlight w:val="yellow"/>
        </w:rPr>
      </w:pPr>
      <w:r w:rsidRPr="22199BEA" w:rsidR="6B2D91BC">
        <w:rPr>
          <w:highlight w:val="yellow"/>
        </w:rPr>
        <w:t xml:space="preserve">Classes </w:t>
      </w:r>
      <w:r w:rsidRPr="22199BEA" w:rsidR="1C5B66A9">
        <w:rPr>
          <w:highlight w:val="yellow"/>
        </w:rPr>
        <w:t>Documents PPR (N</w:t>
      </w:r>
      <w:r w:rsidRPr="22199BEA" w:rsidR="52EF9ADA">
        <w:rPr>
          <w:highlight w:val="yellow"/>
        </w:rPr>
        <w:t>-</w:t>
      </w:r>
      <w:r w:rsidRPr="22199BEA" w:rsidR="1C5B66A9">
        <w:rPr>
          <w:highlight w:val="yellow"/>
        </w:rPr>
        <w:t>T</w:t>
      </w:r>
      <w:r w:rsidRPr="22199BEA" w:rsidR="52EF9ADA">
        <w:rPr>
          <w:highlight w:val="yellow"/>
        </w:rPr>
        <w:t>-</w:t>
      </w:r>
      <w:r w:rsidRPr="22199BEA" w:rsidR="201AC57B">
        <w:rPr>
          <w:highlight w:val="yellow"/>
        </w:rPr>
        <w:t>M</w:t>
      </w:r>
      <w:r w:rsidRPr="22199BEA" w:rsidR="1C5B66A9">
        <w:rPr>
          <w:highlight w:val="yellow"/>
        </w:rPr>
        <w:t xml:space="preserve">) </w:t>
      </w:r>
      <w:r w:rsidRPr="22199BEA" w:rsidR="3BC5130F">
        <w:rPr>
          <w:highlight w:val="yellow"/>
        </w:rPr>
        <w:t>+</w:t>
      </w:r>
      <w:r w:rsidR="3BC5130F">
        <w:rPr/>
        <w:t xml:space="preserve"> </w:t>
      </w:r>
    </w:p>
    <w:p w:rsidR="2F547E0E" w:rsidP="22199BEA" w:rsidRDefault="2F547E0E" w14:paraId="0B491D04" w14:textId="57B43776">
      <w:pPr>
        <w:pStyle w:val="Normal"/>
        <w:rPr>
          <w:highlight w:val="yellow"/>
        </w:rPr>
      </w:pPr>
      <w:r w:rsidRPr="22199BEA" w:rsidR="1B4C301A">
        <w:rPr>
          <w:highlight w:val="yellow"/>
        </w:rPr>
        <w:t xml:space="preserve">+ </w:t>
      </w:r>
      <w:r w:rsidRPr="22199BEA" w:rsidR="71942820">
        <w:rPr>
          <w:highlight w:val="yellow"/>
        </w:rPr>
        <w:t>référence à d’</w:t>
      </w:r>
      <w:r w:rsidRPr="22199BEA" w:rsidR="1C5B66A9">
        <w:rPr>
          <w:highlight w:val="yellow"/>
        </w:rPr>
        <w:t xml:space="preserve">autres </w:t>
      </w:r>
      <w:r w:rsidRPr="22199BEA" w:rsidR="22CBCF10">
        <w:rPr>
          <w:highlight w:val="yellow"/>
        </w:rPr>
        <w:t xml:space="preserve">documents d’accompagnement </w:t>
      </w:r>
      <w:r w:rsidRPr="22199BEA" w:rsidR="4423CC96">
        <w:rPr>
          <w:highlight w:val="yellow"/>
        </w:rPr>
        <w:t xml:space="preserve">le cas échéant </w:t>
      </w:r>
      <w:r w:rsidRPr="22199BEA" w:rsidR="1C5B66A9">
        <w:rPr>
          <w:highlight w:val="yellow"/>
        </w:rPr>
        <w:t>?</w:t>
      </w:r>
    </w:p>
    <w:p w:rsidR="3591B8E7" w:rsidP="22199BEA" w:rsidRDefault="3591B8E7" w14:paraId="4ED133C0" w14:textId="19E52612">
      <w:pPr>
        <w:pStyle w:val="ListParagraph"/>
        <w:numPr>
          <w:ilvl w:val="0"/>
          <w:numId w:val="4"/>
        </w:numPr>
        <w:rPr>
          <w:rFonts w:ascii="Calibri" w:hAnsi="Calibri" w:eastAsia="Calibri" w:cs="Calibri" w:asciiTheme="minorAscii" w:hAnsiTheme="minorAscii" w:eastAsiaTheme="minorAscii" w:cstheme="minorAscii"/>
          <w:sz w:val="22"/>
          <w:szCs w:val="22"/>
          <w:highlight w:val="yellow"/>
        </w:rPr>
      </w:pPr>
      <w:r w:rsidRPr="22199BEA" w:rsidR="3591B8E7">
        <w:rPr>
          <w:highlight w:val="yellow"/>
        </w:rPr>
        <w:t>PLU</w:t>
      </w:r>
      <w:r w:rsidR="3591B8E7">
        <w:rPr/>
        <w:t xml:space="preserve"> </w:t>
      </w:r>
    </w:p>
    <w:p w:rsidR="532B73CB" w:rsidP="22199BEA" w:rsidRDefault="532B73CB" w14:paraId="7D8D5C5A" w14:textId="2E26DFBB">
      <w:pPr>
        <w:pStyle w:val="ListParagraph"/>
        <w:numPr>
          <w:ilvl w:val="0"/>
          <w:numId w:val="5"/>
        </w:numPr>
        <w:rPr>
          <w:rFonts w:ascii="Calibri" w:hAnsi="Calibri" w:eastAsia="Calibri" w:cs="Calibri" w:asciiTheme="minorAscii" w:hAnsiTheme="minorAscii" w:eastAsiaTheme="minorAscii" w:cstheme="minorAscii"/>
          <w:sz w:val="22"/>
          <w:szCs w:val="22"/>
          <w:highlight w:val="yellow"/>
        </w:rPr>
      </w:pPr>
      <w:r w:rsidRPr="22199BEA" w:rsidR="532B73CB">
        <w:rPr>
          <w:highlight w:val="yellow"/>
        </w:rPr>
        <w:t>DTA : Directive territoriale d’aménagement</w:t>
      </w:r>
      <w:r w:rsidR="532B73CB">
        <w:rPr/>
        <w:t xml:space="preserve"> </w:t>
      </w:r>
    </w:p>
    <w:p w:rsidR="7CA5D7B3" w:rsidP="22199BEA" w:rsidRDefault="7CA5D7B3" w14:paraId="7D0F9790" w14:textId="1A3E2979">
      <w:pPr>
        <w:pStyle w:val="ListParagraph"/>
        <w:numPr>
          <w:ilvl w:val="0"/>
          <w:numId w:val="6"/>
        </w:numPr>
        <w:rPr>
          <w:rFonts w:ascii="Calibri" w:hAnsi="Calibri" w:eastAsia="Calibri" w:cs="Calibri" w:asciiTheme="minorAscii" w:hAnsiTheme="minorAscii" w:eastAsiaTheme="minorAscii" w:cstheme="minorAscii"/>
          <w:sz w:val="22"/>
          <w:szCs w:val="22"/>
          <w:highlight w:val="yellow"/>
        </w:rPr>
      </w:pPr>
      <w:r w:rsidRPr="22199BEA" w:rsidR="7CA5D7B3">
        <w:rPr>
          <w:highlight w:val="yellow"/>
        </w:rPr>
        <w:t>S.C.O.T : schéma de cohérence territoriale</w:t>
      </w:r>
    </w:p>
    <w:p w:rsidR="7CA5D7B3" w:rsidP="22199BEA" w:rsidRDefault="7CA5D7B3" w14:paraId="0DC692B2" w14:textId="5BB0AC53">
      <w:pPr>
        <w:pStyle w:val="ListParagraph"/>
        <w:numPr>
          <w:ilvl w:val="0"/>
          <w:numId w:val="6"/>
        </w:numPr>
        <w:rPr>
          <w:sz w:val="22"/>
          <w:szCs w:val="22"/>
          <w:highlight w:val="yellow"/>
        </w:rPr>
      </w:pPr>
      <w:r w:rsidRPr="22199BEA" w:rsidR="7CA5D7B3">
        <w:rPr>
          <w:highlight w:val="yellow"/>
        </w:rPr>
        <w:t>C.C : carte communale</w:t>
      </w:r>
    </w:p>
    <w:p w:rsidR="4C3F64B1" w:rsidP="22199BEA" w:rsidRDefault="4C3F64B1" w14:paraId="10EDADA5" w14:textId="426990BB">
      <w:pPr>
        <w:pStyle w:val="Normal"/>
        <w:ind w:left="0"/>
        <w:rPr>
          <w:highlight w:val="yellow"/>
        </w:rPr>
      </w:pPr>
      <w:r w:rsidRPr="22199BEA" w:rsidR="4C3F64B1">
        <w:rPr>
          <w:highlight w:val="yellow"/>
        </w:rPr>
        <w:t>TRI : Cartes surfaces inondables / risques inondations ?</w:t>
      </w:r>
    </w:p>
    <w:p w:rsidR="143069CD" w:rsidP="143069CD" w:rsidRDefault="143069CD" w14:paraId="0D320DA8" w14:textId="1654482A">
      <w:pPr>
        <w:pStyle w:val="Normal"/>
      </w:pPr>
    </w:p>
    <w:p w:rsidR="2E5C64FD" w:rsidP="2F547E0E" w:rsidRDefault="2E5C64FD" w14:paraId="42385ABA" w14:textId="19BDB025">
      <w:pPr>
        <w:pStyle w:val="Heading2"/>
        <w:rPr>
          <w:rFonts w:ascii="Calibri Light" w:hAnsi="Calibri Light" w:eastAsia="" w:cs=""/>
          <w:color w:val="2F5496" w:themeColor="accent1" w:themeTint="FF" w:themeShade="BF"/>
          <w:sz w:val="26"/>
          <w:szCs w:val="26"/>
        </w:rPr>
      </w:pPr>
      <w:r w:rsidR="2E5C64FD">
        <w:rPr/>
        <w:t>Aléas</w:t>
      </w:r>
    </w:p>
    <w:p w:rsidR="2F547E0E" w:rsidP="55FB10CD" w:rsidRDefault="2F547E0E" w14:paraId="67B08E2D" w14:textId="7235D80B">
      <w:pPr>
        <w:pStyle w:val="Normal"/>
        <w:rPr>
          <w:i w:val="1"/>
          <w:iCs w:val="1"/>
        </w:rPr>
      </w:pPr>
      <w:r w:rsidRPr="55FB10CD" w:rsidR="66D6B4F1">
        <w:rPr>
          <w:i w:val="1"/>
          <w:iCs w:val="1"/>
        </w:rPr>
        <w:t>Description des risques et de leur intensité</w:t>
      </w:r>
      <w:r w:rsidRPr="55FB10CD" w:rsidR="35145205">
        <w:rPr>
          <w:i w:val="1"/>
          <w:iCs w:val="1"/>
        </w:rPr>
        <w:t xml:space="preserve"> : Cartes d’Aléas - Zones d’Aléas</w:t>
      </w:r>
    </w:p>
    <w:p w:rsidR="210FE35B" w:rsidP="55FB10CD" w:rsidRDefault="210FE35B" w14:paraId="55628972" w14:textId="18E69041">
      <w:pPr>
        <w:pStyle w:val="Normal"/>
        <w:rPr>
          <w:i w:val="1"/>
          <w:iCs w:val="1"/>
        </w:rPr>
      </w:pPr>
      <w:r w:rsidRPr="55FB10CD" w:rsidR="547442FC">
        <w:rPr>
          <w:b w:val="1"/>
          <w:bCs w:val="1"/>
          <w:i w:val="1"/>
          <w:iCs w:val="1"/>
        </w:rPr>
        <w:t xml:space="preserve">PPR </w:t>
      </w:r>
      <w:r w:rsidRPr="55FB10CD" w:rsidR="547442FC">
        <w:rPr>
          <w:i w:val="1"/>
          <w:iCs w:val="1"/>
        </w:rPr>
        <w:t xml:space="preserve">: </w:t>
      </w:r>
      <w:r w:rsidRPr="55FB10CD" w:rsidR="16B21C49">
        <w:rPr>
          <w:i w:val="1"/>
          <w:iCs w:val="1"/>
        </w:rPr>
        <w:t xml:space="preserve">Les aléas à l'origine du risque figurent dans des documents d'aléas qui peuvent être </w:t>
      </w:r>
      <w:r w:rsidRPr="55FB10CD" w:rsidR="16B21C49">
        <w:rPr>
          <w:i w:val="1"/>
          <w:iCs w:val="1"/>
        </w:rPr>
        <w:t xml:space="preserve">insérés dans le rapport de présentation ou annexés au PPR. Ces documents servent à </w:t>
      </w:r>
      <w:r w:rsidRPr="55FB10CD" w:rsidR="16B21C49">
        <w:rPr>
          <w:i w:val="1"/>
          <w:iCs w:val="1"/>
        </w:rPr>
        <w:t>cartographier les différents niveaux d'intensité de chaque aléa pris en compte dans le</w:t>
      </w:r>
      <w:r w:rsidRPr="55FB10CD" w:rsidR="4758F6B1">
        <w:rPr>
          <w:i w:val="1"/>
          <w:iCs w:val="1"/>
        </w:rPr>
        <w:t xml:space="preserve"> </w:t>
      </w:r>
      <w:r w:rsidRPr="55FB10CD" w:rsidR="16B21C49">
        <w:rPr>
          <w:i w:val="1"/>
          <w:iCs w:val="1"/>
        </w:rPr>
        <w:t>plan</w:t>
      </w:r>
      <w:r w:rsidRPr="55FB10CD" w:rsidR="16B21C49">
        <w:rPr>
          <w:i w:val="1"/>
          <w:iCs w:val="1"/>
        </w:rPr>
        <w:t xml:space="preserve"> de prévention des risques.</w:t>
      </w:r>
    </w:p>
    <w:p w:rsidR="5B9E902E" w:rsidP="55FB10CD" w:rsidRDefault="5B9E902E" w14:paraId="53AA64E6" w14:textId="1B370EF8">
      <w:pPr>
        <w:pStyle w:val="Normal"/>
        <w:rPr>
          <w:b w:val="1"/>
          <w:bCs w:val="1"/>
          <w:i w:val="1"/>
          <w:iCs w:val="1"/>
        </w:rPr>
      </w:pPr>
      <w:r w:rsidRPr="55FB10CD" w:rsidR="5B9E902E">
        <w:rPr>
          <w:b w:val="1"/>
          <w:bCs w:val="1"/>
          <w:i w:val="1"/>
          <w:iCs w:val="1"/>
        </w:rPr>
        <w:t xml:space="preserve">DI/TRI : </w:t>
      </w:r>
      <w:r w:rsidRPr="55FB10CD" w:rsidR="0F0F8D94">
        <w:rPr>
          <w:b w:val="1"/>
          <w:bCs w:val="1"/>
          <w:i w:val="1"/>
          <w:iCs w:val="1"/>
        </w:rPr>
        <w:t xml:space="preserve"> </w:t>
      </w:r>
      <w:r w:rsidRPr="55FB10CD" w:rsidR="5B9E902E">
        <w:rPr>
          <w:i w:val="1"/>
          <w:iCs w:val="1"/>
        </w:rPr>
        <w:t>Quatre aléas d’inondation que sont les débordements, de cours d’eau, le ruissellement, la submersion marine et les débordements des eaux souterraines (ou remontées de nappes) étudiés selon trois niveaux d’événement qualifiés de scénarios de probabilité forte, moyenne et faible.</w:t>
      </w:r>
      <w:r w:rsidRPr="55FB10CD" w:rsidR="26318650">
        <w:rPr>
          <w:i w:val="1"/>
          <w:iCs w:val="1"/>
        </w:rPr>
        <w:t xml:space="preserve"> </w:t>
      </w:r>
      <w:r w:rsidRPr="55FB10CD" w:rsidR="5B9E902E">
        <w:rPr>
          <w:i w:val="1"/>
          <w:iCs w:val="1"/>
        </w:rPr>
        <w:t>La représentation des aléas d’inondation se fait au moyen de surfaces inondables calculées pour chaque scénario.</w:t>
      </w:r>
    </w:p>
    <w:p w:rsidR="5BB99F80" w:rsidP="22199BEA" w:rsidRDefault="5BB99F80" w14:paraId="587A0221" w14:textId="35BF6D34">
      <w:pPr>
        <w:pStyle w:val="Normal"/>
        <w:rPr>
          <w:highlight w:val="yellow"/>
        </w:rPr>
      </w:pPr>
      <w:r w:rsidRPr="22199BEA" w:rsidR="5BB99F80">
        <w:rPr>
          <w:highlight w:val="yellow"/>
        </w:rPr>
        <w:t>Définition générale ?</w:t>
      </w:r>
    </w:p>
    <w:p w:rsidR="22199BEA" w:rsidP="22199BEA" w:rsidRDefault="22199BEA" w14:paraId="4F165330" w14:textId="413F7AB4">
      <w:pPr>
        <w:pStyle w:val="Normal"/>
      </w:pPr>
    </w:p>
    <w:p w:rsidR="2E5C64FD" w:rsidP="2F547E0E" w:rsidRDefault="2E5C64FD" w14:paraId="5C674F7D" w14:textId="1F91EF2E">
      <w:pPr>
        <w:pStyle w:val="Heading2"/>
        <w:rPr>
          <w:rFonts w:ascii="Calibri Light" w:hAnsi="Calibri Light" w:eastAsia="" w:cs=""/>
          <w:color w:val="2F5496" w:themeColor="accent1" w:themeTint="FF" w:themeShade="BF"/>
          <w:sz w:val="26"/>
          <w:szCs w:val="26"/>
        </w:rPr>
      </w:pPr>
      <w:r w:rsidR="2E5C64FD">
        <w:rPr/>
        <w:t>Enjeux</w:t>
      </w:r>
    </w:p>
    <w:p w:rsidR="2F547E0E" w:rsidP="55FB10CD" w:rsidRDefault="2F547E0E" w14:paraId="40A3DB22" w14:textId="58004CC4">
      <w:pPr>
        <w:pStyle w:val="Normal"/>
        <w:rPr>
          <w:i w:val="1"/>
          <w:iCs w:val="1"/>
        </w:rPr>
      </w:pPr>
      <w:r w:rsidRPr="55FB10CD" w:rsidR="22F5F528">
        <w:rPr>
          <w:b w:val="1"/>
          <w:bCs w:val="1"/>
          <w:i w:val="1"/>
          <w:iCs w:val="1"/>
        </w:rPr>
        <w:t>PPR(N-T)</w:t>
      </w:r>
      <w:r w:rsidRPr="55FB10CD" w:rsidR="22F5F528">
        <w:rPr>
          <w:i w:val="1"/>
          <w:iCs w:val="1"/>
        </w:rPr>
        <w:t xml:space="preserve"> :  </w:t>
      </w:r>
      <w:r w:rsidRPr="55FB10CD" w:rsidR="22F5F528">
        <w:rPr>
          <w:i w:val="1"/>
          <w:iCs w:val="1"/>
        </w:rPr>
        <w:t>“</w:t>
      </w:r>
      <w:r w:rsidRPr="55FB10CD" w:rsidR="17B51F9F">
        <w:rPr>
          <w:i w:val="1"/>
          <w:iCs w:val="1"/>
        </w:rPr>
        <w:t>Enje</w:t>
      </w:r>
      <w:r w:rsidRPr="55FB10CD" w:rsidR="17B51F9F">
        <w:rPr>
          <w:i w:val="1"/>
          <w:iCs w:val="1"/>
        </w:rPr>
        <w:t>ux identifiés au moment de l'analyse du risque</w:t>
      </w:r>
      <w:r w:rsidRPr="55FB10CD" w:rsidR="0FE59FD0">
        <w:rPr>
          <w:i w:val="1"/>
          <w:iCs w:val="1"/>
        </w:rPr>
        <w:t>”</w:t>
      </w:r>
      <w:r w:rsidRPr="55FB10CD" w:rsidR="730A17AA">
        <w:rPr>
          <w:i w:val="1"/>
          <w:iCs w:val="1"/>
        </w:rPr>
        <w:t xml:space="preserve"> - “</w:t>
      </w:r>
      <w:r w:rsidRPr="55FB10CD" w:rsidR="730A17AA">
        <w:rPr>
          <w:i w:val="1"/>
          <w:iCs w:val="1"/>
        </w:rPr>
        <w:t>De manière générale, les enjeux sont les personnes, biens, activités, éléments de patrimoine culturel ou environnemental, menacés par un aléa et susceptibles d'être affectés ou endommagés par celui-ci. La sensibilité d'un enjeu à un aléa est nommée « vulnérabilité ».”</w:t>
      </w:r>
    </w:p>
    <w:p w:rsidR="08B41180" w:rsidP="55FB10CD" w:rsidRDefault="08B41180" w14:paraId="39266EDA" w14:textId="6E5D87E1">
      <w:pPr>
        <w:pStyle w:val="Normal"/>
        <w:rPr>
          <w:i w:val="1"/>
          <w:iCs w:val="1"/>
        </w:rPr>
      </w:pPr>
      <w:r w:rsidRPr="55FB10CD" w:rsidR="08B41180">
        <w:rPr>
          <w:i w:val="1"/>
          <w:iCs w:val="1"/>
        </w:rPr>
        <w:t>Caractérisation de l’occupation du sol actuelle et future (projets d’aménagements + règlement définissant l’occupation des sols et donnant des mesures de prévention du risque).</w:t>
      </w:r>
    </w:p>
    <w:p w:rsidR="31E5A1FC" w:rsidP="22199BEA" w:rsidRDefault="31E5A1FC" w14:paraId="2529D14B" w14:textId="35BF6D34">
      <w:pPr>
        <w:pStyle w:val="Normal"/>
        <w:rPr>
          <w:highlight w:val="yellow"/>
        </w:rPr>
      </w:pPr>
      <w:r w:rsidRPr="22199BEA" w:rsidR="5AFBFFCA">
        <w:rPr>
          <w:highlight w:val="yellow"/>
        </w:rPr>
        <w:t>Définition générale ?</w:t>
      </w:r>
    </w:p>
    <w:p w:rsidR="31E5A1FC" w:rsidP="31E5A1FC" w:rsidRDefault="31E5A1FC" w14:paraId="51108833" w14:textId="595FF32B">
      <w:pPr>
        <w:pStyle w:val="Normal"/>
      </w:pPr>
    </w:p>
    <w:p w:rsidR="2E5C64FD" w:rsidP="2F547E0E" w:rsidRDefault="2E5C64FD" w14:paraId="2EBA6F6F" w14:textId="4ECFA388">
      <w:pPr>
        <w:pStyle w:val="Heading1"/>
        <w:rPr>
          <w:rFonts w:ascii="Calibri Light" w:hAnsi="Calibri Light" w:eastAsia="" w:cs=""/>
          <w:color w:val="2F5496" w:themeColor="accent1" w:themeTint="FF" w:themeShade="BF"/>
          <w:sz w:val="32"/>
          <w:szCs w:val="32"/>
        </w:rPr>
      </w:pPr>
      <w:r w:rsidR="617B8742">
        <w:rPr/>
        <w:t xml:space="preserve">2. </w:t>
      </w:r>
      <w:r w:rsidR="2E5C64FD">
        <w:rPr/>
        <w:t>Ventilation des classes</w:t>
      </w:r>
    </w:p>
    <w:p w:rsidR="68A91267" w:rsidP="55FB10CD" w:rsidRDefault="68A91267" w14:paraId="666EB9EF" w14:textId="27AB4F49">
      <w:pPr>
        <w:pStyle w:val="Normal"/>
        <w:rPr>
          <w:b w:val="1"/>
          <w:bCs w:val="1"/>
        </w:rPr>
      </w:pPr>
      <w:r w:rsidRPr="55FB10CD" w:rsidR="6BA617F3">
        <w:rPr>
          <w:b w:val="1"/>
          <w:bCs w:val="1"/>
        </w:rPr>
        <w:t>Travail collectif sur l</w:t>
      </w:r>
      <w:r w:rsidRPr="55FB10CD" w:rsidR="5B49A20A">
        <w:rPr>
          <w:b w:val="1"/>
          <w:bCs w:val="1"/>
        </w:rPr>
        <w:t>’espace de travail</w:t>
      </w:r>
      <w:r w:rsidRPr="55FB10CD" w:rsidR="68A91267">
        <w:rPr>
          <w:b w:val="1"/>
          <w:bCs w:val="1"/>
        </w:rPr>
        <w:t xml:space="preserve"> </w:t>
      </w:r>
      <w:r w:rsidRPr="55FB10CD" w:rsidR="1B2F3B0D">
        <w:rPr>
          <w:b w:val="1"/>
          <w:bCs w:val="1"/>
        </w:rPr>
        <w:t>“</w:t>
      </w:r>
      <w:r w:rsidRPr="55FB10CD" w:rsidR="68A91267">
        <w:rPr>
          <w:b w:val="1"/>
          <w:bCs w:val="1"/>
        </w:rPr>
        <w:t>Mural</w:t>
      </w:r>
      <w:r w:rsidRPr="55FB10CD" w:rsidR="376FC3DB">
        <w:rPr>
          <w:b w:val="1"/>
          <w:bCs w:val="1"/>
        </w:rPr>
        <w:t>”</w:t>
      </w:r>
      <w:r w:rsidRPr="55FB10CD" w:rsidR="572A7899">
        <w:rPr>
          <w:b w:val="1"/>
          <w:bCs w:val="1"/>
        </w:rPr>
        <w:t xml:space="preserve"> suivant </w:t>
      </w:r>
      <w:r w:rsidRPr="55FB10CD" w:rsidR="68A91267">
        <w:rPr>
          <w:b w:val="1"/>
          <w:bCs w:val="1"/>
        </w:rPr>
        <w:t>:</w:t>
      </w:r>
    </w:p>
    <w:p w:rsidR="68A91267" w:rsidP="2F547E0E" w:rsidRDefault="68A91267" w14:paraId="2BCCCB61" w14:textId="682F173D">
      <w:pPr>
        <w:pStyle w:val="Normal"/>
      </w:pPr>
      <w:r w:rsidR="68A91267">
        <w:rPr/>
        <w:t xml:space="preserve"> </w:t>
      </w:r>
      <w:hyperlink r:id="R12984208ad8045b1">
        <w:r w:rsidRPr="569478CC" w:rsidR="45A32D13">
          <w:rPr>
            <w:rStyle w:val="Hyperlink"/>
          </w:rPr>
          <w:t>https://app.mural.co/t/ign6805/m/ign6805/1641307816867/8e7e848c3b6363a26616468c285b1c75db3b90ce?sender=u7cb5d16a155aefd8d9423388</w:t>
        </w:r>
      </w:hyperlink>
      <w:r w:rsidR="45A32D13">
        <w:rPr/>
        <w:t xml:space="preserve"> </w:t>
      </w:r>
    </w:p>
    <w:p w:rsidR="569478CC" w:rsidP="569478CC" w:rsidRDefault="569478CC" w14:paraId="7A29230C" w14:textId="17C00593">
      <w:pPr>
        <w:pStyle w:val="Normal"/>
      </w:pPr>
    </w:p>
    <w:p w:rsidR="6EC97319" w:rsidP="55FB10CD" w:rsidRDefault="6EC97319" w14:paraId="0615470A" w14:textId="257E8F5E">
      <w:pPr>
        <w:pStyle w:val="Normal"/>
      </w:pPr>
      <w:r w:rsidR="6EC97319">
        <w:rPr/>
        <w:t xml:space="preserve">Liens vers </w:t>
      </w:r>
      <w:r w:rsidR="6BB2BBA9">
        <w:rPr/>
        <w:t>les standards :</w:t>
      </w:r>
    </w:p>
    <w:p w:rsidR="42C5E5D8" w:rsidP="55FB10CD" w:rsidRDefault="42C5E5D8" w14:paraId="1D37DA36" w14:textId="22C20317">
      <w:pPr>
        <w:pStyle w:val="ListParagraph"/>
        <w:numPr>
          <w:ilvl w:val="0"/>
          <w:numId w:val="8"/>
        </w:numPr>
        <w:rPr>
          <w:rFonts w:ascii="Calibri" w:hAnsi="Calibri" w:eastAsia="Calibri" w:cs="Calibri" w:asciiTheme="minorAscii" w:hAnsiTheme="minorAscii" w:eastAsiaTheme="minorAscii" w:cstheme="minorAscii"/>
          <w:sz w:val="22"/>
          <w:szCs w:val="22"/>
        </w:rPr>
      </w:pPr>
      <w:r w:rsidR="42C5E5D8">
        <w:rPr/>
        <w:t xml:space="preserve">Directive Inondation : </w:t>
      </w:r>
      <w:hyperlink r:id="R3a238777b1e0470f">
        <w:r w:rsidRPr="55FB10CD" w:rsidR="42C5E5D8">
          <w:rPr>
            <w:rStyle w:val="Hyperlink"/>
          </w:rPr>
          <w:t>https://github.com/cnigfr/Geostandards-Risques/blob/main/documents/COVADIS_standard_DI_v2.1_cle84e119.pdf</w:t>
        </w:r>
      </w:hyperlink>
      <w:r w:rsidR="42C5E5D8">
        <w:rPr/>
        <w:t xml:space="preserve"> </w:t>
      </w:r>
    </w:p>
    <w:p w:rsidR="6EC97319" w:rsidP="55FB10CD" w:rsidRDefault="6EC97319" w14:paraId="71B282D4" w14:textId="0C007B29">
      <w:pPr>
        <w:pStyle w:val="ListParagraph"/>
        <w:numPr>
          <w:ilvl w:val="0"/>
          <w:numId w:val="7"/>
        </w:numPr>
        <w:rPr>
          <w:rFonts w:ascii="Calibri" w:hAnsi="Calibri" w:eastAsia="Calibri" w:cs="Calibri" w:asciiTheme="minorAscii" w:hAnsiTheme="minorAscii" w:eastAsiaTheme="minorAscii" w:cstheme="minorAscii"/>
          <w:sz w:val="22"/>
          <w:szCs w:val="22"/>
        </w:rPr>
      </w:pPr>
      <w:r w:rsidR="6EC97319">
        <w:rPr/>
        <w:t>Standard</w:t>
      </w:r>
      <w:r w:rsidR="6EC97319">
        <w:rPr/>
        <w:t xml:space="preserve"> PPR </w:t>
      </w:r>
      <w:r w:rsidR="515B732A">
        <w:rPr/>
        <w:t xml:space="preserve">(risques naturels et technologiques) </w:t>
      </w:r>
      <w:r w:rsidR="6EC97319">
        <w:rPr/>
        <w:t>:</w:t>
      </w:r>
      <w:r w:rsidR="5FAEB0AD">
        <w:rPr/>
        <w:t xml:space="preserve"> </w:t>
      </w:r>
      <w:r w:rsidR="6EC97319">
        <w:rPr/>
        <w:t xml:space="preserve"> </w:t>
      </w:r>
      <w:hyperlink r:id="Re973e3195f5f47ca">
        <w:r w:rsidRPr="55FB10CD" w:rsidR="4DF5F439">
          <w:rPr>
            <w:rStyle w:val="Hyperlink"/>
          </w:rPr>
          <w:t>http://www.geoinformations.developpement-durable.gouv.fr/fichier/pdf/COVADIS_standard_PPR_v1_cor_modif_cle0bd56c.pdf?arg=177829664&amp;cle=33d92706fe802da9f0b13f37064960dfda2151c3&amp;file=pdf%2FCOVADIS_standard_PPR_v1_cor_modif_cle0bd56c.pdf</w:t>
        </w:r>
      </w:hyperlink>
      <w:r w:rsidR="4DF5F439">
        <w:rPr/>
        <w:t xml:space="preserve"> </w:t>
      </w:r>
    </w:p>
    <w:p w:rsidR="4DF5F439" w:rsidP="55FB10CD" w:rsidRDefault="4DF5F439" w14:paraId="681A7401" w14:textId="67BC6A49">
      <w:pPr>
        <w:pStyle w:val="ListParagraph"/>
        <w:numPr>
          <w:ilvl w:val="0"/>
          <w:numId w:val="7"/>
        </w:numPr>
        <w:rPr>
          <w:rFonts w:ascii="Calibri" w:hAnsi="Calibri" w:eastAsia="Calibri" w:cs="Calibri" w:asciiTheme="minorAscii" w:hAnsiTheme="minorAscii" w:eastAsiaTheme="minorAscii" w:cstheme="minorAscii"/>
          <w:sz w:val="22"/>
          <w:szCs w:val="22"/>
        </w:rPr>
      </w:pPr>
      <w:r w:rsidR="4DF5F439">
        <w:rPr/>
        <w:t xml:space="preserve">Standard PPR risques miniers : </w:t>
      </w:r>
      <w:hyperlink r:id="Rb5dfd5be5df04036">
        <w:r w:rsidRPr="55FB10CD" w:rsidR="4DF5F439">
          <w:rPr>
            <w:rStyle w:val="Hyperlink"/>
          </w:rPr>
          <w:t>http://www.geoinformations.developpement-durable.gouv.fr/fichier/pdf/covadis_standard_pprm_v1_cle5f1867.pdf?arg=177834903&amp;cle=03199730531ea94d495483756e49e70eca96a58a&amp;file=pdf%2Fcovadis_standard_pprm_v1_cle5f1867.pdf</w:t>
        </w:r>
      </w:hyperlink>
      <w:r w:rsidR="4DF5F439">
        <w:rPr/>
        <w:t xml:space="preserve"> </w:t>
      </w:r>
    </w:p>
    <w:p w:rsidR="569478CC" w:rsidP="569478CC" w:rsidRDefault="569478CC" w14:paraId="700F58B5" w14:textId="68613E83">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ParagraphRange paragraphId="1597847627" textId="248744449" start="99" length="23" invalidationStart="99" invalidationLength="23" id="QzIhHVFk"/>
  </int:Manifest>
  <int:Observations>
    <int:Content id="QzIhHVFk">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56DCC9"/>
    <w:rsid w:val="0017CC76"/>
    <w:rsid w:val="003AEC7D"/>
    <w:rsid w:val="02A4366A"/>
    <w:rsid w:val="034F6D38"/>
    <w:rsid w:val="039FFA89"/>
    <w:rsid w:val="052F0598"/>
    <w:rsid w:val="053D80FE"/>
    <w:rsid w:val="059C5BA4"/>
    <w:rsid w:val="06CC292E"/>
    <w:rsid w:val="071455D7"/>
    <w:rsid w:val="0780CD02"/>
    <w:rsid w:val="088983EF"/>
    <w:rsid w:val="08B41180"/>
    <w:rsid w:val="08D529C5"/>
    <w:rsid w:val="09A5F435"/>
    <w:rsid w:val="0A12C725"/>
    <w:rsid w:val="0AF1D34F"/>
    <w:rsid w:val="0F0F8D94"/>
    <w:rsid w:val="0F2033F6"/>
    <w:rsid w:val="0F603C45"/>
    <w:rsid w:val="0F61165E"/>
    <w:rsid w:val="0F9C651D"/>
    <w:rsid w:val="0FE59FD0"/>
    <w:rsid w:val="1023DFC0"/>
    <w:rsid w:val="102EC4DE"/>
    <w:rsid w:val="1047C1C7"/>
    <w:rsid w:val="112EB032"/>
    <w:rsid w:val="1213EFEE"/>
    <w:rsid w:val="1335CF46"/>
    <w:rsid w:val="138B8B8F"/>
    <w:rsid w:val="1421B4B3"/>
    <w:rsid w:val="143069CD"/>
    <w:rsid w:val="145953F5"/>
    <w:rsid w:val="146650F4"/>
    <w:rsid w:val="1466C49E"/>
    <w:rsid w:val="1474F012"/>
    <w:rsid w:val="148002D8"/>
    <w:rsid w:val="14998587"/>
    <w:rsid w:val="16B21C49"/>
    <w:rsid w:val="17929E01"/>
    <w:rsid w:val="17B51F9F"/>
    <w:rsid w:val="17C2BEB0"/>
    <w:rsid w:val="187AE398"/>
    <w:rsid w:val="188EAE25"/>
    <w:rsid w:val="18FB8C70"/>
    <w:rsid w:val="196085E6"/>
    <w:rsid w:val="1A51B58D"/>
    <w:rsid w:val="1B2F3B0D"/>
    <w:rsid w:val="1B4C301A"/>
    <w:rsid w:val="1B7A9A5D"/>
    <w:rsid w:val="1C5B66A9"/>
    <w:rsid w:val="1C9D80E2"/>
    <w:rsid w:val="1D8243A4"/>
    <w:rsid w:val="1EBA7B9A"/>
    <w:rsid w:val="1EEC29CC"/>
    <w:rsid w:val="1F1E1405"/>
    <w:rsid w:val="201AC57B"/>
    <w:rsid w:val="20B9E466"/>
    <w:rsid w:val="210FE35B"/>
    <w:rsid w:val="219E7C91"/>
    <w:rsid w:val="22199BEA"/>
    <w:rsid w:val="2220ECF9"/>
    <w:rsid w:val="22CBCF10"/>
    <w:rsid w:val="22F5F528"/>
    <w:rsid w:val="240876E3"/>
    <w:rsid w:val="257037B1"/>
    <w:rsid w:val="258AF7AA"/>
    <w:rsid w:val="26318650"/>
    <w:rsid w:val="26446328"/>
    <w:rsid w:val="2678F5E9"/>
    <w:rsid w:val="2917FB88"/>
    <w:rsid w:val="2AA9E994"/>
    <w:rsid w:val="2B56DCC9"/>
    <w:rsid w:val="2B8926D6"/>
    <w:rsid w:val="2B9AD2C0"/>
    <w:rsid w:val="2BC97D05"/>
    <w:rsid w:val="2BD095AA"/>
    <w:rsid w:val="2C620A71"/>
    <w:rsid w:val="2D654D66"/>
    <w:rsid w:val="2E5C64FD"/>
    <w:rsid w:val="2F1B2A24"/>
    <w:rsid w:val="2F547E0E"/>
    <w:rsid w:val="30C1E846"/>
    <w:rsid w:val="31E5A1FC"/>
    <w:rsid w:val="335F42A8"/>
    <w:rsid w:val="34678ECF"/>
    <w:rsid w:val="34CBA681"/>
    <w:rsid w:val="35145205"/>
    <w:rsid w:val="3591B8E7"/>
    <w:rsid w:val="35C6DBB3"/>
    <w:rsid w:val="35DD7B8B"/>
    <w:rsid w:val="37087311"/>
    <w:rsid w:val="376FC3DB"/>
    <w:rsid w:val="37DFE374"/>
    <w:rsid w:val="3830D605"/>
    <w:rsid w:val="3933544A"/>
    <w:rsid w:val="3A952D40"/>
    <w:rsid w:val="3B741D29"/>
    <w:rsid w:val="3B7BF84C"/>
    <w:rsid w:val="3BB8B3BE"/>
    <w:rsid w:val="3BC5130F"/>
    <w:rsid w:val="3D1A94A3"/>
    <w:rsid w:val="3D480F27"/>
    <w:rsid w:val="3DCBDDFF"/>
    <w:rsid w:val="40B7D34B"/>
    <w:rsid w:val="40F2604D"/>
    <w:rsid w:val="42C5E5D8"/>
    <w:rsid w:val="4407717E"/>
    <w:rsid w:val="4423CC96"/>
    <w:rsid w:val="45A32D13"/>
    <w:rsid w:val="4629278A"/>
    <w:rsid w:val="47321AAA"/>
    <w:rsid w:val="4758F6B1"/>
    <w:rsid w:val="47AC9831"/>
    <w:rsid w:val="47C2CE68"/>
    <w:rsid w:val="48E414A3"/>
    <w:rsid w:val="495D0B32"/>
    <w:rsid w:val="498DC204"/>
    <w:rsid w:val="4AF6611A"/>
    <w:rsid w:val="4B5E8D5B"/>
    <w:rsid w:val="4C1BB565"/>
    <w:rsid w:val="4C3F64B1"/>
    <w:rsid w:val="4D8CA67A"/>
    <w:rsid w:val="4DBF8D15"/>
    <w:rsid w:val="4DEFFEE8"/>
    <w:rsid w:val="4DF5F439"/>
    <w:rsid w:val="4F4C32EA"/>
    <w:rsid w:val="50C1A340"/>
    <w:rsid w:val="50FA151E"/>
    <w:rsid w:val="515B732A"/>
    <w:rsid w:val="52EF9ADA"/>
    <w:rsid w:val="531A4BF1"/>
    <w:rsid w:val="532B73CB"/>
    <w:rsid w:val="547442FC"/>
    <w:rsid w:val="5479E3E0"/>
    <w:rsid w:val="55FB10CD"/>
    <w:rsid w:val="569478CC"/>
    <w:rsid w:val="56A03351"/>
    <w:rsid w:val="57077BBE"/>
    <w:rsid w:val="572A7899"/>
    <w:rsid w:val="575D8837"/>
    <w:rsid w:val="5766561A"/>
    <w:rsid w:val="57A071A1"/>
    <w:rsid w:val="58BAD124"/>
    <w:rsid w:val="58CB218E"/>
    <w:rsid w:val="5994A88B"/>
    <w:rsid w:val="5AFBFFCA"/>
    <w:rsid w:val="5B49A20A"/>
    <w:rsid w:val="5B9E902E"/>
    <w:rsid w:val="5BB99F80"/>
    <w:rsid w:val="5CDE4753"/>
    <w:rsid w:val="5D86FDEB"/>
    <w:rsid w:val="5D9E92B1"/>
    <w:rsid w:val="5FAEB0AD"/>
    <w:rsid w:val="6113FDFE"/>
    <w:rsid w:val="617B8742"/>
    <w:rsid w:val="61E7246F"/>
    <w:rsid w:val="63834FD8"/>
    <w:rsid w:val="64FB3D39"/>
    <w:rsid w:val="654FFECC"/>
    <w:rsid w:val="659F2BE4"/>
    <w:rsid w:val="66D6B4F1"/>
    <w:rsid w:val="6778EC8C"/>
    <w:rsid w:val="6779E8AB"/>
    <w:rsid w:val="6814CE9C"/>
    <w:rsid w:val="687F9BEA"/>
    <w:rsid w:val="68A91267"/>
    <w:rsid w:val="68F57CD5"/>
    <w:rsid w:val="6A236FEF"/>
    <w:rsid w:val="6B2D91BC"/>
    <w:rsid w:val="6BA617F3"/>
    <w:rsid w:val="6BB2BBA9"/>
    <w:rsid w:val="6C46B322"/>
    <w:rsid w:val="6C8D6A41"/>
    <w:rsid w:val="6D5B10B1"/>
    <w:rsid w:val="6E293AA2"/>
    <w:rsid w:val="6E3FA3A8"/>
    <w:rsid w:val="6EBD881B"/>
    <w:rsid w:val="6EC97319"/>
    <w:rsid w:val="6F291805"/>
    <w:rsid w:val="7107A294"/>
    <w:rsid w:val="71942820"/>
    <w:rsid w:val="730A17AA"/>
    <w:rsid w:val="736DA417"/>
    <w:rsid w:val="73F80075"/>
    <w:rsid w:val="74D97BC2"/>
    <w:rsid w:val="756840F7"/>
    <w:rsid w:val="76315D67"/>
    <w:rsid w:val="768A128C"/>
    <w:rsid w:val="76B0C16F"/>
    <w:rsid w:val="77D182EA"/>
    <w:rsid w:val="77DC8D8D"/>
    <w:rsid w:val="77ECE927"/>
    <w:rsid w:val="781E9E91"/>
    <w:rsid w:val="79968CEB"/>
    <w:rsid w:val="79FEFC65"/>
    <w:rsid w:val="7B7DC864"/>
    <w:rsid w:val="7C624A48"/>
    <w:rsid w:val="7C77858E"/>
    <w:rsid w:val="7CA5D7B3"/>
    <w:rsid w:val="7E0094D3"/>
    <w:rsid w:val="7E8C4C7E"/>
    <w:rsid w:val="7FBA14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6DCC9"/>
  <w15:chartTrackingRefBased/>
  <w15:docId w15:val="{B1137765-5D59-4E59-9242-3E4E23D503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pp.mural.co/t/ign6805/m/ign6805/1641307816867/8e7e848c3b6363a26616468c285b1c75db3b90ce?sender=u7cb5d16a155aefd8d9423388" TargetMode="External" Id="R12984208ad8045b1" /><Relationship Type="http://schemas.openxmlformats.org/officeDocument/2006/relationships/image" Target="/media/image.png" Id="Rf7254ef718354b04" /><Relationship Type="http://schemas.openxmlformats.org/officeDocument/2006/relationships/numbering" Target="numbering.xml" Id="R835776a69598434a" /><Relationship Type="http://schemas.microsoft.com/office/2019/09/relationships/intelligence" Target="intelligence.xml" Id="Rad39675d7c654422" /><Relationship Type="http://schemas.openxmlformats.org/officeDocument/2006/relationships/hyperlink" Target="https://github.com/cnigfr/Geostandards-Risques/blob/main/documents/COVADIS_standard_DI_v2.1_cle84e119.pdf" TargetMode="External" Id="R3a238777b1e0470f" /><Relationship Type="http://schemas.openxmlformats.org/officeDocument/2006/relationships/hyperlink" Target="http://www.geoinformations.developpement-durable.gouv.fr/fichier/pdf/COVADIS_standard_PPR_v1_cor_modif_cle0bd56c.pdf?arg=177829664&amp;cle=33d92706fe802da9f0b13f37064960dfda2151c3&amp;file=pdf%2FCOVADIS_standard_PPR_v1_cor_modif_cle0bd56c.pdf" TargetMode="External" Id="Re973e3195f5f47ca" /><Relationship Type="http://schemas.openxmlformats.org/officeDocument/2006/relationships/hyperlink" Target="http://www.geoinformations.developpement-durable.gouv.fr/fichier/pdf/covadis_standard_pprm_v1_cle5f1867.pdf?arg=177834903&amp;cle=03199730531ea94d495483756e49e70eca96a58a&amp;file=pdf%2Fcovadis_standard_pprm_v1_cle5f1867.pdf" TargetMode="External" Id="Rb5dfd5be5df040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4D7F11F779D54E856069687B814BBD" ma:contentTypeVersion="2" ma:contentTypeDescription="Crée un document." ma:contentTypeScope="" ma:versionID="3fe4275800ffe05e5c86a0542a0b31ea">
  <xsd:schema xmlns:xsd="http://www.w3.org/2001/XMLSchema" xmlns:xs="http://www.w3.org/2001/XMLSchema" xmlns:p="http://schemas.microsoft.com/office/2006/metadata/properties" xmlns:ns2="2669e89b-8207-4f5c-889a-cb6e4ddbbfab" targetNamespace="http://schemas.microsoft.com/office/2006/metadata/properties" ma:root="true" ma:fieldsID="3021e4cc59fefdd629d20e7f19d827b8" ns2:_="">
    <xsd:import namespace="2669e89b-8207-4f5c-889a-cb6e4ddbbfa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69e89b-8207-4f5c-889a-cb6e4ddbbf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67333A-FBC4-4AEF-A3AF-1E80933638F3}"/>
</file>

<file path=customXml/itemProps2.xml><?xml version="1.0" encoding="utf-8"?>
<ds:datastoreItem xmlns:ds="http://schemas.openxmlformats.org/officeDocument/2006/customXml" ds:itemID="{F4DF2DC3-F7EE-4AC7-8F82-3FA9E8599644}"/>
</file>

<file path=customXml/itemProps3.xml><?xml version="1.0" encoding="utf-8"?>
<ds:datastoreItem xmlns:ds="http://schemas.openxmlformats.org/officeDocument/2006/customXml" ds:itemID="{7309CF0A-30A8-4564-BB04-65A2479B78E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Gilles Cebelieu</dc:creator>
  <keywords/>
  <dc:description/>
  <lastModifiedBy>Gilles Cebelieu</lastModifiedBy>
  <dcterms:created xsi:type="dcterms:W3CDTF">2022-01-25T09:21:59.0000000Z</dcterms:created>
  <dcterms:modified xsi:type="dcterms:W3CDTF">2022-01-27T11:20:42.6624431Z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0x010100EE4D7F11F779D54E856069687B814BBD</vt:lpwstr>
  </property>
</Properties>
</file>