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W w:w="153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5"/>
        <w:gridCol w:w="996"/>
        <w:gridCol w:w="1212"/>
        <w:gridCol w:w="1536"/>
        <w:gridCol w:w="4185"/>
        <w:gridCol w:w="3915"/>
        <w:gridCol w:w="3001"/>
      </w:tblGrid>
      <w:tr>
        <w:trPr>
          <w:tblHeader w:val="true"/>
          <w:trHeight w:val="1010" w:hRule="atLeast"/>
          <w:cantSplit w:val="true"/>
        </w:trPr>
        <w:tc>
          <w:tcPr>
            <w:tcW w:w="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Organisme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Type de commentaire:(G)énéral  (M)étier (T)echnique (D)ocument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Page, Paragraphe</w:t>
            </w:r>
          </w:p>
          <w:p>
            <w:pPr>
              <w:pStyle w:val="Normal"/>
              <w:widowControl w:val="false"/>
              <w:snapToGrid w:val="false"/>
              <w:spacing w:lineRule="exact" w:line="190" w:before="100" w:after="6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Figure / Tableau / Note / Ligne</w:t>
            </w:r>
          </w:p>
        </w:tc>
        <w:tc>
          <w:tcPr>
            <w:tcW w:w="4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Commentaire</w:t>
            </w:r>
          </w:p>
          <w:p>
            <w:pPr>
              <w:pStyle w:val="Normal"/>
              <w:widowControl w:val="false"/>
              <w:snapToGrid w:val="false"/>
              <w:spacing w:lineRule="exact" w:line="190" w:before="10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(explication du besoin de modification)</w:t>
            </w:r>
          </w:p>
        </w:tc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Modification proposée 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keepLines/>
              <w:widowControl w:val="false"/>
              <w:snapToGrid w:val="false"/>
              <w:spacing w:lineRule="exact" w:line="190" w:before="100" w:after="6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Décision du GT CNIG Risques</w:t>
            </w:r>
          </w:p>
          <w:p>
            <w:pPr>
              <w:pStyle w:val="Normal"/>
              <w:widowControl w:val="false"/>
              <w:snapToGrid w:val="false"/>
              <w:spacing w:lineRule="exact" w:line="190" w:before="100" w:after="60"/>
              <w:jc w:val="center"/>
              <w:rPr/>
            </w:pPr>
            <w:r>
              <w:rPr/>
            </w:r>
          </w:p>
        </w:tc>
      </w:tr>
      <w:tr>
        <w:trPr>
          <w:trHeight w:val="400" w:hRule="atLeast"/>
          <w:cantSplit w:val="true"/>
        </w:trPr>
        <w:tc>
          <w:tcPr>
            <w:tcW w:w="1530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jc w:val="center"/>
              <w:rPr/>
            </w:pPr>
            <w:r>
              <w:rPr>
                <w:color w:val="0000FF"/>
                <w:szCs w:val="18"/>
              </w:rPr>
              <w:t xml:space="preserve">Merci de nous retourner </w:t>
            </w:r>
            <w:r>
              <w:rPr>
                <w:b/>
                <w:bCs/>
                <w:color w:val="0000FF"/>
                <w:szCs w:val="18"/>
                <w:u w:val="single"/>
              </w:rPr>
              <w:t>CE fichier</w:t>
            </w:r>
            <w:r>
              <w:rPr>
                <w:b/>
                <w:bCs/>
                <w:color w:val="0000FF"/>
                <w:szCs w:val="18"/>
              </w:rPr>
              <w:t xml:space="preserve"> </w:t>
            </w:r>
            <w:r>
              <w:rPr>
                <w:color w:val="0000FF"/>
                <w:szCs w:val="18"/>
              </w:rPr>
              <w:t>au format .docx (pas pdf)</w:t>
            </w:r>
          </w:p>
          <w:p>
            <w:pPr>
              <w:pStyle w:val="ISOMB"/>
              <w:widowControl w:val="false"/>
              <w:snapToGrid w:val="false"/>
              <w:spacing w:lineRule="atLeast" w:line="100" w:before="60" w:after="60"/>
              <w:jc w:val="center"/>
              <w:rPr/>
            </w:pPr>
            <w:r>
              <w:rPr>
                <w:color w:val="0000FF"/>
                <w:szCs w:val="18"/>
              </w:rPr>
              <w:t xml:space="preserve">Les commentaires </w:t>
            </w:r>
            <w:r>
              <w:rPr>
                <w:color w:val="0000FF"/>
                <w:szCs w:val="18"/>
                <w:u w:val="single"/>
              </w:rPr>
              <w:t>doivent être suivis d'une proposition de modification</w:t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DDT01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112 Ligne 2</w:t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- Mot en trop : « à »</w:t>
            </w:r>
          </w:p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- Pas de précision sur la définition du niveau de protection (en J pour les chute de blocs et en hauteur d’eau pour les digues?)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« Cette table ne sera donc pas générée lors de la … »</w:t>
            </w:r>
          </w:p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Plus de </w:t>
            </w:r>
            <w:r>
              <w:rPr>
                <w:color w:val="000000"/>
                <w:szCs w:val="18"/>
              </w:rPr>
              <w:t xml:space="preserve">précision sur la définition du niveau de protection </w:t>
            </w:r>
          </w:p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DDT01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G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Pour les tables aléas, le monoaléa peut engendrer une superposition d’aléas. </w:t>
            </w:r>
          </w:p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Dans les tables de données, aucun problème mais sur la cartographie cela peut engendrer une superposition des étiquettes et altérer la lisibilité des cartes. 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Proposer une méthode simple pour avoir une carte lisible malgré la superposition des aléas.</w:t>
            </w:r>
          </w:p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Une carte rassemblant tous les aléas est en effet nécessaire pour l’instruction. </w:t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DDT01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G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Le format Géopackage est différent du format shapefile utilisé </w:t>
            </w:r>
            <w:r>
              <w:rPr>
                <w:color w:val="000000"/>
                <w:szCs w:val="18"/>
              </w:rPr>
              <w:t>actuellement</w:t>
            </w:r>
            <w:r>
              <w:rPr>
                <w:color w:val="000000"/>
                <w:szCs w:val="18"/>
              </w:rPr>
              <w:t xml:space="preserve"> par GéoIDE </w:t>
            </w:r>
            <w:r>
              <w:rPr>
                <w:color w:val="000000"/>
                <w:szCs w:val="18"/>
              </w:rPr>
              <w:t>et le stockage des PPRn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Faire correspondre la fermeture de GéoIDE avec l’application des nouveaux géostandards ?</w:t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36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6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7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8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9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10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11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12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13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14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15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omment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16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17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tLeast" w:line="100"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18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19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20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21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22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23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24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25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26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27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28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29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 w:val="22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 w:val="22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rFonts w:ascii="LiberationSerif" w:hAnsi="LiberationSerif" w:cs="LiberationSerif"/>
                <w:color w:val="000000"/>
                <w:szCs w:val="18"/>
              </w:rPr>
            </w:pPr>
            <w:r>
              <w:rPr>
                <w:rFonts w:cs="LiberationSerif" w:ascii="LiberationSerif" w:hAnsi="LiberationSerif"/>
                <w:color w:val="000000"/>
                <w:szCs w:val="18"/>
              </w:rPr>
            </w:r>
          </w:p>
        </w:tc>
      </w:tr>
      <w:tr>
        <w:trPr>
          <w:trHeight w:val="473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30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73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31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  <w:tr>
        <w:trPr>
          <w:trHeight w:val="473" w:hRule="atLeast"/>
          <w:cantSplit w:val="true"/>
        </w:trPr>
        <w:tc>
          <w:tcPr>
            <w:tcW w:w="4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b/>
                <w:bCs/>
                <w:color w:val="000000"/>
                <w:szCs w:val="18"/>
              </w:rPr>
            </w:pPr>
            <w:r>
              <w:rPr>
                <w:b/>
                <w:bCs/>
                <w:color w:val="000000"/>
                <w:szCs w:val="18"/>
              </w:rPr>
              <w:t>32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MB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laus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4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ISOChange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  <w:tc>
          <w:tcPr>
            <w:tcW w:w="3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SOSecretObservations"/>
              <w:widowControl w:val="false"/>
              <w:snapToGrid w:val="false"/>
              <w:spacing w:lineRule="atLeast" w:line="100" w:before="60" w:after="6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680" w:right="851" w:gutter="0" w:header="567" w:top="1894" w:footer="709" w:bottom="113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LiberationSans-BoldItalic">
    <w:charset w:val="00"/>
    <w:family w:val="roman"/>
    <w:pitch w:val="variable"/>
  </w:font>
  <w:font w:name="Liberation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enter" w:pos="4820" w:leader="none"/>
        <w:tab w:val="left" w:pos="7282" w:leader="none"/>
        <w:tab w:val="center" w:pos="7568" w:leader="none"/>
        <w:tab w:val="right" w:pos="9639" w:leader="none"/>
      </w:tabs>
      <w:jc w:val="center"/>
      <w:rPr>
        <w:color w:val="800000"/>
      </w:rPr>
    </w:pPr>
    <w:r>
      <w:rPr>
        <w:color w:val="8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413" w:type="dxa"/>
      <w:jc w:val="left"/>
      <w:tblInd w:w="99" w:type="dxa"/>
      <w:tblLayout w:type="fixed"/>
      <w:tblCellMar>
        <w:top w:w="0" w:type="dxa"/>
        <w:left w:w="99" w:type="dxa"/>
        <w:bottom w:w="0" w:type="dxa"/>
        <w:right w:w="99" w:type="dxa"/>
      </w:tblCellMar>
    </w:tblPr>
    <w:tblGrid>
      <w:gridCol w:w="9756"/>
      <w:gridCol w:w="5657"/>
    </w:tblGrid>
    <w:tr>
      <w:trPr>
        <w:cantSplit w:val="true"/>
      </w:trPr>
      <w:tc>
        <w:tcPr>
          <w:tcW w:w="97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ISOComments"/>
            <w:widowControl w:val="false"/>
            <w:snapToGrid w:val="false"/>
            <w:spacing w:before="60" w:after="60"/>
            <w:rPr/>
          </w:pP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>Commentaires sur le projet de Géostandard CNIG Risques - PPR</w:t>
          </w:r>
        </w:p>
        <w:p>
          <w:pPr>
            <w:pStyle w:val="Normal"/>
            <w:widowControl w:val="false"/>
            <w:snapToGrid w:val="false"/>
            <w:spacing w:before="60" w:after="60"/>
            <w:rPr>
              <w:b/>
              <w:bCs/>
              <w:color w:val="000000"/>
              <w:sz w:val="22"/>
              <w:szCs w:val="22"/>
            </w:rPr>
          </w:pPr>
          <w:r>
            <w:rPr>
              <w:rStyle w:val="MTEquationSection"/>
              <w:color w:val="000000"/>
              <w:sz w:val="22"/>
              <w:szCs w:val="22"/>
            </w:rPr>
            <w:t xml:space="preserve">A retourner à </w:t>
          </w:r>
          <w:hyperlink r:id="rId1">
            <w:r>
              <w:rPr>
                <w:rStyle w:val="LienInternet"/>
              </w:rPr>
              <w:t>gilles.cebelieu@ign.fr</w:t>
            </w:r>
          </w:hyperlink>
          <w:r>
            <w:rPr/>
            <w:t xml:space="preserve"> </w:t>
          </w: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>avant le 30/06/2024</w:t>
          </w:r>
        </w:p>
        <w:p>
          <w:pPr>
            <w:pStyle w:val="Normal"/>
            <w:widowControl w:val="false"/>
            <w:snapToGrid w:val="false"/>
            <w:spacing w:before="60" w:after="60"/>
            <w:rPr/>
          </w:pPr>
          <w:r>
            <w:rPr>
              <w:rStyle w:val="MTEquationSection"/>
              <w:bCs/>
              <w:color w:val="000000"/>
              <w:sz w:val="22"/>
              <w:szCs w:val="22"/>
            </w:rPr>
            <w:t xml:space="preserve">Copie à </w:t>
          </w:r>
          <w:hyperlink r:id="rId2">
            <w:r>
              <w:rPr>
                <w:rStyle w:val="LienInternet"/>
              </w:rPr>
              <w:t>alison.lenain@ign.fr</w:t>
            </w:r>
          </w:hyperlink>
          <w:r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r>
            <w:rPr/>
            <w:t xml:space="preserve"> </w:t>
          </w:r>
        </w:p>
      </w:tc>
      <w:tc>
        <w:tcPr>
          <w:tcW w:w="56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ISOComments"/>
            <w:widowControl w:val="false"/>
            <w:snapToGrid w:val="false"/>
            <w:spacing w:before="60" w:after="60"/>
            <w:rPr/>
          </w:pPr>
          <w:r>
            <w:rPr>
              <w:rStyle w:val="MTEquationSection"/>
              <w:sz w:val="20"/>
            </w:rPr>
            <w:t>Appel à commentaires du 06/05/2024</w:t>
          </w:r>
          <w:r>
            <w:rPr>
              <w:rStyle w:val="MTEquationSection"/>
              <w:b/>
              <w:bCs/>
              <w:sz w:val="20"/>
            </w:rPr>
            <w:t xml:space="preserve"> au 30/06/2024</w:t>
          </w:r>
        </w:p>
      </w:tc>
    </w:tr>
  </w:tbl>
  <w:p>
    <w:pPr>
      <w:pStyle w:val="En-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upperLetter"/>
      <w:lvlText w:val="Annex 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SC%1"/>
      <w:lvlJc w:val="left"/>
      <w:pPr>
        <w:tabs>
          <w:tab w:val="num" w:pos="907"/>
        </w:tabs>
        <w:ind w:left="907" w:hanging="907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isplayBackgroundShape/>
  <w:embedSystemFont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Arial" w:hAnsi="Arial" w:cs="Arial" w:eastAsia="Times New Roman"/>
      <w:color w:val="auto"/>
      <w:kern w:val="2"/>
      <w:sz w:val="22"/>
      <w:szCs w:val="20"/>
      <w:lang w:eastAsia="zh-CN" w:val="fr-FR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2"/>
      </w:numPr>
      <w:spacing w:before="120" w:after="200"/>
      <w:outlineLvl w:val="0"/>
    </w:pPr>
    <w:rPr>
      <w:b/>
      <w:sz w:val="24"/>
    </w:rPr>
  </w:style>
  <w:style w:type="paragraph" w:styleId="Titre2">
    <w:name w:val="Heading 2"/>
    <w:basedOn w:val="Titre1"/>
    <w:next w:val="Normal"/>
    <w:qFormat/>
    <w:pPr>
      <w:spacing w:before="0" w:after="200"/>
      <w:ind w:left="567" w:right="0" w:hanging="567"/>
      <w:outlineLvl w:val="1"/>
    </w:pPr>
    <w:rPr>
      <w:sz w:val="22"/>
    </w:rPr>
  </w:style>
  <w:style w:type="paragraph" w:styleId="Titre3">
    <w:name w:val="Heading 3"/>
    <w:basedOn w:val="Titre2"/>
    <w:next w:val="Normal"/>
    <w:qFormat/>
    <w:pPr>
      <w:outlineLvl w:val="2"/>
    </w:pPr>
    <w:rPr>
      <w:b w:val="false"/>
    </w:rPr>
  </w:style>
  <w:style w:type="paragraph" w:styleId="Titre4">
    <w:name w:val="Heading 4"/>
    <w:basedOn w:val="Titre3"/>
    <w:next w:val="Normal"/>
    <w:qFormat/>
    <w:pPr>
      <w:outlineLvl w:val="3"/>
    </w:pPr>
    <w:rPr/>
  </w:style>
  <w:style w:type="paragraph" w:styleId="Titre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styleId="DefaultParagraphFont">
    <w:name w:val="Default Paragraph Font"/>
    <w:qFormat/>
    <w:rPr/>
  </w:style>
  <w:style w:type="character" w:styleId="WW8Num3z0">
    <w:name w:val="WW8Num3z0"/>
    <w:qFormat/>
    <w:rPr>
      <w:b/>
      <w:i w:val="false"/>
    </w:rPr>
  </w:style>
  <w:style w:type="character" w:styleId="WW8Num4z0">
    <w:name w:val="WW8Num4z0"/>
    <w:qFormat/>
    <w:rPr>
      <w:rFonts w:ascii="Arial" w:hAnsi="Arial" w:cs="Symbol"/>
    </w:rPr>
  </w:style>
  <w:style w:type="character" w:styleId="WW8Num5z0">
    <w:name w:val="WW8Num5z0"/>
    <w:qFormat/>
    <w:rPr>
      <w:rFonts w:ascii="Courier New" w:hAnsi="Courier New" w:cs="Symbo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6z0">
    <w:name w:val="WW8Num6z0"/>
    <w:qFormat/>
    <w:rPr>
      <w:rFonts w:ascii="Arial" w:hAnsi="Arial" w:cs="Arial"/>
      <w:color w:val="000000"/>
      <w:sz w:val="18"/>
      <w:szCs w:val="18"/>
      <w:lang w:val="fr-FR"/>
    </w:rPr>
  </w:style>
  <w:style w:type="character" w:styleId="WW8Num7z0">
    <w:name w:val="WW8Num7z0"/>
    <w:qFormat/>
    <w:rPr>
      <w:rFonts w:ascii="Symbol" w:hAnsi="Symbol" w:cs="Courier New"/>
    </w:rPr>
  </w:style>
  <w:style w:type="character" w:styleId="WW8Num8z0">
    <w:name w:val="WW8Num8z0"/>
    <w:qFormat/>
    <w:rPr>
      <w:rFonts w:ascii="Arial" w:hAnsi="Arial" w:eastAsia="Times New Roman" w:cs="Arial"/>
    </w:rPr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8Num5z1">
    <w:name w:val="WW8Num5z1"/>
    <w:qFormat/>
    <w:rPr>
      <w:rFonts w:ascii="OpenSymbol" w:hAnsi="OpenSymbol" w:cs="Courier New"/>
    </w:rPr>
  </w:style>
  <w:style w:type="character" w:styleId="Policepardfaut3">
    <w:name w:val="Police par défaut3"/>
    <w:qFormat/>
    <w:rPr/>
  </w:style>
  <w:style w:type="character" w:styleId="WW-Absatz-Standardschriftart1111">
    <w:name w:val="WW-Absatz-Standardschriftart1111"/>
    <w:qFormat/>
    <w:rPr/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Policepardfaut2">
    <w:name w:val="Police par défaut2"/>
    <w:qFormat/>
    <w:rPr/>
  </w:style>
  <w:style w:type="character" w:styleId="WW-Absatz-Standardschriftart11111">
    <w:name w:val="WW-Absatz-Standardschriftart11111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Arial" w:hAnsi="Arial" w:eastAsia="Times New Roman" w:cs="Arial"/>
      <w:sz w:val="18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Arial" w:hAnsi="Arial" w:eastAsia="Times New Roman" w:cs="Aria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cs="Times New Roman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5z0">
    <w:name w:val="WW8Num25z0"/>
    <w:qFormat/>
    <w:rPr>
      <w:rFonts w:ascii="Wingdings" w:hAnsi="Wingdings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1z0">
    <w:name w:val="WW8Num31z0"/>
    <w:qFormat/>
    <w:rPr>
      <w:rFonts w:cs="Times New Roman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Policepardfaut1">
    <w:name w:val="Police par défaut1"/>
    <w:qFormat/>
    <w:rPr/>
  </w:style>
  <w:style w:type="character" w:styleId="Pagenumber">
    <w:name w:val="page number"/>
    <w:qFormat/>
    <w:rPr>
      <w:sz w:val="20"/>
    </w:rPr>
  </w:style>
  <w:style w:type="character" w:styleId="MTEquationSection">
    <w:name w:val="MTEquationSection"/>
    <w:qFormat/>
    <w:rPr>
      <w:vanish w:val="false"/>
      <w:color w:val="FF0000"/>
      <w:sz w:val="16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Mtequationsection1">
    <w:name w:val="mtequationsection"/>
    <w:basedOn w:val="Policepardfaut1"/>
    <w:qFormat/>
    <w:rPr/>
  </w:style>
  <w:style w:type="character" w:styleId="LienInternet">
    <w:name w:val="Hyperlink"/>
    <w:rPr>
      <w:color w:val="0000FF"/>
      <w:u w:val="single"/>
    </w:rPr>
  </w:style>
  <w:style w:type="character" w:styleId="LienInternetvisit">
    <w:name w:val="FollowedHyperlink"/>
    <w:rPr>
      <w:color w:val="800080"/>
      <w:u w:val="single"/>
    </w:rPr>
  </w:style>
  <w:style w:type="character" w:styleId="Titre8Car">
    <w:name w:val="Titre 8 Car"/>
    <w:qFormat/>
    <w:rPr>
      <w:i/>
      <w:iCs/>
      <w:sz w:val="24"/>
      <w:szCs w:val="24"/>
      <w:lang w:bidi="ar-SA"/>
    </w:rPr>
  </w:style>
  <w:style w:type="character" w:styleId="En-tteCar">
    <w:name w:val="En-tête Car"/>
    <w:qFormat/>
    <w:rPr>
      <w:rFonts w:ascii="Arial" w:hAnsi="Arial" w:cs="Arial"/>
      <w:sz w:val="22"/>
      <w:lang w:bidi="ar-SA"/>
    </w:rPr>
  </w:style>
  <w:style w:type="character" w:styleId="PieddepageCar">
    <w:name w:val="Pied de page Car"/>
    <w:qFormat/>
    <w:rPr>
      <w:rFonts w:ascii="Arial" w:hAnsi="Arial" w:cs="Arial"/>
      <w:sz w:val="22"/>
      <w:lang w:bidi="ar-SA"/>
    </w:rPr>
  </w:style>
  <w:style w:type="character" w:styleId="Titre1Car">
    <w:name w:val="Titre 1 Car"/>
    <w:qFormat/>
    <w:rPr>
      <w:rFonts w:ascii="Arial" w:hAnsi="Arial" w:cs="Arial"/>
      <w:b/>
      <w:sz w:val="24"/>
      <w:lang w:bidi="ar-SA"/>
    </w:rPr>
  </w:style>
  <w:style w:type="character" w:styleId="CommentaireCar">
    <w:name w:val="Commentaire Car"/>
    <w:qFormat/>
    <w:rPr>
      <w:rFonts w:ascii="Arial" w:hAnsi="Arial" w:eastAsia="Calibri" w:cs="Arial"/>
    </w:rPr>
  </w:style>
  <w:style w:type="character" w:styleId="Marquedecommentaire1">
    <w:name w:val="Marque de commentaire1"/>
    <w:qFormat/>
    <w:rPr>
      <w:sz w:val="16"/>
      <w:szCs w:val="16"/>
    </w:rPr>
  </w:style>
  <w:style w:type="character" w:styleId="ObjetducommentaireCar">
    <w:name w:val="Objet du commentaire Car"/>
    <w:qFormat/>
    <w:rPr>
      <w:rFonts w:ascii="Arial" w:hAnsi="Arial" w:eastAsia="Calibri" w:cs="Arial"/>
      <w:b/>
      <w:bCs/>
    </w:rPr>
  </w:style>
  <w:style w:type="character" w:styleId="CorpsdetexteCar">
    <w:name w:val="Corps de texte Car"/>
    <w:qFormat/>
    <w:rPr>
      <w:rFonts w:ascii="Arial" w:hAnsi="Arial" w:cs="Calibri"/>
      <w:sz w:val="22"/>
      <w:szCs w:val="24"/>
      <w:lang w:bidi="en-US"/>
    </w:rPr>
  </w:style>
  <w:style w:type="character" w:styleId="WW-Policepardfaut">
    <w:name w:val="WW-Police par défaut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Fontstyle01">
    <w:name w:val="fontstyle01"/>
    <w:qFormat/>
    <w:rPr>
      <w:rFonts w:ascii="LiberationSans-BoldItalic" w:hAnsi="LiberationSans-BoldItalic" w:cs="LiberationSans-BoldItalic"/>
      <w:b/>
      <w:bCs/>
      <w:i/>
      <w:iCs/>
      <w:color w:val="355E00"/>
      <w:sz w:val="20"/>
      <w:szCs w:val="20"/>
    </w:rPr>
  </w:style>
  <w:style w:type="character" w:styleId="Fontstyle21">
    <w:name w:val="fontstyle21"/>
    <w:qFormat/>
    <w:rPr>
      <w:rFonts w:ascii="LiberationSerif" w:hAnsi="LiberationSerif" w:cs="LiberationSerif"/>
      <w:b w:val="false"/>
      <w:bCs w:val="false"/>
      <w:i w:val="false"/>
      <w:iCs w:val="false"/>
      <w:color w:val="000000"/>
      <w:sz w:val="22"/>
      <w:szCs w:val="22"/>
    </w:rPr>
  </w:style>
  <w:style w:type="character" w:styleId="Caractresdenumrotation">
    <w:name w:val="Caractères de numérotation"/>
    <w:qFormat/>
    <w:rPr/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>
      <w:rFonts w:cs="Calibri"/>
      <w:szCs w:val="24"/>
      <w:lang w:bidi="en-US"/>
    </w:rPr>
  </w:style>
  <w:style w:type="paragraph" w:styleId="Liste">
    <w:name w:val="List"/>
    <w:basedOn w:val="Corpsdetexte"/>
    <w:pPr/>
    <w:rPr>
      <w:rFonts w:ascii="Liberation Sans" w:hAnsi="Liberation Sans"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</w:rPr>
  </w:style>
  <w:style w:type="paragraph" w:styleId="Titre31">
    <w:name w:val="Titre3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Titre21">
    <w:name w:val="Titre2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ial Unicode MS" w:cs="Mangal"/>
      <w:sz w:val="28"/>
      <w:szCs w:val="28"/>
    </w:rPr>
  </w:style>
  <w:style w:type="paragraph" w:styleId="Titre11">
    <w:name w:val="Titre1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Mincho" w:cs="Tahoma"/>
      <w:sz w:val="28"/>
      <w:szCs w:val="28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Normal"/>
    <w:pPr>
      <w:tabs>
        <w:tab w:val="clear" w:pos="709"/>
        <w:tab w:val="center" w:pos="4820" w:leader="none"/>
        <w:tab w:val="right" w:pos="9639" w:leader="none"/>
      </w:tabs>
    </w:pPr>
    <w:rPr/>
  </w:style>
  <w:style w:type="paragraph" w:styleId="En-tte">
    <w:name w:val="Header"/>
    <w:basedOn w:val="Pieddepage"/>
    <w:pPr/>
    <w:rPr/>
  </w:style>
  <w:style w:type="paragraph" w:styleId="ISOMB">
    <w:name w:val="ISO_MB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lause">
    <w:name w:val="ISO_Clause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Paragraph">
    <w:name w:val="ISO_Paragraph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ommType">
    <w:name w:val="ISO_Comm_Type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omments">
    <w:name w:val="ISO_Comments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hange">
    <w:name w:val="ISO_Change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SecretObservations">
    <w:name w:val="ISO_Secret_Observations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Notedebasdepage">
    <w:name w:val="Footnote Text"/>
    <w:basedOn w:val="Normal"/>
    <w:pPr/>
    <w:rPr>
      <w:sz w:val="20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Verdana" w:hAnsi="Verdana" w:eastAsia="Calibri" w:cs="Verdana"/>
      <w:color w:val="000000"/>
      <w:kern w:val="2"/>
      <w:sz w:val="24"/>
      <w:szCs w:val="24"/>
      <w:lang w:eastAsia="zh-CN" w:val="fr-FR" w:bidi="ar-SA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BalloonText">
    <w:name w:val="Balloon Text"/>
    <w:basedOn w:val="Normal"/>
    <w:qFormat/>
    <w:pPr>
      <w:numPr>
        <w:ilvl w:val="0"/>
        <w:numId w:val="6"/>
      </w:numPr>
      <w:ind w:left="0" w:right="0" w:hanging="0"/>
    </w:pPr>
    <w:rPr>
      <w:rFonts w:ascii="Tahoma" w:hAnsi="Tahoma" w:eastAsia="MS Mincho" w:cs="Tahoma"/>
      <w:sz w:val="16"/>
      <w:szCs w:val="16"/>
    </w:rPr>
  </w:style>
  <w:style w:type="paragraph" w:styleId="Listepuces31">
    <w:name w:val="Liste à puces 31"/>
    <w:basedOn w:val="Normal"/>
    <w:qFormat/>
    <w:pPr>
      <w:numPr>
        <w:ilvl w:val="0"/>
        <w:numId w:val="5"/>
      </w:numPr>
    </w:pPr>
    <w:rPr/>
  </w:style>
  <w:style w:type="paragraph" w:styleId="Introduction">
    <w:name w:val="Introduction"/>
    <w:basedOn w:val="Normal"/>
    <w:next w:val="Normal"/>
    <w:qFormat/>
    <w:pPr>
      <w:keepNext w:val="true"/>
      <w:pageBreakBefore/>
      <w:tabs>
        <w:tab w:val="clear" w:pos="709"/>
        <w:tab w:val="left" w:pos="400" w:leader="none"/>
      </w:tabs>
      <w:spacing w:lineRule="exact" w:line="310" w:before="960" w:after="310"/>
      <w:jc w:val="left"/>
    </w:pPr>
    <w:rPr>
      <w:rFonts w:eastAsia="MS Mincho"/>
      <w:b/>
      <w:sz w:val="28"/>
      <w:lang w:eastAsia="ja-JP"/>
    </w:rPr>
  </w:style>
  <w:style w:type="paragraph" w:styleId="Listenumros21">
    <w:name w:val="Liste à numéros 21"/>
    <w:basedOn w:val="Normal"/>
    <w:qFormat/>
    <w:pPr>
      <w:tabs>
        <w:tab w:val="clear" w:pos="709"/>
        <w:tab w:val="left" w:pos="1080" w:leader="none"/>
      </w:tabs>
      <w:spacing w:lineRule="atLeast" w:line="230" w:before="0" w:after="240"/>
      <w:ind w:left="800" w:right="0" w:hanging="400"/>
    </w:pPr>
    <w:rPr>
      <w:rFonts w:eastAsia="MS Mincho"/>
      <w:sz w:val="20"/>
      <w:lang w:eastAsia="ja-JP"/>
    </w:rPr>
  </w:style>
  <w:style w:type="paragraph" w:styleId="Commentaire1">
    <w:name w:val="Commentaire1"/>
    <w:basedOn w:val="Normal"/>
    <w:qFormat/>
    <w:pPr/>
    <w:rPr>
      <w:rFonts w:eastAsia="Calibri"/>
      <w:sz w:val="20"/>
    </w:rPr>
  </w:style>
  <w:style w:type="paragraph" w:styleId="Annotationsubject">
    <w:name w:val="annotation subject"/>
    <w:basedOn w:val="Commentaire1"/>
    <w:next w:val="Commentaire1"/>
    <w:qFormat/>
    <w:pPr/>
    <w:rPr>
      <w:rFonts w:eastAsia="Times New Roman"/>
      <w:b/>
      <w:bCs/>
    </w:rPr>
  </w:style>
  <w:style w:type="paragraph" w:styleId="Annex1">
    <w:name w:val="Annex 1"/>
    <w:basedOn w:val="Titre1"/>
    <w:next w:val="Normal"/>
    <w:qFormat/>
    <w:pPr>
      <w:numPr>
        <w:ilvl w:val="0"/>
        <w:numId w:val="3"/>
      </w:numPr>
      <w:tabs>
        <w:tab w:val="clear" w:pos="709"/>
        <w:tab w:val="left" w:pos="1560" w:leader="none"/>
      </w:tabs>
      <w:spacing w:before="240" w:after="60"/>
      <w:outlineLvl w:val="9"/>
    </w:pPr>
    <w:rPr>
      <w:bCs/>
      <w:sz w:val="32"/>
      <w:szCs w:val="22"/>
    </w:rPr>
  </w:style>
  <w:style w:type="paragraph" w:styleId="Annex2">
    <w:name w:val="Annex 2"/>
    <w:basedOn w:val="Titre2"/>
    <w:next w:val="Normal"/>
    <w:qFormat/>
    <w:pPr>
      <w:numPr>
        <w:ilvl w:val="0"/>
        <w:numId w:val="0"/>
      </w:numPr>
      <w:tabs>
        <w:tab w:val="clear" w:pos="709"/>
        <w:tab w:val="left" w:pos="0" w:leader="none"/>
      </w:tabs>
      <w:spacing w:before="360" w:after="0"/>
      <w:ind w:left="432" w:right="0" w:hanging="432"/>
      <w:outlineLvl w:val="9"/>
    </w:pPr>
    <w:rPr>
      <w:bCs/>
      <w:iCs/>
      <w:sz w:val="28"/>
      <w:szCs w:val="28"/>
    </w:rPr>
  </w:style>
  <w:style w:type="paragraph" w:styleId="Exigence">
    <w:name w:val="Exigence"/>
    <w:basedOn w:val="Normal"/>
    <w:qFormat/>
    <w:pPr>
      <w:numPr>
        <w:ilvl w:val="0"/>
        <w:numId w:val="4"/>
      </w:numPr>
    </w:pPr>
    <w:rPr>
      <w:rFonts w:cs="Calibri"/>
      <w:szCs w:val="24"/>
    </w:rPr>
  </w:style>
  <w:style w:type="paragraph" w:styleId="NormalWeb1">
    <w:name w:val="Normal (Web)1"/>
    <w:basedOn w:val="Normal"/>
    <w:qFormat/>
    <w:pPr>
      <w:spacing w:before="280" w:after="280"/>
    </w:pPr>
    <w:rPr>
      <w:rFonts w:ascii="Times New Roman" w:hAnsi="Times New Roman" w:cs="Calibri"/>
      <w:sz w:val="24"/>
      <w:szCs w:val="24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gilles.cebelieu@ign.fr" TargetMode="External"/><Relationship Id="rId2" Type="http://schemas.openxmlformats.org/officeDocument/2006/relationships/hyperlink" Target="mailto:alison.lenain@ign.fr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Application>LibreOffice/7.5.7.1.M1$Windows_X86_64 LibreOffice_project/9d4bf91ba30c991aaed3b97dd4173f7705c6b5ae</Application>
  <AppVersion>15.0000</AppVersion>
  <Pages>3</Pages>
  <Words>263</Words>
  <Characters>1284</Characters>
  <CharactersWithSpaces>1492</CharactersWithSpaces>
  <Paragraphs>63</Paragraphs>
  <Company>IGN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2024-04-30T10:00:00Z</dcterms:created>
  <dc:creator>Marie Lambois</dc:creator>
  <dc:description>Appel à commentaires CNIG</dc:description>
  <cp:keywords>Appel à commentaires CNIG</cp:keywords>
  <dc:language>fr-FR</dc:language>
  <cp:lastModifiedBy/>
  <cp:lastPrinted>1899-12-31T23:00:00Z</cp:lastPrinted>
  <dcterms:modified xsi:type="dcterms:W3CDTF">2024-06-27T13:42:51Z</dcterms:modified>
  <cp:revision>8</cp:revision>
  <dc:subject>Appel à commentaires CNIG</dc:subject>
  <dc:title>Appel à commentaires CNIG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O974ISO">
    <vt:lpwstr>-1</vt:lpwstr>
  </property>
</Properties>
</file>