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15300"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454"/>
        <w:gridCol w:w="996"/>
        <w:gridCol w:w="1213"/>
        <w:gridCol w:w="1642"/>
        <w:gridCol w:w="4079"/>
        <w:gridCol w:w="3915"/>
        <w:gridCol w:w="3000"/>
      </w:tblGrid>
      <w:tr>
        <w:trPr>
          <w:tblHeader w:val="true"/>
          <w:trHeight w:val="1010" w:hRule="atLeast"/>
          <w:cantSplit w:val="true"/>
        </w:trPr>
        <w:tc>
          <w:tcPr>
            <w:tcW w:w="454"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b/>
                <w:bCs/>
                <w:color w:val="000000"/>
                <w:sz w:val="16"/>
                <w:szCs w:val="16"/>
              </w:rPr>
            </w:pPr>
            <w:r>
              <w:rPr>
                <w:b/>
                <w:bCs/>
                <w:color w:val="000000"/>
                <w:sz w:val="16"/>
                <w:szCs w:val="16"/>
              </w:rPr>
            </w:r>
          </w:p>
        </w:tc>
        <w:tc>
          <w:tcPr>
            <w:tcW w:w="996"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Organisme</w:t>
            </w:r>
          </w:p>
        </w:tc>
        <w:tc>
          <w:tcPr>
            <w:tcW w:w="1213"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Type de commentaire:(G)énéral  (M)étier (T)echnique (D)ocument</w:t>
            </w:r>
          </w:p>
        </w:tc>
        <w:tc>
          <w:tcPr>
            <w:tcW w:w="1642"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Page, Paragraphe</w:t>
            </w:r>
          </w:p>
          <w:p>
            <w:pPr>
              <w:pStyle w:val="Normal"/>
              <w:widowControl w:val="false"/>
              <w:snapToGrid w:val="false"/>
              <w:spacing w:lineRule="exact" w:line="190" w:before="100" w:after="60"/>
              <w:jc w:val="center"/>
              <w:rPr/>
            </w:pPr>
            <w:r>
              <w:rPr>
                <w:color w:val="000000"/>
                <w:sz w:val="16"/>
                <w:szCs w:val="16"/>
              </w:rPr>
              <w:t>Figure / Tableau / Note / Ligne</w:t>
            </w:r>
          </w:p>
        </w:tc>
        <w:tc>
          <w:tcPr>
            <w:tcW w:w="4079"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Commentaire</w:t>
            </w:r>
          </w:p>
          <w:p>
            <w:pPr>
              <w:pStyle w:val="Normal"/>
              <w:widowControl w:val="false"/>
              <w:snapToGrid w:val="false"/>
              <w:spacing w:lineRule="exact" w:line="190" w:before="100" w:after="60"/>
              <w:jc w:val="center"/>
              <w:rPr/>
            </w:pPr>
            <w:r>
              <w:rPr>
                <w:b/>
                <w:bCs/>
                <w:color w:val="000000"/>
                <w:sz w:val="16"/>
                <w:szCs w:val="16"/>
              </w:rPr>
              <w:t>(explication du besoin de modification)</w:t>
            </w:r>
          </w:p>
        </w:tc>
        <w:tc>
          <w:tcPr>
            <w:tcW w:w="3915" w:type="dxa"/>
            <w:tcBorders>
              <w:top w:val="single" w:sz="2" w:space="0" w:color="000000"/>
              <w:left w:val="single" w:sz="2" w:space="0" w:color="000000"/>
              <w:bottom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 xml:space="preserve">Modification proposée </w:t>
            </w:r>
          </w:p>
        </w:tc>
        <w:tc>
          <w:tcPr>
            <w:tcW w:w="3000" w:type="dxa"/>
            <w:tcBorders>
              <w:top w:val="single" w:sz="2" w:space="0" w:color="000000"/>
              <w:left w:val="single" w:sz="2" w:space="0" w:color="000000"/>
              <w:bottom w:val="single" w:sz="2" w:space="0" w:color="000000"/>
              <w:right w:val="single" w:sz="2" w:space="0" w:color="000000"/>
            </w:tcBorders>
            <w:shd w:color="auto" w:fill="auto" w:val="clear"/>
          </w:tcPr>
          <w:p>
            <w:pPr>
              <w:pStyle w:val="Normal"/>
              <w:keepLines/>
              <w:widowControl w:val="false"/>
              <w:snapToGrid w:val="false"/>
              <w:spacing w:lineRule="exact" w:line="190" w:before="100" w:after="60"/>
              <w:jc w:val="center"/>
              <w:rPr/>
            </w:pPr>
            <w:r>
              <w:rPr>
                <w:b/>
                <w:bCs/>
                <w:color w:val="000000"/>
                <w:sz w:val="16"/>
                <w:szCs w:val="16"/>
              </w:rPr>
              <w:t>Décision du GT CNIG Risques</w:t>
            </w:r>
          </w:p>
        </w:tc>
      </w:tr>
      <w:tr>
        <w:trPr>
          <w:trHeight w:val="400" w:hRule="atLeast"/>
          <w:cantSplit w:val="true"/>
        </w:trPr>
        <w:tc>
          <w:tcPr>
            <w:tcW w:w="15299" w:type="dxa"/>
            <w:gridSpan w:val="7"/>
            <w:tcBorders>
              <w:left w:val="single" w:sz="2" w:space="0" w:color="000000"/>
              <w:bottom w:val="single" w:sz="2" w:space="0" w:color="000000"/>
              <w:right w:val="single" w:sz="2" w:space="0" w:color="000000"/>
            </w:tcBorders>
            <w:shd w:color="auto" w:fill="auto" w:val="clear"/>
          </w:tcPr>
          <w:p>
            <w:pPr>
              <w:pStyle w:val="ISOMB"/>
              <w:widowControl w:val="false"/>
              <w:snapToGrid w:val="false"/>
              <w:spacing w:lineRule="atLeast" w:line="100" w:before="60" w:after="60"/>
              <w:jc w:val="center"/>
              <w:rPr>
                <w:b w:val="false"/>
                <w:bCs w:val="false"/>
              </w:rPr>
            </w:pPr>
            <w:r>
              <w:rPr>
                <w:b w:val="false"/>
                <w:bCs w:val="false"/>
                <w:color w:val="0000FF"/>
                <w:szCs w:val="18"/>
              </w:rPr>
              <w:t xml:space="preserve">Merci de nous retourner </w:t>
            </w:r>
            <w:r>
              <w:rPr>
                <w:b w:val="false"/>
                <w:bCs w:val="false"/>
                <w:color w:val="0000FF"/>
                <w:szCs w:val="18"/>
                <w:u w:val="single"/>
              </w:rPr>
              <w:t>CE fichier</w:t>
            </w:r>
            <w:r>
              <w:rPr>
                <w:b w:val="false"/>
                <w:bCs w:val="false"/>
                <w:color w:val="0000FF"/>
                <w:szCs w:val="18"/>
              </w:rPr>
              <w:t xml:space="preserve"> au format .docx (pas pdf)</w:t>
            </w:r>
          </w:p>
          <w:p>
            <w:pPr>
              <w:pStyle w:val="ISOMB"/>
              <w:widowControl w:val="false"/>
              <w:snapToGrid w:val="false"/>
              <w:spacing w:lineRule="atLeast" w:line="100" w:before="60" w:after="60"/>
              <w:jc w:val="center"/>
              <w:rPr>
                <w:b w:val="false"/>
                <w:bCs w:val="false"/>
              </w:rPr>
            </w:pPr>
            <w:r>
              <w:rPr>
                <w:b w:val="false"/>
                <w:bCs w:val="false"/>
                <w:color w:val="0000FF"/>
                <w:szCs w:val="18"/>
              </w:rPr>
              <w:t xml:space="preserve">Les commentaires </w:t>
            </w:r>
            <w:r>
              <w:rPr>
                <w:b w:val="false"/>
                <w:bCs w:val="false"/>
                <w:color w:val="0000FF"/>
                <w:szCs w:val="18"/>
                <w:u w:val="single"/>
              </w:rPr>
              <w:t>doivent être suivis d'une proposition de modification</w:t>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Page 1, résolution spatiale</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Les PPR peuvent être réalisées à une échelle plus grande que le 1:5000, notamment les PPRT ou des focus sur des zones à forts enjeux des PPRN</w:t>
            </w:r>
          </w:p>
          <w:p>
            <w:pPr>
              <w:pStyle w:val="ISOChange"/>
              <w:widowControl w:val="false"/>
              <w:snapToGrid w:val="false"/>
              <w:spacing w:lineRule="atLeast" w:line="100" w:before="60" w:after="60"/>
              <w:rPr>
                <w:color w:val="000000"/>
                <w:szCs w:val="18"/>
              </w:rPr>
            </w:pPr>
            <w:r>
              <w:rPr>
                <w:color w:val="000000"/>
                <w:szCs w:val="18"/>
              </w:rPr>
              <w:t>(le standard COVADIS propose une résolution entre 1:2000 et 1:25000)</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Résolution : Entre le 1:2500 et le 1:25000</w:t>
            </w:r>
          </w:p>
          <w:p>
            <w:pPr>
              <w:pStyle w:val="ISOChange"/>
              <w:widowControl w:val="false"/>
              <w:snapToGrid w:val="false"/>
              <w:spacing w:lineRule="atLeast" w:line="100" w:before="60" w:after="60"/>
              <w:rPr>
                <w:color w:val="000000"/>
                <w:szCs w:val="18"/>
              </w:rPr>
            </w:pPr>
            <w:r>
              <w:rPr>
                <w:color w:val="000000"/>
                <w:szCs w:val="18"/>
              </w:rPr>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G-D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Sommaire, structure du document</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L’absence de structure est préjudiciable à la bonne lecture et appropriation du document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Intégrer une hiérarchisation explicite (I, II, etc.).</w:t>
            </w:r>
          </w:p>
          <w:p>
            <w:pPr>
              <w:pStyle w:val="ISOChange"/>
              <w:widowControl w:val="false"/>
              <w:snapToGrid w:val="false"/>
              <w:spacing w:lineRule="atLeast" w:line="100" w:before="60" w:after="60"/>
              <w:rPr>
                <w:color w:val="000000"/>
                <w:szCs w:val="18"/>
              </w:rPr>
            </w:pPr>
            <w:r>
              <w:rPr>
                <w:color w:val="000000"/>
                <w:szCs w:val="18"/>
              </w:rPr>
              <w:t>D’une manière générale, il peut être judicieux de s’inspirer des géostandard CNIG existants (PLU ou Friches par exemple) pour la lisibilité du document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G-D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mise en forme des tableaux</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L’absence des lignes et colonnes des tableaux est préjudiciable à la lecture du document</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Afficher les structures des tableaux, il peut être judicieux de s’inspirer des géostandard CNIG existants (PLU ou Friches par exemple)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p.13 cadre réglementaire des PPRT</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Les arrêtés ne sont pas cités dans l’ordre chronologique</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Citer les arrêtés dans l’ordre chronologique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szCs w:val="18"/>
              </w:rPr>
              <w:t>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szCs w:val="18"/>
              </w:rPr>
            </w:pPr>
            <w:r>
              <w:rPr>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szCs w:val="18"/>
              </w:rPr>
            </w:pPr>
            <w:r>
              <w:rPr>
                <w:szCs w:val="18"/>
              </w:rPr>
              <w:t>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szCs w:val="18"/>
              </w:rPr>
            </w:pPr>
            <w:r>
              <w:rPr>
                <w:szCs w:val="18"/>
              </w:rPr>
              <w:t>p.16 acteurs et rôles</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szCs w:val="18"/>
              </w:rPr>
            </w:pPr>
            <w:r>
              <w:rPr>
                <w:szCs w:val="18"/>
              </w:rPr>
              <w:t>Les DREAL sont productrices des aléas des PPRT</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t>Ajouter les DREAL dans les producteurs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p.22 Thématique Procedures et périmètres</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Coquille  dans le 1</w:t>
            </w:r>
            <w:r>
              <w:rPr>
                <w:color w:val="000000"/>
                <w:szCs w:val="18"/>
                <w:vertAlign w:val="superscript"/>
              </w:rPr>
              <w:t>er</w:t>
            </w:r>
            <w:r>
              <w:rPr>
                <w:color w:val="000000"/>
                <w:szCs w:val="18"/>
              </w:rPr>
              <w:t xml:space="preserve"> § : « regroupe les informations relatives </w:t>
            </w:r>
            <w:r>
              <w:rPr>
                <w:b/>
                <w:bCs/>
                <w:color w:val="000000"/>
                <w:szCs w:val="18"/>
              </w:rPr>
              <w:t>alu</w:t>
            </w:r>
            <w:r>
              <w:rPr>
                <w:color w:val="000000"/>
                <w:szCs w:val="18"/>
              </w:rPr>
              <w:t xml:space="preserve"> suivi administratif...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Remplacer par :</w:t>
            </w:r>
          </w:p>
          <w:p>
            <w:pPr>
              <w:pStyle w:val="ISOComments"/>
              <w:widowControl w:val="false"/>
              <w:snapToGrid w:val="false"/>
              <w:spacing w:lineRule="atLeast" w:line="100" w:before="60" w:after="60"/>
              <w:rPr>
                <w:color w:val="000000"/>
                <w:szCs w:val="18"/>
              </w:rPr>
            </w:pPr>
            <w:r>
              <w:rPr>
                <w:color w:val="000000"/>
                <w:szCs w:val="18"/>
              </w:rPr>
              <w:t xml:space="preserve">« regroupe les informations relatives </w:t>
            </w:r>
            <w:r>
              <w:rPr>
                <w:b/>
                <w:bCs/>
                <w:color w:val="000000"/>
                <w:szCs w:val="18"/>
              </w:rPr>
              <w:t>au</w:t>
            </w:r>
            <w:r>
              <w:rPr>
                <w:color w:val="000000"/>
                <w:szCs w:val="18"/>
              </w:rPr>
              <w:t xml:space="preserve"> suivi administratif...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p.28 Thématique Procédures et périmètres</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La classe d’objet Périmètre n’est pas décrite</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la description de la classe Perimetre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p.36, p.70 à p.72, et p.153 à p.155</w:t>
            </w:r>
          </w:p>
          <w:p>
            <w:pPr>
              <w:pStyle w:val="ISOClause"/>
              <w:widowControl w:val="false"/>
              <w:snapToGrid w:val="false"/>
              <w:spacing w:lineRule="atLeast" w:line="100" w:before="60" w:after="60"/>
              <w:rPr>
                <w:color w:val="000000"/>
                <w:szCs w:val="18"/>
              </w:rPr>
            </w:pPr>
            <w:r>
              <w:rPr>
                <w:color w:val="000000"/>
                <w:szCs w:val="18"/>
              </w:rPr>
              <w:t xml:space="preserve"> </w:t>
            </w:r>
            <w:r>
              <w:rPr>
                <w:color w:val="000000"/>
                <w:szCs w:val="18"/>
              </w:rPr>
              <w:t>Table typeeffettechno,</w:t>
            </w:r>
          </w:p>
          <w:p>
            <w:pPr>
              <w:pStyle w:val="ISOClause"/>
              <w:widowControl w:val="false"/>
              <w:snapToGrid w:val="false"/>
              <w:spacing w:lineRule="atLeast" w:line="100" w:before="60" w:after="60"/>
              <w:rPr>
                <w:color w:val="000000"/>
                <w:szCs w:val="18"/>
              </w:rPr>
            </w:pPr>
            <w:r>
              <w:rPr>
                <w:color w:val="000000"/>
                <w:szCs w:val="18"/>
              </w:rPr>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 xml:space="preserve">Intérêt de la table typeffettechno ? </w:t>
            </w:r>
          </w:p>
          <w:p>
            <w:pPr>
              <w:pStyle w:val="ISOComments"/>
              <w:widowControl w:val="false"/>
              <w:snapToGrid w:val="false"/>
              <w:spacing w:lineRule="atLeast" w:line="100" w:before="60" w:after="60"/>
              <w:rPr>
                <w:color w:val="000000"/>
                <w:szCs w:val="18"/>
              </w:rPr>
            </w:pPr>
            <w:r>
              <w:rPr>
                <w:color w:val="000000"/>
                <w:szCs w:val="18"/>
              </w:rPr>
              <w:t>Elle reprend les aléas technologiques déjà renseignés dans la table typealea</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Supprimer la table d’énumération typeeffettechno.</w:t>
            </w:r>
          </w:p>
          <w:p>
            <w:pPr>
              <w:pStyle w:val="ISOChange"/>
              <w:widowControl w:val="false"/>
              <w:snapToGrid w:val="false"/>
              <w:spacing w:lineRule="atLeast" w:line="100" w:before="60" w:after="60"/>
              <w:rPr>
                <w:color w:val="000000"/>
                <w:szCs w:val="18"/>
              </w:rPr>
            </w:pPr>
            <w:r>
              <w:rPr>
                <w:color w:val="000000"/>
                <w:szCs w:val="18"/>
              </w:rPr>
              <w:t>Modifier la structuration des tables caractérisant les phénomènes technologiques en conséquence en faisant référence à la table typealea</w:t>
            </w:r>
          </w:p>
          <w:p>
            <w:pPr>
              <w:pStyle w:val="ISOChange"/>
              <w:widowControl w:val="false"/>
              <w:snapToGrid w:val="false"/>
              <w:spacing w:lineRule="atLeast" w:line="100" w:before="60" w:after="60"/>
              <w:rPr>
                <w:color w:val="000000"/>
                <w:szCs w:val="18"/>
              </w:rPr>
            </w:pPr>
            <w:r>
              <w:rPr>
                <w:color w:val="000000"/>
                <w:szCs w:val="18"/>
              </w:rPr>
              <w:t>(peut-être ajouter une contrainte de valeurs imposant seulement une des quatres valeurs d’aléa technologique ?)</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 xml:space="preserve">p. 51 </w:t>
            </w:r>
          </w:p>
          <w:p>
            <w:pPr>
              <w:pStyle w:val="ISOClause"/>
              <w:widowControl w:val="false"/>
              <w:snapToGrid w:val="false"/>
              <w:spacing w:lineRule="atLeast" w:line="100" w:before="60" w:after="60"/>
              <w:rPr>
                <w:color w:val="000000"/>
                <w:szCs w:val="18"/>
              </w:rPr>
            </w:pPr>
            <w:r>
              <w:rPr>
                <w:color w:val="000000"/>
                <w:szCs w:val="18"/>
              </w:rPr>
              <w:t>Symbologie</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 terme « règles de symbologie » implique une obligation imposée par le standard ou autres références réglementaires alors qu’il n’’existe que des recommandations.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Remplacer « Règles de symbologie » par « Recommandations de symbologie » dans l’ensemble du document(cf. P53 du standard COVADIS PPR)</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p.55 Livraison GPKG</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C’est une fausse bonne idée, la grande majorité des services producteurs de PPR (DDT(M)) utilise l’infrastructure de données géomatiques (Geo-IDE) maintenue par la DNUM du MTE (</w:t>
            </w:r>
            <w:hyperlink r:id="rId2">
              <w:r>
                <w:rPr>
                  <w:rStyle w:val="LienInternet"/>
                  <w:color w:val="000000"/>
                  <w:szCs w:val="18"/>
                </w:rPr>
                <w:t>https://spote.developpement-durable.gouv.fr/offre/geo-ide-infrastructure-de-donnees-geomatiques</w:t>
              </w:r>
            </w:hyperlink>
            <w:r>
              <w:rPr>
                <w:color w:val="000000"/>
                <w:szCs w:val="18"/>
              </w:rPr>
              <w:t>)</w:t>
            </w:r>
          </w:p>
          <w:p>
            <w:pPr>
              <w:pStyle w:val="ISOComments"/>
              <w:widowControl w:val="false"/>
              <w:snapToGrid w:val="false"/>
              <w:spacing w:lineRule="atLeast" w:line="100" w:before="60" w:after="60"/>
              <w:rPr>
                <w:color w:val="000000"/>
                <w:szCs w:val="18"/>
              </w:rPr>
            </w:pPr>
            <w:r>
              <w:rPr>
                <w:color w:val="000000"/>
                <w:szCs w:val="18"/>
              </w:rPr>
              <w:t>Or cette infrastructure ne supporte pas le format GPKG et l’intégration de ce format n’est pas prévu à court ou moyen terme (remplacement de GeoIDE-Base par GeoIDE-patrimoine en 2025)</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Prévoir une livraison des tables en SHP.</w:t>
            </w:r>
          </w:p>
          <w:p>
            <w:pPr>
              <w:pStyle w:val="ISOChange"/>
              <w:widowControl w:val="false"/>
              <w:snapToGrid w:val="false"/>
              <w:spacing w:lineRule="atLeast" w:line="100" w:before="60" w:after="60"/>
              <w:rPr>
                <w:color w:val="000000"/>
                <w:szCs w:val="18"/>
              </w:rPr>
            </w:pPr>
            <w:r>
              <w:rPr>
                <w:color w:val="000000"/>
                <w:szCs w:val="18"/>
              </w:rPr>
              <w:t>S’inspirer de ce qui est fait par l’IGN pour la livraison de la BDTOPO®, le descriptif de contenu du produit intègre une correspondance de nom de colonne.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p.56, Nommage fichier livraison</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Le nommage proposé pour les PPR est valable pour les procédures enregistrées dans GASPAR avant 2022. Depuis le numéro de procédure intègre le type de PPR, donc cela fera redondance pour le nommage des fichiers ex : PPRN-I_PPRN-I_2023_0043</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Simplifier le nommage des fichiers, ex :</w:t>
            </w:r>
          </w:p>
          <w:p>
            <w:pPr>
              <w:pStyle w:val="ISOChange"/>
              <w:widowControl w:val="false"/>
              <w:snapToGrid w:val="false"/>
              <w:spacing w:lineRule="atLeast" w:line="100" w:before="60" w:after="60"/>
              <w:rPr>
                <w:color w:val="000000"/>
                <w:szCs w:val="18"/>
              </w:rPr>
            </w:pPr>
            <w:r>
              <w:rPr>
                <w:color w:val="000000"/>
                <w:szCs w:val="18"/>
              </w:rPr>
              <w:t>PPR[N|T]_[CodeGASPARComplet]</w:t>
            </w:r>
          </w:p>
          <w:p>
            <w:pPr>
              <w:pStyle w:val="ISOChange"/>
              <w:widowControl w:val="false"/>
              <w:snapToGrid w:val="false"/>
              <w:spacing w:lineRule="atLeast" w:line="100" w:before="60" w:after="60"/>
              <w:rPr>
                <w:color w:val="000000"/>
                <w:szCs w:val="18"/>
              </w:rPr>
            </w:pPr>
            <w:r>
              <w:rPr>
                <w:color w:val="000000"/>
                <w:szCs w:val="18"/>
              </w:rPr>
              <w:t>Eviter le « - » dans le nom des tables pour faciliter l’intégration dans des bases de type PostgreSQL</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p.63, Dictionnaire des tables</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Seules les tables des thématiques « Procédures et périmètres» et « Zonage réglementaire » devraient être obligatoires. Les données relatives aux aléas ne sont pas forcément disponibles (cas des documents approuvés avant 1995 et toujours valables)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Limiter l’obligation de fournitures des tables aux thématiques « Procédures et périmètres» et « Zonage réglementaire ».</w:t>
            </w:r>
          </w:p>
          <w:p>
            <w:pPr>
              <w:pStyle w:val="ISOChange"/>
              <w:widowControl w:val="false"/>
              <w:snapToGrid w:val="false"/>
              <w:spacing w:lineRule="atLeast" w:line="100" w:before="60" w:after="60"/>
              <w:rPr>
                <w:color w:val="000000"/>
                <w:szCs w:val="18"/>
              </w:rPr>
            </w:pPr>
            <w:r>
              <w:rPr>
                <w:color w:val="000000"/>
                <w:szCs w:val="18"/>
              </w:rPr>
              <w:t>Il faut pouvoir valoriser au maxlmum les données produites lors de l’élaboration du PPR mais ne pas bloquer sa standardisation/publication en raison de l’absence de données non réglementaires (aléas, enjeux, ouvrages).</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13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p.64, Dictionnaire des tables</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La table zoneregmultialea ne peut pas être obligatoire car elle est conditionnée à la présence d’un PPR multirisque</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Modifier le caractère obligatoire (O) en conditionnel (C) de la table  zoneregmultialea</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p.67/p.82 Table énumération typereference</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La table d’énumération ne semble pas pertinente ou pas complète, il y aura beaucoup de remplissage de type ‘98’ ou ‘99’</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Proposer un lien vers le document complet et non pièce par pièce, ex :</w:t>
            </w:r>
          </w:p>
          <w:p>
            <w:pPr>
              <w:pStyle w:val="ISOChange"/>
              <w:widowControl w:val="false"/>
              <w:snapToGrid w:val="false"/>
              <w:spacing w:lineRule="atLeast" w:line="100" w:before="60" w:after="60"/>
              <w:rPr>
                <w:color w:val="000000"/>
                <w:szCs w:val="18"/>
              </w:rPr>
            </w:pPr>
            <w:r>
              <w:rPr>
                <w:color w:val="000000"/>
                <w:szCs w:val="18"/>
              </w:rPr>
              <w:t>- pièces écrites</w:t>
            </w:r>
          </w:p>
          <w:p>
            <w:pPr>
              <w:pStyle w:val="ISOChange"/>
              <w:widowControl w:val="false"/>
              <w:snapToGrid w:val="false"/>
              <w:spacing w:lineRule="atLeast" w:line="100" w:before="60" w:after="60"/>
              <w:rPr>
                <w:color w:val="000000"/>
                <w:szCs w:val="18"/>
              </w:rPr>
            </w:pPr>
            <w:r>
              <w:rPr>
                <w:color w:val="000000"/>
                <w:szCs w:val="18"/>
              </w:rPr>
              <w:t>- données géographiques</w:t>
            </w:r>
          </w:p>
          <w:p>
            <w:pPr>
              <w:pStyle w:val="ISOChange"/>
              <w:widowControl w:val="false"/>
              <w:snapToGrid w:val="false"/>
              <w:spacing w:lineRule="atLeast" w:line="100" w:before="60" w:after="60"/>
              <w:rPr>
                <w:color w:val="000000"/>
                <w:szCs w:val="18"/>
              </w:rPr>
            </w:pPr>
            <w:r>
              <w:rPr>
                <w:color w:val="000000"/>
                <w:szCs w:val="18"/>
              </w:rPr>
              <w:t>car les URL trop précise ne sont pas valables dans le temps (ex : changement de structuration d’un site Internet)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15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p.68 Tables zonealeaxxxx</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Après échanges avec le service métier, il est indispensable de disposer d’une couche multialéa géographique.</w:t>
            </w:r>
          </w:p>
          <w:p>
            <w:pPr>
              <w:pStyle w:val="ISOComments"/>
              <w:widowControl w:val="false"/>
              <w:snapToGrid w:val="false"/>
              <w:spacing w:lineRule="atLeast" w:line="100" w:before="60" w:after="60"/>
              <w:rPr>
                <w:color w:val="000000"/>
                <w:szCs w:val="18"/>
              </w:rPr>
            </w:pPr>
            <w:r>
              <w:rPr>
                <w:color w:val="000000"/>
                <w:szCs w:val="18"/>
              </w:rPr>
              <w:t>En effet, pour l’instruction de PPRN mulitrisques, les deux cas peuvent se rencontrer : traitement phénomène par phénomène ou de façon synthétique</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une table géographique type : zonealeasynthese (reprendre la version du standard COVADIS).</w:t>
            </w:r>
          </w:p>
          <w:p>
            <w:pPr>
              <w:pStyle w:val="ISOChange"/>
              <w:widowControl w:val="false"/>
              <w:snapToGrid w:val="false"/>
              <w:spacing w:lineRule="atLeast" w:line="100" w:before="60" w:after="60"/>
              <w:rPr>
                <w:color w:val="000000"/>
                <w:szCs w:val="18"/>
              </w:rPr>
            </w:pPr>
            <w:r>
              <w:rPr>
                <w:color w:val="000000"/>
                <w:szCs w:val="18"/>
              </w:rPr>
              <w:t>La distinction des phénomènes présents sur une même zone sera disponible via la couche zoneregmultialea</w:t>
            </w:r>
          </w:p>
          <w:p>
            <w:pPr>
              <w:pStyle w:val="ISOChange"/>
              <w:widowControl w:val="false"/>
              <w:snapToGrid w:val="false"/>
              <w:spacing w:lineRule="atLeast" w:line="100" w:before="60" w:after="60"/>
              <w:rPr>
                <w:color w:val="000000"/>
                <w:szCs w:val="18"/>
              </w:rPr>
            </w:pPr>
            <w:r>
              <w:rPr>
                <w:color w:val="000000"/>
                <w:szCs w:val="18"/>
              </w:rPr>
              <w:t>Il faut que les services instructeurs puissent avoir le choix pour le traitement des données aléas (phénomène par phénomène ou synthétique)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16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p.70 Tables zonealeatechnoxxx</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A l’instar des aléas technologiques, il faudrait prévoir des tables de caractérisation des aléas naturels (exemple pour avalanche : aérosol, neige humide, etc.)</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Au lieu de proposer des tables spécifiques de caractérisation des phénomènes technologique, élargir la possibilité aux phénomènes naturels</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1</w:t>
            </w:r>
            <w:r>
              <w:rPr>
                <w:b/>
                <w:bCs/>
              </w:rPr>
              <w:t>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p.76 Tables ouvrageprotection</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Utiliser un identifiant externe comme clé primaire n’est pas intuitif. L’ouvrage de protection n’est pas forcément issu d’un référentiel externe, il a pu être numérisé pour le procédure en cours (cas des petits ouvrages de protection)</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une clé primaire propre à la procédure nommée par exemple idouvrageprotection</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1</w:t>
            </w:r>
            <w:r>
              <w:rPr>
                <w:b/>
                <w:bCs/>
              </w:rPr>
              <w:t>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 - 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p.76 Tables originerisque</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Utiliser un identifiant externe comme clé primaire n’est pas intuitif. L’origine du risque n’est pas forcément issu d’une base</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une clé primaire propre au PPR, par exemple idoriginerisque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1</w:t>
            </w:r>
            <w:r>
              <w:rPr>
                <w:b/>
                <w:bCs/>
                <w:color w:val="000000"/>
                <w:szCs w:val="18"/>
              </w:rPr>
              <w:t>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p.77, Table enjeux</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La construction de la table des enjeux est délicate à comprendre.</w:t>
            </w:r>
          </w:p>
          <w:p>
            <w:pPr>
              <w:pStyle w:val="ISOComments"/>
              <w:widowControl w:val="false"/>
              <w:snapToGrid w:val="false"/>
              <w:spacing w:lineRule="atLeast" w:line="100" w:before="60" w:after="60"/>
              <w:rPr>
                <w:color w:val="000000"/>
                <w:szCs w:val="18"/>
              </w:rPr>
            </w:pPr>
            <w:r>
              <w:rPr>
                <w:color w:val="000000"/>
                <w:szCs w:val="18"/>
              </w:rPr>
              <w:t>Les liens avec les référentiels externes (BDTOPO®?) ou les enjeux énumérés dans la table nomenclatureEnjeu mériteraient d’être explicités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Pour le remplissage de la colonne nomenclatureenjeu, prévoir une table d’énumération des valeurs possibles basées sur l’annexe D et simplifier les codes enjeux de l’annexe D</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20</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D</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t>p.77, Table enjeux</w:t>
            </w:r>
          </w:p>
        </w:tc>
        <w:tc>
          <w:tcPr>
            <w:tcW w:w="4079"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Coquille dans le nom de la colonne nomenclature</w:t>
            </w:r>
            <w:r>
              <w:rPr>
                <w:b/>
                <w:bCs/>
                <w:color w:val="000000"/>
                <w:szCs w:val="18"/>
              </w:rPr>
              <w:t>E</w:t>
            </w:r>
            <w:r>
              <w:rPr>
                <w:color w:val="000000"/>
                <w:szCs w:val="18"/>
              </w:rPr>
              <w:t>njeu</w:t>
            </w:r>
          </w:p>
        </w:tc>
        <w:tc>
          <w:tcPr>
            <w:tcW w:w="3915" w:type="dxa"/>
            <w:tcBorders>
              <w:left w:val="single" w:sz="2" w:space="0" w:color="000000"/>
              <w:bottom w:val="single" w:sz="2" w:space="0" w:color="000000"/>
            </w:tcBorders>
            <w:shd w:color="auto" w:fill="auto" w:val="clear"/>
          </w:tcPr>
          <w:p>
            <w:pPr>
              <w:pStyle w:val="ISOComments"/>
              <w:widowControl w:val="false"/>
              <w:snapToGrid w:val="false"/>
              <w:spacing w:lineRule="atLeast" w:line="100" w:before="60" w:after="60"/>
              <w:rPr>
                <w:color w:val="000000"/>
                <w:szCs w:val="18"/>
              </w:rPr>
            </w:pPr>
            <w:r>
              <w:rPr>
                <w:color w:val="000000"/>
                <w:szCs w:val="18"/>
              </w:rPr>
              <w:t>Renommer la colonne nomenclature</w:t>
            </w:r>
            <w:r>
              <w:rPr>
                <w:b w:val="false"/>
                <w:bCs w:val="false"/>
                <w:color w:val="000000"/>
                <w:szCs w:val="18"/>
              </w:rPr>
              <w:t>e</w:t>
            </w:r>
            <w:r>
              <w:rPr>
                <w:color w:val="000000"/>
                <w:szCs w:val="18"/>
              </w:rPr>
              <w:t>njeu pour respecter la syntaxe de nommage des colonnes.</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21</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p.79 Table zonereglementaireurba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L’intitulé de la colonne mesuresobligatoires peut être mal interprété, car elle concerne l’existe,ce ou non de mesures sur les biens existants à la date d’approbation du PPR</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Renommer la colonne  mesuresobligatoires en mesuresobligatoiresexistant par exemple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rPr>
              <w:t>22</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p.84 Table enumération typeniveaualea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Le niveau ‘00’ mélange ‘Très faible ou nul’</w:t>
            </w:r>
          </w:p>
          <w:p>
            <w:pPr>
              <w:pStyle w:val="ISOChange"/>
              <w:widowControl w:val="false"/>
              <w:snapToGrid w:val="false"/>
              <w:spacing w:lineRule="atLeast" w:line="100" w:before="60" w:after="60"/>
              <w:rPr>
                <w:color w:val="000000"/>
                <w:szCs w:val="18"/>
              </w:rPr>
            </w:pPr>
            <w:r>
              <w:rPr>
                <w:color w:val="000000"/>
                <w:szCs w:val="18"/>
              </w:rPr>
              <w:t>Il convient de distinguer les 2 niveaux ‘Très faible’ et ‘nul’</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un niveau ‘nul’ et/ou renommer ‘Très faible ou nul’ en ‘Très faible’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23</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p.85, Table d’énumération typereglementurba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Le code 07 Zone d’aléa exceptionnel est comme son nom l’indique une qualification d’aléa et non un type de réglementation. Une zone réglementaire soumise à un alea exceptionnel supportera un règlement de type recommandation, prescription ou interdiction</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Supprimer de la table le code 07.</w:t>
            </w:r>
          </w:p>
          <w:p>
            <w:pPr>
              <w:pStyle w:val="ISOChange"/>
              <w:widowControl w:val="false"/>
              <w:snapToGrid w:val="false"/>
              <w:spacing w:lineRule="atLeast" w:line="100" w:before="60" w:after="60"/>
              <w:rPr>
                <w:color w:val="000000"/>
                <w:szCs w:val="18"/>
              </w:rPr>
            </w:pPr>
            <w:r>
              <w:rPr>
                <w:color w:val="000000"/>
                <w:szCs w:val="18"/>
              </w:rPr>
              <w:t>Le niveau d’alea exceptionnel est déjà intégré à la table d’énumération tyêniveaualea (08)</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4</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p.85, Table d’énumération typereglementurba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t>Il manque un code pour mentionner les zones à l’intérieur du périmètre d’exposition aux risques mais non réglementées au titre du PPR (par exemple zone ‘blanche’ non soumises à des aléas)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Ajouter à la table un code ‘00’ : zone non réglementée.</w:t>
            </w:r>
          </w:p>
          <w:p>
            <w:pPr>
              <w:pStyle w:val="ISOChange"/>
              <w:widowControl w:val="false"/>
              <w:snapToGrid w:val="false"/>
              <w:spacing w:lineRule="atLeast" w:line="100" w:before="60" w:after="60"/>
              <w:rPr>
                <w:color w:val="000000"/>
                <w:szCs w:val="18"/>
              </w:rPr>
            </w:pPr>
            <w:r>
              <w:rPr>
                <w:color w:val="000000"/>
                <w:szCs w:val="18"/>
              </w:rPr>
              <w:t>Cela permettra également de disposer de table zonagereglementaire topologiquement propre avec absence de lacunes.</w:t>
            </w:r>
          </w:p>
        </w:tc>
        <w:tc>
          <w:tcPr>
            <w:tcW w:w="3000" w:type="dxa"/>
            <w:tcBorders>
              <w:left w:val="single" w:sz="2" w:space="0" w:color="000000"/>
              <w:bottom w:val="single" w:sz="2" w:space="0" w:color="000000"/>
              <w:right w:val="single" w:sz="2" w:space="0" w:color="000000"/>
            </w:tcBorders>
            <w:shd w:color="auto" w:fill="auto" w:val="clear"/>
          </w:tcPr>
          <w:p>
            <w:pPr>
              <w:pStyle w:val="Normal"/>
              <w:widowControl w:val="false"/>
              <w:snapToGrid w:val="false"/>
              <w:spacing w:lineRule="atLeast" w:line="100" w:before="60" w:after="60"/>
              <w:rPr>
                <w:color w:val="000000"/>
                <w:sz w:val="18"/>
                <w:szCs w:val="18"/>
              </w:rPr>
            </w:pPr>
            <w:r>
              <w:rPr>
                <w:color w:val="000000"/>
                <w:sz w:val="18"/>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5</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M - 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p.127 Annexe C</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t>La problèmatique des documents multiriques n’est pas propre aux PPRN, cela peut être le cas pour les PPRT</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Ne pas limiter le cas des PPR multirisques aux PPRN, l’élargir également aux PPRT</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6</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t>T - M</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p.129 Annexe D</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szCs w:val="18"/>
              </w:rPr>
            </w:pPr>
            <w:r>
              <w:rPr>
                <w:szCs w:val="18"/>
              </w:rPr>
              <w:t>Les codes enjeux sont difficilement manipulables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t>Renommer les codes enjeux, supprimer le ‘/’ au début du code</w:t>
            </w:r>
          </w:p>
        </w:tc>
        <w:tc>
          <w:tcPr>
            <w:tcW w:w="3000" w:type="dxa"/>
            <w:tcBorders>
              <w:left w:val="single" w:sz="2" w:space="0" w:color="000000"/>
              <w:bottom w:val="single" w:sz="2" w:space="0" w:color="000000"/>
              <w:right w:val="single" w:sz="2" w:space="0" w:color="000000"/>
            </w:tcBorders>
            <w:shd w:color="auto" w:fill="auto" w:val="clear"/>
          </w:tcPr>
          <w:p>
            <w:pPr>
              <w:pStyle w:val="ISOChange"/>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7</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p.164 table zoneregmultialea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szCs w:val="18"/>
              </w:rPr>
            </w:pPr>
            <w:r>
              <w:rPr>
                <w:szCs w:val="18"/>
              </w:rPr>
              <w:t xml:space="preserve">La table ne comporte pas de clé primaire </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szCs w:val="18"/>
              </w:rPr>
            </w:pPr>
            <w:r>
              <w:rPr>
                <w:szCs w:val="18"/>
              </w:rPr>
              <w:t>Ajouter une clé primaire composite : ensemble des colonnes, afin de prémunir la table des doublons</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8</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p.166 typereference</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color w:val="000000"/>
                <w:szCs w:val="18"/>
              </w:rPr>
            </w:pPr>
            <w:r>
              <w:rPr>
                <w:color w:val="000000"/>
                <w:szCs w:val="18"/>
              </w:rPr>
              <w:t>Le type TEXT(20) pour la colonne libelle ne permet pas d’enregistrer toutes les valeurs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cs="LiberationSerif"/>
                <w:color w:val="000000"/>
                <w:szCs w:val="18"/>
              </w:rPr>
            </w:pPr>
            <w:r>
              <w:rPr>
                <w:rFonts w:cs="LiberationSerif"/>
                <w:color w:val="000000"/>
                <w:szCs w:val="18"/>
              </w:rPr>
              <w:t>Augmenter la valeur du type : TEXT(30) pour la colonne libelle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rFonts w:ascii="LiberationSerif" w:hAnsi="LiberationSerif" w:cs="LiberationSerif"/>
                <w:color w:val="000000"/>
                <w:szCs w:val="18"/>
              </w:rPr>
            </w:pPr>
            <w:r>
              <w:rPr>
                <w:rFonts w:cs="LiberationSerif" w:ascii="LiberationSerif" w:hAnsi="LiberationSerif"/>
                <w:color w:val="000000"/>
                <w:szCs w:val="18"/>
              </w:rPr>
            </w:r>
          </w:p>
        </w:tc>
      </w:tr>
      <w:tr>
        <w:trPr>
          <w:trHeight w:val="400" w:hRule="atLeast"/>
          <w:cantSplit w:val="true"/>
        </w:trPr>
        <w:tc>
          <w:tcPr>
            <w:tcW w:w="454"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jc w:val="center"/>
              <w:rPr>
                <w:b/>
                <w:bCs/>
              </w:rPr>
            </w:pPr>
            <w:r>
              <w:rPr>
                <w:b/>
                <w:bCs/>
                <w:color w:val="000000"/>
                <w:szCs w:val="18"/>
              </w:rPr>
              <w:t>2</w:t>
            </w:r>
            <w:r>
              <w:rPr>
                <w:b/>
                <w:bCs/>
                <w:color w:val="000000"/>
                <w:szCs w:val="18"/>
              </w:rPr>
              <w:t>9</w:t>
            </w:r>
          </w:p>
        </w:tc>
        <w:tc>
          <w:tcPr>
            <w:tcW w:w="996" w:type="dxa"/>
            <w:tcBorders>
              <w:left w:val="single" w:sz="2" w:space="0" w:color="000000"/>
              <w:bottom w:val="single" w:sz="2" w:space="0" w:color="000000"/>
            </w:tcBorders>
            <w:shd w:color="auto" w:fill="auto" w:val="clear"/>
          </w:tcPr>
          <w:p>
            <w:pPr>
              <w:pStyle w:val="ISOMB"/>
              <w:widowControl w:val="false"/>
              <w:snapToGrid w:val="false"/>
              <w:spacing w:lineRule="atLeast" w:line="100" w:before="60" w:after="60"/>
              <w:rPr>
                <w:color w:val="000000"/>
                <w:szCs w:val="18"/>
              </w:rPr>
            </w:pPr>
            <w:r>
              <w:rPr>
                <w:color w:val="000000"/>
                <w:szCs w:val="18"/>
              </w:rPr>
              <w:t>DDT38</w:t>
            </w:r>
          </w:p>
        </w:tc>
        <w:tc>
          <w:tcPr>
            <w:tcW w:w="1213"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jc w:val="center"/>
              <w:rPr>
                <w:color w:val="000000"/>
                <w:szCs w:val="18"/>
              </w:rPr>
            </w:pPr>
            <w:r>
              <w:rPr>
                <w:color w:val="000000"/>
                <w:szCs w:val="18"/>
              </w:rPr>
              <w:t>T</w:t>
            </w:r>
          </w:p>
        </w:tc>
        <w:tc>
          <w:tcPr>
            <w:tcW w:w="1642" w:type="dxa"/>
            <w:tcBorders>
              <w:left w:val="single" w:sz="2" w:space="0" w:color="000000"/>
              <w:bottom w:val="single" w:sz="2" w:space="0" w:color="000000"/>
            </w:tcBorders>
            <w:shd w:color="auto" w:fill="auto" w:val="clear"/>
          </w:tcPr>
          <w:p>
            <w:pPr>
              <w:pStyle w:val="ISOClause"/>
              <w:widowControl w:val="false"/>
              <w:snapToGrid w:val="false"/>
              <w:spacing w:lineRule="atLeast" w:line="100" w:before="60" w:after="60"/>
              <w:rPr>
                <w:color w:val="000000"/>
                <w:szCs w:val="18"/>
              </w:rPr>
            </w:pPr>
            <w:r>
              <w:rPr>
                <w:color w:val="000000"/>
                <w:szCs w:val="18"/>
              </w:rPr>
              <w:t>p.167 typealea</w:t>
            </w:r>
          </w:p>
        </w:tc>
        <w:tc>
          <w:tcPr>
            <w:tcW w:w="4079"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color w:val="000000"/>
                <w:szCs w:val="18"/>
              </w:rPr>
            </w:pPr>
            <w:r>
              <w:rPr>
                <w:color w:val="000000"/>
                <w:szCs w:val="18"/>
              </w:rPr>
              <w:t>Le type TEXT(120) pour la colonne libelle ne permet pas d’enregistrer toutes les valeurs</w:t>
            </w:r>
          </w:p>
        </w:tc>
        <w:tc>
          <w:tcPr>
            <w:tcW w:w="3915" w:type="dxa"/>
            <w:tcBorders>
              <w:left w:val="single" w:sz="2" w:space="0" w:color="000000"/>
              <w:bottom w:val="single" w:sz="2" w:space="0" w:color="000000"/>
            </w:tcBorders>
            <w:shd w:color="auto" w:fill="auto" w:val="clear"/>
          </w:tcPr>
          <w:p>
            <w:pPr>
              <w:pStyle w:val="ISOChange"/>
              <w:widowControl w:val="false"/>
              <w:snapToGrid w:val="false"/>
              <w:spacing w:lineRule="atLeast" w:line="100" w:before="60" w:after="60"/>
              <w:rPr>
                <w:rFonts w:ascii="Arial" w:hAnsi="Arial" w:cs="LiberationSerif"/>
                <w:color w:val="000000"/>
                <w:szCs w:val="18"/>
              </w:rPr>
            </w:pPr>
            <w:r>
              <w:rPr>
                <w:rFonts w:cs="LiberationSerif"/>
                <w:color w:val="000000"/>
                <w:szCs w:val="18"/>
              </w:rPr>
              <w:t>Augmenter la valeur du type : TEXT(150) pour la colonne libelle</w:t>
            </w:r>
          </w:p>
        </w:tc>
        <w:tc>
          <w:tcPr>
            <w:tcW w:w="3000" w:type="dxa"/>
            <w:tcBorders>
              <w:left w:val="single" w:sz="2" w:space="0" w:color="000000"/>
              <w:bottom w:val="single" w:sz="2" w:space="0" w:color="000000"/>
              <w:right w:val="single" w:sz="2" w:space="0" w:color="000000"/>
            </w:tcBorders>
            <w:shd w:color="auto" w:fill="auto" w:val="clear"/>
          </w:tcPr>
          <w:p>
            <w:pPr>
              <w:pStyle w:val="ISOSecretObservations"/>
              <w:widowControl w:val="false"/>
              <w:snapToGrid w:val="false"/>
              <w:spacing w:lineRule="atLeast" w:line="100" w:before="60" w:after="60"/>
              <w:rPr>
                <w:color w:val="000000"/>
                <w:szCs w:val="18"/>
              </w:rPr>
            </w:pPr>
            <w:r>
              <w:rPr>
                <w:color w:val="000000"/>
                <w:szCs w:val="18"/>
              </w:rPr>
            </w:r>
          </w:p>
        </w:tc>
      </w:tr>
    </w:tbl>
    <w:p>
      <w:pPr>
        <w:pStyle w:val="Normal"/>
        <w:rPr/>
      </w:pPr>
      <w:r>
        <w:rPr/>
      </w:r>
    </w:p>
    <w:sectPr>
      <w:headerReference w:type="even" r:id="rId3"/>
      <w:headerReference w:type="default" r:id="rId4"/>
      <w:headerReference w:type="first" r:id="rId5"/>
      <w:footerReference w:type="even" r:id="rId6"/>
      <w:footerReference w:type="default" r:id="rId7"/>
      <w:footerReference w:type="first" r:id="rId8"/>
      <w:type w:val="nextPage"/>
      <w:pgSz w:orient="landscape" w:w="16838" w:h="11906"/>
      <w:pgMar w:left="680" w:right="851" w:gutter="0" w:header="567" w:top="1894" w:footer="709" w:bottom="113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LiberationSans-BoldItalic">
    <w:charset w:val="00"/>
    <w:family w:val="roman"/>
    <w:pitch w:val="variable"/>
  </w:font>
  <w:font w:name="Liberation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 w:name="Tahoma">
    <w:charset w:val="00"/>
    <w:family w:val="roman"/>
    <w:pitch w:val="variable"/>
  </w:font>
  <w:font w:name="Arial">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enter" w:pos="4820" w:leader="none"/>
        <w:tab w:val="left" w:pos="7282" w:leader="none"/>
        <w:tab w:val="center" w:pos="7568" w:leader="none"/>
        <w:tab w:val="right" w:pos="9639" w:leader="none"/>
      </w:tabs>
      <w:jc w:val="center"/>
      <w:rPr>
        <w:color w:val="800000"/>
      </w:rPr>
    </w:pPr>
    <w:r>
      <w:rPr>
        <w:color w:val="8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5413"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9756"/>
      <w:gridCol w:w="5656"/>
    </w:tblGrid>
    <w:tr>
      <w:trPr>
        <w:cantSplit w:val="true"/>
      </w:trPr>
      <w:tc>
        <w:tcPr>
          <w:tcW w:w="97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b/>
              <w:bCs/>
              <w:color w:val="000000"/>
              <w:sz w:val="22"/>
              <w:szCs w:val="22"/>
            </w:rPr>
            <w:t>Commentaires sur le projet de Géostandard CNIG Risques - PPR</w:t>
          </w:r>
        </w:p>
        <w:p>
          <w:pPr>
            <w:pStyle w:val="Normal"/>
            <w:widowControl w:val="false"/>
            <w:snapToGrid w:val="false"/>
            <w:spacing w:before="60" w:after="60"/>
            <w:rPr>
              <w:rStyle w:val="MTEquationSection"/>
              <w:b/>
              <w:bCs/>
              <w:color w:val="000000"/>
              <w:sz w:val="22"/>
              <w:szCs w:val="22"/>
            </w:rPr>
          </w:pPr>
          <w:r>
            <w:rPr>
              <w:rStyle w:val="MTEquationSection"/>
              <w:color w:val="000000"/>
              <w:sz w:val="22"/>
              <w:szCs w:val="22"/>
            </w:rPr>
            <w:t xml:space="preserve">A retourner à </w:t>
          </w:r>
          <w:hyperlink r:id="rId1">
            <w:r>
              <w:rPr>
                <w:rStyle w:val="LienInternet"/>
              </w:rPr>
              <w:t>gilles.cebelieu@ign.fr</w:t>
            </w:r>
          </w:hyperlink>
          <w:r>
            <w:rPr/>
            <w:t xml:space="preserve"> </w:t>
          </w:r>
          <w:r>
            <w:rPr>
              <w:rStyle w:val="MTEquationSection"/>
              <w:b/>
              <w:bCs/>
              <w:color w:val="000000"/>
              <w:sz w:val="22"/>
              <w:szCs w:val="22"/>
            </w:rPr>
            <w:t>avant le 30/06/2024</w:t>
          </w:r>
        </w:p>
        <w:p>
          <w:pPr>
            <w:pStyle w:val="Normal"/>
            <w:widowControl w:val="false"/>
            <w:snapToGrid w:val="false"/>
            <w:spacing w:before="60" w:after="60"/>
            <w:rPr/>
          </w:pPr>
          <w:r>
            <w:rPr>
              <w:rStyle w:val="MTEquationSection"/>
              <w:bCs/>
              <w:color w:val="000000"/>
              <w:sz w:val="22"/>
              <w:szCs w:val="22"/>
            </w:rPr>
            <w:t xml:space="preserve">Copie à </w:t>
          </w:r>
          <w:hyperlink r:id="rId2">
            <w:r>
              <w:rPr>
                <w:rStyle w:val="LienInternet"/>
                <w:bCs/>
                <w:szCs w:val="22"/>
              </w:rPr>
              <w:t>alison.lenain@ign.fr</w:t>
            </w:r>
          </w:hyperlink>
          <w:r>
            <w:rPr>
              <w:rStyle w:val="MTEquationSection"/>
              <w:bCs/>
              <w:color w:val="000000"/>
              <w:sz w:val="22"/>
              <w:szCs w:val="22"/>
            </w:rPr>
            <w:t xml:space="preserve"> </w:t>
          </w:r>
          <w:r>
            <w:rPr/>
            <w:t xml:space="preserve"> </w:t>
          </w:r>
        </w:p>
      </w:tc>
      <w:tc>
        <w:tcPr>
          <w:tcW w:w="5656" w:type="dxa"/>
          <w:tcBorders>
            <w:top w:val="single" w:sz="4" w:space="0" w:color="000000"/>
            <w:left w:val="single" w:sz="4" w:space="0" w:color="000000"/>
            <w:bottom w:val="single" w:sz="4" w:space="0" w:color="000000"/>
            <w:right w:val="single" w:sz="4" w:space="0" w:color="000000"/>
          </w:tcBorders>
          <w:shd w:color="auto" w:fill="auto" w:val="clear"/>
        </w:tcPr>
        <w:p>
          <w:pPr>
            <w:pStyle w:val="ISOComments"/>
            <w:widowControl w:val="false"/>
            <w:snapToGrid w:val="false"/>
            <w:spacing w:before="60" w:after="60"/>
            <w:rPr/>
          </w:pPr>
          <w:r>
            <w:rPr>
              <w:rStyle w:val="MTEquationSection"/>
              <w:sz w:val="20"/>
            </w:rPr>
            <w:t>Appel à commentaires du 06/05/2024</w:t>
          </w:r>
          <w:r>
            <w:rPr>
              <w:rStyle w:val="MTEquationSection"/>
              <w:b/>
              <w:bCs/>
              <w:sz w:val="20"/>
            </w:rPr>
            <w:t xml:space="preserve"> au 30/06/2024</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0" w:hanging="0"/>
      </w:pPr>
      <w:rPr/>
    </w:lvl>
  </w:abstractNum>
  <w:abstractNum w:abstractNumId="2">
    <w:lvl w:ilvl="0">
      <w:start w:val="1"/>
      <w:numFmt w:val="upperLetter"/>
      <w:lvlText w:val="Annex %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SC%1"/>
      <w:lvlJc w:val="left"/>
      <w:pPr>
        <w:tabs>
          <w:tab w:val="num" w:pos="907"/>
        </w:tabs>
        <w:ind w:left="907" w:hanging="907"/>
      </w:pPr>
      <w:rPr>
        <w:i w:val="false"/>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6"/>
      <w:numFmt w:val="bullet"/>
      <w:lvlText w:val="-"/>
      <w:lvlJc w:val="left"/>
      <w:pPr>
        <w:tabs>
          <w:tab w:val="num" w:pos="0"/>
        </w:tabs>
        <w:ind w:left="720" w:hanging="360"/>
      </w:pPr>
      <w:rPr>
        <w:rFonts w:ascii="Arial" w:hAnsi="Arial" w:cs="Aria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Times New Roman" w:cs="Arial"/>
      <w:color w:val="auto"/>
      <w:kern w:val="2"/>
      <w:sz w:val="22"/>
      <w:szCs w:val="20"/>
      <w:lang w:val="fr-FR" w:eastAsia="zh-CN" w:bidi="ar-SA"/>
    </w:rPr>
  </w:style>
  <w:style w:type="paragraph" w:styleId="Titre1">
    <w:name w:val="Heading 1"/>
    <w:basedOn w:val="Normal"/>
    <w:next w:val="Normal"/>
    <w:qFormat/>
    <w:pPr>
      <w:keepNext w:val="true"/>
      <w:numPr>
        <w:ilvl w:val="0"/>
        <w:numId w:val="1"/>
      </w:numPr>
      <w:spacing w:before="120" w:after="200"/>
      <w:outlineLvl w:val="0"/>
    </w:pPr>
    <w:rPr>
      <w:b/>
      <w:sz w:val="24"/>
    </w:rPr>
  </w:style>
  <w:style w:type="paragraph" w:styleId="Titre2">
    <w:name w:val="Heading 2"/>
    <w:basedOn w:val="Titre1"/>
    <w:next w:val="Normal"/>
    <w:qFormat/>
    <w:pPr>
      <w:spacing w:before="0" w:after="200"/>
      <w:ind w:left="567" w:hanging="567"/>
      <w:outlineLvl w:val="1"/>
    </w:pPr>
    <w:rPr>
      <w:sz w:val="22"/>
    </w:rPr>
  </w:style>
  <w:style w:type="paragraph" w:styleId="Titre3">
    <w:name w:val="Heading 3"/>
    <w:basedOn w:val="Titre2"/>
    <w:next w:val="Normal"/>
    <w:qFormat/>
    <w:pPr>
      <w:outlineLvl w:val="2"/>
    </w:pPr>
    <w:rPr>
      <w:b w:val="false"/>
    </w:rPr>
  </w:style>
  <w:style w:type="paragraph" w:styleId="Titre4">
    <w:name w:val="Heading 4"/>
    <w:basedOn w:val="Titre3"/>
    <w:next w:val="Normal"/>
    <w:qFormat/>
    <w:pPr>
      <w:outlineLvl w:val="3"/>
    </w:pPr>
    <w:rPr/>
  </w:style>
  <w:style w:type="paragraph" w:styleId="Titre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styleId="DefaultParagraphFont" w:default="1">
    <w:name w:val="Default Paragraph Font"/>
    <w:uiPriority w:val="1"/>
    <w:semiHidden/>
    <w:unhideWhenUsed/>
    <w:qFormat/>
    <w:rPr/>
  </w:style>
  <w:style w:type="character" w:styleId="WW8Num3z0" w:customStyle="1">
    <w:name w:val="WW8Num3z0"/>
    <w:qFormat/>
    <w:rPr>
      <w:b/>
      <w:i w:val="false"/>
    </w:rPr>
  </w:style>
  <w:style w:type="character" w:styleId="WW8Num4z0" w:customStyle="1">
    <w:name w:val="WW8Num4z0"/>
    <w:qFormat/>
    <w:rPr>
      <w:rFonts w:ascii="Arial" w:hAnsi="Arial" w:cs="Symbol"/>
    </w:rPr>
  </w:style>
  <w:style w:type="character" w:styleId="WW8Num5z0" w:customStyle="1">
    <w:name w:val="WW8Num5z0"/>
    <w:qFormat/>
    <w:rPr>
      <w:rFonts w:ascii="Courier New" w:hAnsi="Courier New" w:cs="Symbol"/>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6z0" w:customStyle="1">
    <w:name w:val="WW8Num6z0"/>
    <w:qFormat/>
    <w:rPr>
      <w:rFonts w:ascii="Arial" w:hAnsi="Arial" w:cs="Arial"/>
      <w:color w:val="000000"/>
      <w:sz w:val="18"/>
      <w:szCs w:val="18"/>
      <w:lang w:val="fr-FR"/>
    </w:rPr>
  </w:style>
  <w:style w:type="character" w:styleId="WW8Num7z0" w:customStyle="1">
    <w:name w:val="WW8Num7z0"/>
    <w:qFormat/>
    <w:rPr>
      <w:rFonts w:ascii="Symbol" w:hAnsi="Symbol" w:cs="Courier New"/>
    </w:rPr>
  </w:style>
  <w:style w:type="character" w:styleId="WW8Num8z0" w:customStyle="1">
    <w:name w:val="WW8Num8z0"/>
    <w:qFormat/>
    <w:rPr>
      <w:rFonts w:ascii="Arial" w:hAnsi="Arial" w:eastAsia="Times New Roman" w:cs="Aria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8Num5z1" w:customStyle="1">
    <w:name w:val="WW8Num5z1"/>
    <w:qFormat/>
    <w:rPr>
      <w:rFonts w:ascii="OpenSymbol" w:hAnsi="OpenSymbol" w:cs="Courier New"/>
    </w:rPr>
  </w:style>
  <w:style w:type="character" w:styleId="Policepardfaut3" w:customStyle="1">
    <w:name w:val="Police par défaut3"/>
    <w:qFormat/>
    <w:rPr/>
  </w:style>
  <w:style w:type="character" w:styleId="WW-Absatz-Standardschriftart1111" w:customStyle="1">
    <w:name w:val="WW-Absatz-Standardschriftart1111"/>
    <w:qFormat/>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Policepardfaut2" w:customStyle="1">
    <w:name w:val="Police par défaut2"/>
    <w:qFormat/>
    <w:rPr/>
  </w:style>
  <w:style w:type="character" w:styleId="WW-Absatz-Standardschriftart11111" w:customStyle="1">
    <w:name w:val="WW-Absatz-Standardschriftart11111"/>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2" w:customStyle="1">
    <w:name w:val="WW8Num5z2"/>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rFonts w:ascii="Arial" w:hAnsi="Arial" w:eastAsia="Times New Roman" w:cs="Arial"/>
      <w:sz w:val="18"/>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Wingdings" w:hAnsi="Wingdings" w:eastAsia="Times New Roman" w:cs="Times New Roman"/>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cs="Times New Roman"/>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Arial" w:hAnsi="Arial" w:eastAsia="Times New Roman" w:cs="Aria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Times New Roman"/>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5z0" w:customStyle="1">
    <w:name w:val="WW8Num25z0"/>
    <w:qFormat/>
    <w:rPr>
      <w:rFonts w:ascii="Wingdings" w:hAnsi="Wingdings" w:eastAsia="Times New Roman" w:cs="Times New Roman"/>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rPr>
  </w:style>
  <w:style w:type="character" w:styleId="WW8Num27z2" w:customStyle="1">
    <w:name w:val="WW8Num27z2"/>
    <w:qFormat/>
    <w:rPr>
      <w:rFonts w:ascii="Wingdings" w:hAnsi="Wingdings" w:cs="Wingdings"/>
    </w:rPr>
  </w:style>
  <w:style w:type="character" w:styleId="WW8Num28z0" w:customStyle="1">
    <w:name w:val="WW8Num28z0"/>
    <w:qFormat/>
    <w:rPr>
      <w:rFonts w:ascii="Courier New" w:hAnsi="Courier New" w:cs="Courier New"/>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1z0" w:customStyle="1">
    <w:name w:val="WW8Num31z0"/>
    <w:qFormat/>
    <w:rPr>
      <w:rFonts w:cs="Times New Roman"/>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4z0" w:customStyle="1">
    <w:name w:val="WW8Num34z0"/>
    <w:qFormat/>
    <w:rPr>
      <w:rFonts w:ascii="Symbol" w:hAnsi="Symbol" w:cs="Symbol"/>
    </w:rPr>
  </w:style>
  <w:style w:type="character" w:styleId="WW8Num34z1" w:customStyle="1">
    <w:name w:val="WW8Num34z1"/>
    <w:qFormat/>
    <w:rPr>
      <w:rFonts w:ascii="Courier New" w:hAnsi="Courier New" w:cs="Courier New"/>
    </w:rPr>
  </w:style>
  <w:style w:type="character" w:styleId="WW8Num34z2" w:customStyle="1">
    <w:name w:val="WW8Num34z2"/>
    <w:qFormat/>
    <w:rPr>
      <w:rFonts w:ascii="Wingdings" w:hAnsi="Wingdings" w:cs="Wingdings"/>
    </w:rPr>
  </w:style>
  <w:style w:type="character" w:styleId="WW8Num35z0" w:customStyle="1">
    <w:name w:val="WW8Num35z0"/>
    <w:qFormat/>
    <w:rPr>
      <w:rFonts w:ascii="Symbol" w:hAnsi="Symbol" w:cs="Symbol"/>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Policepardfaut1" w:customStyle="1">
    <w:name w:val="Police par défaut1"/>
    <w:qFormat/>
    <w:rPr/>
  </w:style>
  <w:style w:type="character" w:styleId="Pagenumber">
    <w:name w:val="page number"/>
    <w:qFormat/>
    <w:rPr>
      <w:sz w:val="20"/>
    </w:rPr>
  </w:style>
  <w:style w:type="character" w:styleId="MTEquationSection" w:customStyle="1">
    <w:name w:val="MTEquationSection"/>
    <w:qFormat/>
    <w:rPr>
      <w:vanish w:val="false"/>
      <w:color w:val="FF0000"/>
      <w:sz w:val="16"/>
    </w:rPr>
  </w:style>
  <w:style w:type="character" w:styleId="Caractresdenotedebasdepage" w:customStyle="1">
    <w:name w:val="Caractères de note de bas de page"/>
    <w:qFormat/>
    <w:rPr>
      <w:vertAlign w:val="superscript"/>
    </w:rPr>
  </w:style>
  <w:style w:type="character" w:styleId="Mtequationsection1" w:customStyle="1">
    <w:name w:val="mtequationsection"/>
    <w:basedOn w:val="Policepardfaut1"/>
    <w:qFormat/>
    <w:rPr/>
  </w:style>
  <w:style w:type="character" w:styleId="LienInternet">
    <w:name w:val="Hyperlink"/>
    <w:rPr>
      <w:color w:val="0000FF"/>
      <w:u w:val="single"/>
    </w:rPr>
  </w:style>
  <w:style w:type="character" w:styleId="LienInternetvisit">
    <w:name w:val="FollowedHyperlink"/>
    <w:rPr>
      <w:color w:val="800080"/>
      <w:u w:val="single"/>
    </w:rPr>
  </w:style>
  <w:style w:type="character" w:styleId="Titre8Car" w:customStyle="1">
    <w:name w:val="Titre 8 Car"/>
    <w:qFormat/>
    <w:rPr>
      <w:i/>
      <w:iCs/>
      <w:sz w:val="24"/>
      <w:szCs w:val="24"/>
      <w:lang w:bidi="ar-SA"/>
    </w:rPr>
  </w:style>
  <w:style w:type="character" w:styleId="En-tteCar" w:customStyle="1">
    <w:name w:val="En-tête Car"/>
    <w:qFormat/>
    <w:rPr>
      <w:rFonts w:ascii="Arial" w:hAnsi="Arial" w:cs="Arial"/>
      <w:sz w:val="22"/>
      <w:lang w:bidi="ar-SA"/>
    </w:rPr>
  </w:style>
  <w:style w:type="character" w:styleId="PieddepageCar" w:customStyle="1">
    <w:name w:val="Pied de page Car"/>
    <w:qFormat/>
    <w:rPr>
      <w:rFonts w:ascii="Arial" w:hAnsi="Arial" w:cs="Arial"/>
      <w:sz w:val="22"/>
      <w:lang w:bidi="ar-SA"/>
    </w:rPr>
  </w:style>
  <w:style w:type="character" w:styleId="Titre1Car" w:customStyle="1">
    <w:name w:val="Titre 1 Car"/>
    <w:qFormat/>
    <w:rPr>
      <w:rFonts w:ascii="Arial" w:hAnsi="Arial" w:cs="Arial"/>
      <w:b/>
      <w:sz w:val="24"/>
      <w:lang w:bidi="ar-SA"/>
    </w:rPr>
  </w:style>
  <w:style w:type="character" w:styleId="CommentaireCar" w:customStyle="1">
    <w:name w:val="Commentaire Car"/>
    <w:qFormat/>
    <w:rPr>
      <w:rFonts w:ascii="Arial" w:hAnsi="Arial" w:eastAsia="Calibri" w:cs="Arial"/>
    </w:rPr>
  </w:style>
  <w:style w:type="character" w:styleId="Marquedecommentaire1" w:customStyle="1">
    <w:name w:val="Marque de commentaire1"/>
    <w:qFormat/>
    <w:rPr>
      <w:sz w:val="16"/>
      <w:szCs w:val="16"/>
    </w:rPr>
  </w:style>
  <w:style w:type="character" w:styleId="ObjetducommentaireCar" w:customStyle="1">
    <w:name w:val="Objet du commentaire Car"/>
    <w:qFormat/>
    <w:rPr>
      <w:rFonts w:ascii="Arial" w:hAnsi="Arial" w:eastAsia="Calibri" w:cs="Arial"/>
      <w:b/>
      <w:bCs/>
    </w:rPr>
  </w:style>
  <w:style w:type="character" w:styleId="CorpsdetexteCar" w:customStyle="1">
    <w:name w:val="Corps de texte Car"/>
    <w:qFormat/>
    <w:rPr>
      <w:rFonts w:ascii="Arial" w:hAnsi="Arial" w:cs="Calibri"/>
      <w:sz w:val="22"/>
      <w:szCs w:val="24"/>
      <w:lang w:bidi="en-US"/>
    </w:rPr>
  </w:style>
  <w:style w:type="character" w:styleId="WW-Policepardfaut" w:customStyle="1">
    <w:name w:val="WW-Police par défaut"/>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Fontstyle01" w:customStyle="1">
    <w:name w:val="fontstyle01"/>
    <w:qFormat/>
    <w:rPr>
      <w:rFonts w:ascii="LiberationSans-BoldItalic" w:hAnsi="LiberationSans-BoldItalic" w:cs="LiberationSans-BoldItalic"/>
      <w:b/>
      <w:bCs/>
      <w:i/>
      <w:iCs/>
      <w:color w:val="355E00"/>
      <w:sz w:val="20"/>
      <w:szCs w:val="20"/>
    </w:rPr>
  </w:style>
  <w:style w:type="character" w:styleId="Fontstyle21" w:customStyle="1">
    <w:name w:val="fontstyle21"/>
    <w:qFormat/>
    <w:rPr>
      <w:rFonts w:ascii="LiberationSerif" w:hAnsi="LiberationSerif" w:cs="LiberationSerif"/>
      <w:b w:val="false"/>
      <w:bCs w:val="false"/>
      <w:i w:val="false"/>
      <w:iCs w:val="false"/>
      <w:color w:val="000000"/>
      <w:sz w:val="22"/>
      <w:szCs w:val="22"/>
    </w:rPr>
  </w:style>
  <w:style w:type="character" w:styleId="Caractresdenumrotation" w:customStyle="1">
    <w:name w:val="Caractères de numérotation"/>
    <w:qFormat/>
    <w:rPr/>
  </w:style>
  <w:style w:type="character" w:styleId="UnresolvedMention">
    <w:name w:val="Unresolved Mention"/>
    <w:basedOn w:val="DefaultParagraphFont"/>
    <w:uiPriority w:val="99"/>
    <w:semiHidden/>
    <w:unhideWhenUsed/>
    <w:qFormat/>
    <w:rsid w:val="00626ee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20"/>
    </w:pPr>
    <w:rPr>
      <w:rFonts w:cs="Calibri"/>
      <w:szCs w:val="24"/>
      <w:lang w:bidi="en-US"/>
    </w:rPr>
  </w:style>
  <w:style w:type="paragraph" w:styleId="Liste">
    <w:name w:val="List"/>
    <w:basedOn w:val="Corpsdetexte"/>
    <w:pPr/>
    <w:rPr>
      <w:rFonts w:ascii="Liberation Sans" w:hAnsi="Liberation San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Liberation Sans" w:hAnsi="Liberation Sans" w:cs="Tahoma"/>
    </w:rPr>
  </w:style>
  <w:style w:type="paragraph" w:styleId="Titre31" w:customStyle="1">
    <w:name w:val="Titre3"/>
    <w:basedOn w:val="Normal"/>
    <w:next w:val="Corpsdetexte"/>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Titre21" w:customStyle="1">
    <w:name w:val="Titre2"/>
    <w:basedOn w:val="Normal"/>
    <w:next w:val="Corpsdetexte"/>
    <w:qFormat/>
    <w:pPr>
      <w:keepNext w:val="true"/>
      <w:spacing w:before="240" w:after="120"/>
    </w:pPr>
    <w:rPr>
      <w:rFonts w:ascii="Liberation Sans" w:hAnsi="Liberation Sans" w:eastAsia="Arial Unicode MS" w:cs="Mangal"/>
      <w:sz w:val="28"/>
      <w:szCs w:val="28"/>
    </w:rPr>
  </w:style>
  <w:style w:type="paragraph" w:styleId="Titre11" w:customStyle="1">
    <w:name w:val="Titre1"/>
    <w:basedOn w:val="Normal"/>
    <w:next w:val="Corpsdetexte"/>
    <w:qFormat/>
    <w:pPr>
      <w:keepNext w:val="true"/>
      <w:spacing w:before="240" w:after="120"/>
    </w:pPr>
    <w:rPr>
      <w:rFonts w:ascii="Liberation Sans" w:hAnsi="Liberation Sans" w:eastAsia="MS Mincho" w:cs="Tahoma"/>
      <w:sz w:val="28"/>
      <w:szCs w:val="28"/>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tabs>
        <w:tab w:val="clear" w:pos="709"/>
        <w:tab w:val="center" w:pos="4820" w:leader="none"/>
        <w:tab w:val="right" w:pos="9639" w:leader="none"/>
      </w:tabs>
    </w:pPr>
    <w:rPr/>
  </w:style>
  <w:style w:type="paragraph" w:styleId="En-tte">
    <w:name w:val="Header"/>
    <w:basedOn w:val="Pieddepage"/>
    <w:pPr/>
    <w:rPr/>
  </w:style>
  <w:style w:type="paragraph" w:styleId="ISOMB" w:customStyle="1">
    <w:name w:val="ISO_MB"/>
    <w:basedOn w:val="Normal"/>
    <w:qFormat/>
    <w:pPr>
      <w:spacing w:lineRule="exact" w:line="210" w:before="210" w:after="0"/>
      <w:jc w:val="left"/>
    </w:pPr>
    <w:rPr>
      <w:sz w:val="18"/>
    </w:rPr>
  </w:style>
  <w:style w:type="paragraph" w:styleId="ISOClause" w:customStyle="1">
    <w:name w:val="ISO_Clause"/>
    <w:basedOn w:val="Normal"/>
    <w:qFormat/>
    <w:pPr>
      <w:spacing w:lineRule="exact" w:line="210" w:before="210" w:after="0"/>
      <w:jc w:val="left"/>
    </w:pPr>
    <w:rPr>
      <w:sz w:val="18"/>
    </w:rPr>
  </w:style>
  <w:style w:type="paragraph" w:styleId="ISOParagraph" w:customStyle="1">
    <w:name w:val="ISO_Paragraph"/>
    <w:basedOn w:val="Normal"/>
    <w:qFormat/>
    <w:pPr>
      <w:spacing w:lineRule="exact" w:line="210" w:before="210" w:after="0"/>
      <w:jc w:val="left"/>
    </w:pPr>
    <w:rPr>
      <w:sz w:val="18"/>
    </w:rPr>
  </w:style>
  <w:style w:type="paragraph" w:styleId="ISOCommType" w:customStyle="1">
    <w:name w:val="ISO_Comm_Type"/>
    <w:basedOn w:val="Normal"/>
    <w:qFormat/>
    <w:pPr>
      <w:spacing w:lineRule="exact" w:line="210" w:before="210" w:after="0"/>
      <w:jc w:val="left"/>
    </w:pPr>
    <w:rPr>
      <w:sz w:val="18"/>
    </w:rPr>
  </w:style>
  <w:style w:type="paragraph" w:styleId="ISOComments" w:customStyle="1">
    <w:name w:val="ISO_Comments"/>
    <w:basedOn w:val="Normal"/>
    <w:qFormat/>
    <w:pPr>
      <w:spacing w:lineRule="exact" w:line="210" w:before="210" w:after="0"/>
      <w:jc w:val="left"/>
    </w:pPr>
    <w:rPr>
      <w:sz w:val="18"/>
    </w:rPr>
  </w:style>
  <w:style w:type="paragraph" w:styleId="ISOChange" w:customStyle="1">
    <w:name w:val="ISO_Change"/>
    <w:basedOn w:val="Normal"/>
    <w:qFormat/>
    <w:pPr>
      <w:spacing w:lineRule="exact" w:line="210" w:before="210" w:after="0"/>
      <w:jc w:val="left"/>
    </w:pPr>
    <w:rPr>
      <w:sz w:val="18"/>
    </w:rPr>
  </w:style>
  <w:style w:type="paragraph" w:styleId="ISOSecretObservations" w:customStyle="1">
    <w:name w:val="ISO_Secret_Observations"/>
    <w:basedOn w:val="Normal"/>
    <w:qFormat/>
    <w:pPr>
      <w:spacing w:lineRule="exact" w:line="210" w:before="210" w:after="0"/>
      <w:jc w:val="left"/>
    </w:pPr>
    <w:rPr>
      <w:sz w:val="18"/>
    </w:rPr>
  </w:style>
  <w:style w:type="paragraph" w:styleId="Notedebasdepage">
    <w:name w:val="Footnote Text"/>
    <w:basedOn w:val="Normal"/>
    <w:pPr/>
    <w:rPr>
      <w:sz w:val="20"/>
    </w:rPr>
  </w:style>
  <w:style w:type="paragraph" w:styleId="Normal1" w:customStyle="1">
    <w:name w:val="Normal1"/>
    <w:qFormat/>
    <w:pPr>
      <w:widowControl/>
      <w:suppressAutoHyphens w:val="true"/>
      <w:bidi w:val="0"/>
      <w:spacing w:before="0" w:after="0"/>
      <w:jc w:val="left"/>
    </w:pPr>
    <w:rPr>
      <w:rFonts w:ascii="Verdana" w:hAnsi="Verdana" w:eastAsia="Calibri" w:cs="Verdana"/>
      <w:color w:val="000000"/>
      <w:kern w:val="2"/>
      <w:sz w:val="24"/>
      <w:szCs w:val="24"/>
      <w:lang w:val="fr-FR" w:eastAsia="zh-CN" w:bidi="ar-SA"/>
    </w:rPr>
  </w:style>
  <w:style w:type="paragraph" w:styleId="ListParagraph">
    <w:name w:val="List Paragraph"/>
    <w:basedOn w:val="Normal"/>
    <w:qFormat/>
    <w:pPr>
      <w:ind w:left="720" w:hanging="0"/>
    </w:pPr>
    <w:rPr/>
  </w:style>
  <w:style w:type="paragraph" w:styleId="BalloonText">
    <w:name w:val="Balloon Text"/>
    <w:basedOn w:val="Normal"/>
    <w:qFormat/>
    <w:pPr>
      <w:numPr>
        <w:ilvl w:val="0"/>
        <w:numId w:val="5"/>
      </w:numPr>
      <w:ind w:left="0" w:hanging="0"/>
    </w:pPr>
    <w:rPr>
      <w:rFonts w:ascii="Tahoma" w:hAnsi="Tahoma" w:eastAsia="MS Mincho" w:cs="Tahoma"/>
      <w:sz w:val="16"/>
      <w:szCs w:val="16"/>
    </w:rPr>
  </w:style>
  <w:style w:type="paragraph" w:styleId="Listepuces31" w:customStyle="1">
    <w:name w:val="Liste à puces 31"/>
    <w:basedOn w:val="Normal"/>
    <w:qFormat/>
    <w:pPr>
      <w:numPr>
        <w:ilvl w:val="0"/>
        <w:numId w:val="4"/>
      </w:numPr>
    </w:pPr>
    <w:rPr/>
  </w:style>
  <w:style w:type="paragraph" w:styleId="Introduction" w:customStyle="1">
    <w:name w:val="Introduction"/>
    <w:basedOn w:val="Normal"/>
    <w:next w:val="Normal"/>
    <w:qFormat/>
    <w:pPr>
      <w:keepNext w:val="true"/>
      <w:pageBreakBefore/>
      <w:tabs>
        <w:tab w:val="clear" w:pos="709"/>
        <w:tab w:val="left" w:pos="400" w:leader="none"/>
      </w:tabs>
      <w:spacing w:lineRule="exact" w:line="310" w:before="960" w:after="310"/>
      <w:jc w:val="left"/>
    </w:pPr>
    <w:rPr>
      <w:rFonts w:eastAsia="MS Mincho"/>
      <w:b/>
      <w:sz w:val="28"/>
      <w:lang w:eastAsia="ja-JP"/>
    </w:rPr>
  </w:style>
  <w:style w:type="paragraph" w:styleId="Listenumros21" w:customStyle="1">
    <w:name w:val="Liste à numéros 21"/>
    <w:basedOn w:val="Normal"/>
    <w:qFormat/>
    <w:pPr>
      <w:tabs>
        <w:tab w:val="clear" w:pos="709"/>
        <w:tab w:val="left" w:pos="1080" w:leader="none"/>
      </w:tabs>
      <w:spacing w:lineRule="atLeast" w:line="230" w:before="0" w:after="240"/>
      <w:ind w:left="800" w:hanging="400"/>
    </w:pPr>
    <w:rPr>
      <w:rFonts w:eastAsia="MS Mincho"/>
      <w:sz w:val="20"/>
      <w:lang w:eastAsia="ja-JP"/>
    </w:rPr>
  </w:style>
  <w:style w:type="paragraph" w:styleId="Commentaire1" w:customStyle="1">
    <w:name w:val="Commentaire1"/>
    <w:basedOn w:val="Normal"/>
    <w:qFormat/>
    <w:pPr/>
    <w:rPr>
      <w:rFonts w:eastAsia="Calibri"/>
      <w:sz w:val="20"/>
    </w:rPr>
  </w:style>
  <w:style w:type="paragraph" w:styleId="Annotationsubject">
    <w:name w:val="annotation subject"/>
    <w:basedOn w:val="Commentaire1"/>
    <w:next w:val="Commentaire1"/>
    <w:qFormat/>
    <w:pPr/>
    <w:rPr>
      <w:rFonts w:eastAsia="Times New Roman"/>
      <w:b/>
      <w:bCs/>
    </w:rPr>
  </w:style>
  <w:style w:type="paragraph" w:styleId="Annex1" w:customStyle="1">
    <w:name w:val="Annex 1"/>
    <w:basedOn w:val="Titre1"/>
    <w:next w:val="Normal"/>
    <w:qFormat/>
    <w:pPr>
      <w:numPr>
        <w:ilvl w:val="0"/>
        <w:numId w:val="2"/>
      </w:numPr>
      <w:tabs>
        <w:tab w:val="clear" w:pos="709"/>
        <w:tab w:val="left" w:pos="1560" w:leader="none"/>
      </w:tabs>
      <w:spacing w:before="240" w:after="60"/>
      <w:outlineLvl w:val="9"/>
    </w:pPr>
    <w:rPr>
      <w:bCs/>
      <w:sz w:val="32"/>
      <w:szCs w:val="22"/>
    </w:rPr>
  </w:style>
  <w:style w:type="paragraph" w:styleId="Annex2" w:customStyle="1">
    <w:name w:val="Annex 2"/>
    <w:basedOn w:val="Titre2"/>
    <w:next w:val="Normal"/>
    <w:qFormat/>
    <w:pPr>
      <w:numPr>
        <w:ilvl w:val="0"/>
        <w:numId w:val="0"/>
      </w:numPr>
      <w:tabs>
        <w:tab w:val="clear" w:pos="709"/>
        <w:tab w:val="left" w:pos="0" w:leader="none"/>
      </w:tabs>
      <w:spacing w:before="360" w:after="0"/>
      <w:ind w:left="432" w:hanging="432"/>
      <w:outlineLvl w:val="9"/>
    </w:pPr>
    <w:rPr>
      <w:bCs/>
      <w:iCs/>
      <w:sz w:val="28"/>
      <w:szCs w:val="28"/>
    </w:rPr>
  </w:style>
  <w:style w:type="paragraph" w:styleId="Exigence" w:customStyle="1">
    <w:name w:val="Exigence"/>
    <w:basedOn w:val="Normal"/>
    <w:qFormat/>
    <w:pPr>
      <w:numPr>
        <w:ilvl w:val="0"/>
        <w:numId w:val="3"/>
      </w:numPr>
    </w:pPr>
    <w:rPr>
      <w:rFonts w:cs="Calibri"/>
      <w:szCs w:val="24"/>
    </w:rPr>
  </w:style>
  <w:style w:type="paragraph" w:styleId="NormalWeb1" w:customStyle="1">
    <w:name w:val="Normal (Web)1"/>
    <w:basedOn w:val="Normal"/>
    <w:qFormat/>
    <w:pPr>
      <w:spacing w:before="280" w:after="280"/>
    </w:pPr>
    <w:rPr>
      <w:rFonts w:ascii="Times New Roman" w:hAnsi="Times New Roman" w:cs="Calibri"/>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ote.developpement-durable.gouv.fr/offre/geo-ide-infrastructure-de-donnees-geomatiqu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_rels/header3.xml.rels><?xml version="1.0" encoding="UTF-8"?>
<Relationships xmlns="http://schemas.openxmlformats.org/package/2006/relationships"><Relationship Id="rId1" Type="http://schemas.openxmlformats.org/officeDocument/2006/relationships/hyperlink" Target="mailto:gilles.cebelieu@ign.fr" TargetMode="External"/><Relationship Id="rId2" Type="http://schemas.openxmlformats.org/officeDocument/2006/relationships/hyperlink" Target="mailto:alison.lenain@ign.fr"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FDE5-CAB4-454B-9F0A-EDFF6B95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LibreOffice/7.5.7.1.M1$Windows_X86_64 LibreOffice_project/9d4bf91ba30c991aaed3b97dd4173f7705c6b5ae</Application>
  <AppVersion>15.0000</AppVersion>
  <Pages>6</Pages>
  <Words>1527</Words>
  <Characters>8437</Characters>
  <CharactersWithSpaces>9763</CharactersWithSpaces>
  <Paragraphs>215</Paragraphs>
  <Company>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2024-04-30T10:00:00Z</dcterms:created>
  <dc:creator>Marie Lambois</dc:creator>
  <dc:description>Appel à commentaires CNIG</dc:description>
  <cp:keywords>Appel à commentaires CNIG</cp:keywords>
  <dc:language>fr-FR</dc:language>
  <cp:lastModifiedBy>SB</cp:lastModifiedBy>
  <cp:lastPrinted>1899-12-31T23:00:00Z</cp:lastPrinted>
  <dcterms:modified xsi:type="dcterms:W3CDTF">2024-06-17T09:47:44Z</dcterms:modified>
  <cp:revision>32</cp:revision>
  <dc:subject>Appel à commentaires CNIG</dc:subject>
  <dc:title>Appel à commentaires CNIG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