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340B" w14:textId="77777777" w:rsidR="00314A72" w:rsidRPr="00A82548" w:rsidRDefault="00314A72" w:rsidP="0058227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366"/>
        <w:gridCol w:w="4824"/>
      </w:tblGrid>
      <w:tr w:rsidR="004D4940" w:rsidRPr="0096222E" w14:paraId="397626C3" w14:textId="77777777" w:rsidTr="004D4940">
        <w:trPr>
          <w:trHeight w:val="211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141D2" w14:textId="77777777" w:rsidR="004D4940" w:rsidRPr="0096222E" w:rsidRDefault="004D4940" w:rsidP="00582277">
            <w:pPr>
              <w:snapToGrid w:val="0"/>
              <w:ind w:right="56"/>
              <w:jc w:val="both"/>
              <w:rPr>
                <w:rFonts w:ascii="Arial" w:hAnsi="Arial" w:cs="Arial"/>
                <w:lang w:val="en-US"/>
              </w:rPr>
            </w:pPr>
            <w:r w:rsidRPr="0096222E">
              <w:rPr>
                <w:rFonts w:ascii="Arial" w:hAnsi="Arial" w:cs="Arial"/>
                <w:noProof/>
                <w:lang w:val="en-US"/>
              </w:rPr>
              <w:drawing>
                <wp:anchor distT="0" distB="0" distL="114935" distR="114935" simplePos="0" relativeHeight="251666432" behindDoc="0" locked="0" layoutInCell="1" allowOverlap="1" wp14:anchorId="057AC209" wp14:editId="517286F8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21590</wp:posOffset>
                  </wp:positionV>
                  <wp:extent cx="2458085" cy="1099820"/>
                  <wp:effectExtent l="0" t="0" r="0" b="508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20" r="-9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85" cy="109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66D521" w14:textId="77777777" w:rsidR="004D4940" w:rsidRPr="0096222E" w:rsidRDefault="004D4940" w:rsidP="00582277">
            <w:pPr>
              <w:jc w:val="both"/>
              <w:rPr>
                <w:rFonts w:ascii="Arial" w:hAnsi="Arial" w:cs="Arial"/>
              </w:rPr>
            </w:pPr>
          </w:p>
          <w:p w14:paraId="440B2389" w14:textId="77777777" w:rsidR="004D4940" w:rsidRPr="0096222E" w:rsidRDefault="004D4940" w:rsidP="00582277">
            <w:pPr>
              <w:ind w:right="56"/>
              <w:jc w:val="both"/>
              <w:rPr>
                <w:rFonts w:ascii="Arial" w:hAnsi="Arial" w:cs="Arial"/>
                <w:lang w:val="en-US"/>
              </w:rPr>
            </w:pPr>
          </w:p>
          <w:p w14:paraId="7A5F22B8" w14:textId="77777777" w:rsidR="004D4940" w:rsidRPr="0096222E" w:rsidRDefault="004D4940" w:rsidP="00582277">
            <w:pPr>
              <w:ind w:right="56"/>
              <w:jc w:val="both"/>
              <w:rPr>
                <w:rFonts w:ascii="Arial" w:hAnsi="Arial" w:cs="Arial"/>
                <w:lang w:val="en-US"/>
              </w:rPr>
            </w:pPr>
          </w:p>
          <w:p w14:paraId="2EC3F8E3" w14:textId="77777777" w:rsidR="004D4940" w:rsidRPr="0096222E" w:rsidRDefault="004D4940" w:rsidP="00582277">
            <w:pPr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eastAsia="Calibri" w:hAnsi="Arial" w:cs="Arial"/>
                <w:b/>
                <w:bCs/>
              </w:rPr>
              <w:t>Refonte des Géostandards</w:t>
            </w:r>
            <w:r w:rsidR="00677395" w:rsidRPr="0096222E">
              <w:rPr>
                <w:rFonts w:ascii="Arial" w:eastAsia="Calibri" w:hAnsi="Arial" w:cs="Arial"/>
                <w:b/>
                <w:bCs/>
              </w:rPr>
              <w:t xml:space="preserve"> risques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FE2AD" w14:textId="77777777" w:rsidR="00DD3AA0" w:rsidRPr="0096222E" w:rsidRDefault="00DD3AA0" w:rsidP="00582277">
            <w:pPr>
              <w:spacing w:before="120" w:after="0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B0BEAC" wp14:editId="648F9982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170180</wp:posOffset>
                  </wp:positionV>
                  <wp:extent cx="826770" cy="882650"/>
                  <wp:effectExtent l="0" t="0" r="0" b="0"/>
                  <wp:wrapNone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4940" w:rsidRPr="0096222E">
              <w:rPr>
                <w:rFonts w:ascii="Arial" w:hAnsi="Arial" w:cs="Arial"/>
                <w:noProof/>
                <w:lang w:val="en-US"/>
              </w:rPr>
              <w:drawing>
                <wp:anchor distT="0" distB="1905" distL="114300" distR="120650" simplePos="0" relativeHeight="251661312" behindDoc="1" locked="0" layoutInCell="1" allowOverlap="1" wp14:anchorId="740105F0" wp14:editId="664DAFBD">
                  <wp:simplePos x="0" y="0"/>
                  <wp:positionH relativeFrom="column">
                    <wp:posOffset>1262380</wp:posOffset>
                  </wp:positionH>
                  <wp:positionV relativeFrom="paragraph">
                    <wp:posOffset>281940</wp:posOffset>
                  </wp:positionV>
                  <wp:extent cx="1460500" cy="1064895"/>
                  <wp:effectExtent l="0" t="0" r="6350" b="1905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7395" w:rsidRPr="0096222E">
              <w:rPr>
                <w:rFonts w:ascii="Arial" w:eastAsia="Calibri" w:hAnsi="Arial" w:cs="Arial"/>
              </w:rPr>
              <w:t xml:space="preserve">     Animation                 </w:t>
            </w:r>
            <w:r w:rsidR="004D1C6E" w:rsidRPr="0096222E">
              <w:rPr>
                <w:rFonts w:ascii="Arial" w:eastAsia="Calibri" w:hAnsi="Arial" w:cs="Arial"/>
              </w:rPr>
              <w:t>Maitrise d’Ouvrage</w:t>
            </w:r>
          </w:p>
          <w:p w14:paraId="5B17C1E4" w14:textId="77777777" w:rsidR="004D4940" w:rsidRPr="0096222E" w:rsidRDefault="004D4940" w:rsidP="00582277">
            <w:pPr>
              <w:jc w:val="both"/>
              <w:rPr>
                <w:rFonts w:ascii="Arial" w:hAnsi="Arial" w:cs="Arial"/>
              </w:rPr>
            </w:pPr>
          </w:p>
        </w:tc>
      </w:tr>
      <w:tr w:rsidR="004D4940" w:rsidRPr="0096222E" w14:paraId="66EACD65" w14:textId="77777777" w:rsidTr="00AD273D">
        <w:trPr>
          <w:trHeight w:val="90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9E601" w14:textId="77777777" w:rsidR="00DD3AA0" w:rsidRPr="0096222E" w:rsidRDefault="00DD3AA0" w:rsidP="00582277">
            <w:pPr>
              <w:jc w:val="both"/>
              <w:rPr>
                <w:rFonts w:ascii="Arial" w:hAnsi="Arial" w:cs="Arial"/>
                <w:b/>
              </w:rPr>
            </w:pPr>
          </w:p>
          <w:p w14:paraId="6AB95BB3" w14:textId="77777777" w:rsidR="004D4940" w:rsidRPr="0096222E" w:rsidRDefault="00664975" w:rsidP="00582277">
            <w:pPr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  <w:b/>
              </w:rPr>
              <w:t>COMPTE-RENDU DE REUNION</w:t>
            </w:r>
          </w:p>
          <w:p w14:paraId="63FFC9BA" w14:textId="77777777" w:rsidR="004D4940" w:rsidRPr="0096222E" w:rsidRDefault="00D00448" w:rsidP="00582277">
            <w:pPr>
              <w:jc w:val="both"/>
              <w:rPr>
                <w:rFonts w:ascii="Arial" w:hAnsi="Arial" w:cs="Arial"/>
                <w:b/>
              </w:rPr>
            </w:pPr>
            <w:r w:rsidRPr="0096222E">
              <w:rPr>
                <w:rFonts w:ascii="Arial" w:hAnsi="Arial" w:cs="Arial"/>
                <w:b/>
              </w:rPr>
              <w:t>(</w:t>
            </w:r>
            <w:proofErr w:type="gramStart"/>
            <w:r w:rsidRPr="0096222E">
              <w:rPr>
                <w:rFonts w:ascii="Arial" w:hAnsi="Arial" w:cs="Arial"/>
                <w:b/>
              </w:rPr>
              <w:t>visioconférence</w:t>
            </w:r>
            <w:proofErr w:type="gramEnd"/>
            <w:r w:rsidR="004D4940" w:rsidRPr="0096222E">
              <w:rPr>
                <w:rFonts w:ascii="Arial" w:hAnsi="Arial" w:cs="Arial"/>
                <w:b/>
              </w:rPr>
              <w:t>)</w:t>
            </w:r>
          </w:p>
        </w:tc>
      </w:tr>
      <w:tr w:rsidR="004D4940" w:rsidRPr="0096222E" w14:paraId="2DAEA435" w14:textId="77777777" w:rsidTr="00AD273D">
        <w:trPr>
          <w:trHeight w:val="29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679F3" w14:textId="77777777" w:rsidR="004D4940" w:rsidRPr="0096222E" w:rsidRDefault="004D4940" w:rsidP="00582277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  <w:p w14:paraId="37114C73" w14:textId="5CCEF4E9" w:rsidR="004D4940" w:rsidRPr="0096222E" w:rsidRDefault="004D4940" w:rsidP="00582277">
            <w:pPr>
              <w:jc w:val="both"/>
              <w:rPr>
                <w:rFonts w:ascii="Arial" w:hAnsi="Arial" w:cs="Arial"/>
                <w:b/>
              </w:rPr>
            </w:pPr>
            <w:r w:rsidRPr="0096222E">
              <w:rPr>
                <w:rFonts w:ascii="Arial" w:hAnsi="Arial" w:cs="Arial"/>
                <w:b/>
              </w:rPr>
              <w:t xml:space="preserve">Objet : </w:t>
            </w:r>
            <w:r w:rsidRPr="0096222E">
              <w:rPr>
                <w:rFonts w:ascii="Arial" w:hAnsi="Arial" w:cs="Arial"/>
              </w:rPr>
              <w:t xml:space="preserve">Réunion Plénière GT CNIG Géostandards </w:t>
            </w:r>
            <w:r w:rsidR="00677395" w:rsidRPr="0096222E">
              <w:rPr>
                <w:rFonts w:ascii="Arial" w:hAnsi="Arial" w:cs="Arial"/>
              </w:rPr>
              <w:t xml:space="preserve">risques </w:t>
            </w:r>
            <w:r w:rsidR="001049DF" w:rsidRPr="0096222E">
              <w:rPr>
                <w:rFonts w:ascii="Arial" w:hAnsi="Arial" w:cs="Arial"/>
              </w:rPr>
              <w:t xml:space="preserve">du </w:t>
            </w:r>
            <w:r w:rsidR="00296539" w:rsidRPr="0096222E">
              <w:rPr>
                <w:rFonts w:ascii="Arial" w:hAnsi="Arial" w:cs="Arial"/>
              </w:rPr>
              <w:t>mard</w:t>
            </w:r>
            <w:r w:rsidR="00860E8D" w:rsidRPr="0096222E">
              <w:rPr>
                <w:rFonts w:ascii="Arial" w:hAnsi="Arial" w:cs="Arial"/>
              </w:rPr>
              <w:t>i</w:t>
            </w:r>
            <w:r w:rsidRPr="0096222E">
              <w:rPr>
                <w:rFonts w:ascii="Arial" w:hAnsi="Arial" w:cs="Arial"/>
              </w:rPr>
              <w:t xml:space="preserve"> </w:t>
            </w:r>
            <w:r w:rsidR="00296539" w:rsidRPr="0096222E">
              <w:rPr>
                <w:rFonts w:ascii="Arial" w:hAnsi="Arial" w:cs="Arial"/>
              </w:rPr>
              <w:t>09</w:t>
            </w:r>
            <w:r w:rsidR="001049DF" w:rsidRPr="0096222E">
              <w:rPr>
                <w:rFonts w:ascii="Arial" w:hAnsi="Arial" w:cs="Arial"/>
              </w:rPr>
              <w:t>/</w:t>
            </w:r>
            <w:r w:rsidR="00296539" w:rsidRPr="0096222E">
              <w:rPr>
                <w:rFonts w:ascii="Arial" w:hAnsi="Arial" w:cs="Arial"/>
              </w:rPr>
              <w:t>07</w:t>
            </w:r>
            <w:r w:rsidR="00294692" w:rsidRPr="0096222E">
              <w:rPr>
                <w:rFonts w:ascii="Arial" w:hAnsi="Arial" w:cs="Arial"/>
              </w:rPr>
              <w:t>/202</w:t>
            </w:r>
            <w:r w:rsidR="00296539" w:rsidRPr="0096222E">
              <w:rPr>
                <w:rFonts w:ascii="Arial" w:hAnsi="Arial" w:cs="Arial"/>
              </w:rPr>
              <w:t>4</w:t>
            </w:r>
            <w:r w:rsidRPr="0096222E">
              <w:rPr>
                <w:rFonts w:ascii="Arial" w:hAnsi="Arial" w:cs="Arial"/>
              </w:rPr>
              <w:t xml:space="preserve"> de </w:t>
            </w:r>
            <w:r w:rsidR="00296539" w:rsidRPr="0096222E">
              <w:rPr>
                <w:rFonts w:ascii="Arial" w:hAnsi="Arial" w:cs="Arial"/>
              </w:rPr>
              <w:t>9</w:t>
            </w:r>
            <w:r w:rsidR="00D00448" w:rsidRPr="0096222E">
              <w:rPr>
                <w:rFonts w:ascii="Arial" w:hAnsi="Arial" w:cs="Arial"/>
              </w:rPr>
              <w:t>h</w:t>
            </w:r>
            <w:r w:rsidR="00296539" w:rsidRPr="0096222E">
              <w:rPr>
                <w:rFonts w:ascii="Arial" w:hAnsi="Arial" w:cs="Arial"/>
              </w:rPr>
              <w:t>3</w:t>
            </w:r>
            <w:r w:rsidR="001049DF" w:rsidRPr="0096222E">
              <w:rPr>
                <w:rFonts w:ascii="Arial" w:hAnsi="Arial" w:cs="Arial"/>
              </w:rPr>
              <w:t>0 à 1</w:t>
            </w:r>
            <w:r w:rsidR="00296539" w:rsidRPr="0096222E">
              <w:rPr>
                <w:rFonts w:ascii="Arial" w:hAnsi="Arial" w:cs="Arial"/>
              </w:rPr>
              <w:t>1</w:t>
            </w:r>
            <w:r w:rsidRPr="0096222E">
              <w:rPr>
                <w:rFonts w:ascii="Arial" w:hAnsi="Arial" w:cs="Arial"/>
              </w:rPr>
              <w:t>h</w:t>
            </w:r>
            <w:r w:rsidR="00296539" w:rsidRPr="0096222E">
              <w:rPr>
                <w:rFonts w:ascii="Arial" w:hAnsi="Arial" w:cs="Arial"/>
              </w:rPr>
              <w:t>30</w:t>
            </w:r>
            <w:r w:rsidRPr="0096222E">
              <w:rPr>
                <w:rFonts w:ascii="Arial" w:hAnsi="Arial" w:cs="Arial"/>
              </w:rPr>
              <w:t>.</w:t>
            </w:r>
          </w:p>
        </w:tc>
      </w:tr>
    </w:tbl>
    <w:p w14:paraId="1FDE4339" w14:textId="77777777" w:rsidR="004D4940" w:rsidRPr="0096222E" w:rsidRDefault="004D4940" w:rsidP="00582277">
      <w:pPr>
        <w:jc w:val="both"/>
        <w:rPr>
          <w:rFonts w:ascii="Arial" w:hAnsi="Arial" w:cs="Arial"/>
        </w:rPr>
      </w:pPr>
    </w:p>
    <w:p w14:paraId="2CC59D80" w14:textId="77777777" w:rsidR="00180FB4" w:rsidRPr="0096222E" w:rsidRDefault="00180FB4" w:rsidP="00582277">
      <w:pPr>
        <w:jc w:val="both"/>
        <w:rPr>
          <w:rFonts w:ascii="Arial" w:hAnsi="Arial" w:cs="Arial"/>
          <w:b/>
        </w:rPr>
      </w:pPr>
      <w:r w:rsidRPr="0096222E">
        <w:rPr>
          <w:rFonts w:ascii="Arial" w:hAnsi="Arial" w:cs="Arial"/>
          <w:b/>
        </w:rPr>
        <w:t xml:space="preserve">Ordre du jour : </w:t>
      </w:r>
    </w:p>
    <w:p w14:paraId="34380F64" w14:textId="78F051E4" w:rsidR="00294692" w:rsidRPr="0096222E" w:rsidRDefault="00294692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 xml:space="preserve">- </w:t>
      </w:r>
      <w:r w:rsidR="00296539" w:rsidRPr="0096222E">
        <w:rPr>
          <w:rFonts w:ascii="Arial" w:hAnsi="Arial" w:cs="Arial"/>
        </w:rPr>
        <w:t xml:space="preserve">Récapitulatif depuis </w:t>
      </w:r>
      <w:r w:rsidRPr="0096222E">
        <w:rPr>
          <w:rFonts w:ascii="Arial" w:hAnsi="Arial" w:cs="Arial"/>
        </w:rPr>
        <w:t>plénière précédente</w:t>
      </w:r>
    </w:p>
    <w:p w14:paraId="65B34BA3" w14:textId="3325D91B" w:rsidR="00294692" w:rsidRPr="0096222E" w:rsidRDefault="00294692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 xml:space="preserve">- </w:t>
      </w:r>
      <w:r w:rsidR="00296539" w:rsidRPr="0096222E">
        <w:rPr>
          <w:rFonts w:ascii="Arial" w:hAnsi="Arial" w:cs="Arial"/>
        </w:rPr>
        <w:t>Bilan appel à commentaires</w:t>
      </w:r>
    </w:p>
    <w:p w14:paraId="4E06B04F" w14:textId="3274CB44" w:rsidR="00296539" w:rsidRPr="0096222E" w:rsidRDefault="00296539" w:rsidP="00582277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>Quantitatif</w:t>
      </w:r>
    </w:p>
    <w:p w14:paraId="45A6CD24" w14:textId="66FF186A" w:rsidR="00296539" w:rsidRPr="0096222E" w:rsidRDefault="00296539" w:rsidP="00582277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>Revue du tableau</w:t>
      </w:r>
    </w:p>
    <w:p w14:paraId="2A69A407" w14:textId="6C23C412" w:rsidR="004E3D02" w:rsidRPr="0096222E" w:rsidRDefault="004E3D02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 xml:space="preserve">- </w:t>
      </w:r>
      <w:r w:rsidR="00296539" w:rsidRPr="0096222E">
        <w:rPr>
          <w:rFonts w:ascii="Arial" w:hAnsi="Arial" w:cs="Arial"/>
        </w:rPr>
        <w:t>Autres sujets</w:t>
      </w:r>
    </w:p>
    <w:p w14:paraId="7274AFDE" w14:textId="5BBD6A5D" w:rsidR="00D21D50" w:rsidRPr="0096222E" w:rsidRDefault="009A55A6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 xml:space="preserve">Accès au support </w:t>
      </w:r>
      <w:r w:rsidR="00296539" w:rsidRPr="0096222E">
        <w:rPr>
          <w:rFonts w:ascii="Arial" w:hAnsi="Arial" w:cs="Arial"/>
        </w:rPr>
        <w:t>de présentation</w:t>
      </w:r>
      <w:r w:rsidRPr="0096222E">
        <w:rPr>
          <w:rFonts w:ascii="Arial" w:hAnsi="Arial" w:cs="Arial"/>
        </w:rPr>
        <w:t xml:space="preserve"> disponible</w:t>
      </w:r>
      <w:r w:rsidR="004D4940" w:rsidRPr="0096222E">
        <w:rPr>
          <w:rFonts w:ascii="Arial" w:hAnsi="Arial" w:cs="Arial"/>
        </w:rPr>
        <w:t xml:space="preserve"> sur</w:t>
      </w:r>
      <w:r w:rsidRPr="0096222E">
        <w:rPr>
          <w:rFonts w:ascii="Arial" w:hAnsi="Arial" w:cs="Arial"/>
        </w:rPr>
        <w:t xml:space="preserve"> G</w:t>
      </w:r>
      <w:r w:rsidR="00D45ADB" w:rsidRPr="0096222E">
        <w:rPr>
          <w:rFonts w:ascii="Arial" w:hAnsi="Arial" w:cs="Arial"/>
        </w:rPr>
        <w:t>ithub :</w:t>
      </w:r>
      <w:r w:rsidR="001E4F33" w:rsidRPr="0096222E">
        <w:rPr>
          <w:rFonts w:ascii="Arial" w:hAnsi="Arial" w:cs="Arial"/>
        </w:rPr>
        <w:t xml:space="preserve"> </w:t>
      </w:r>
      <w:hyperlink r:id="rId11" w:history="1">
        <w:r w:rsidR="00296539" w:rsidRPr="0096222E">
          <w:rPr>
            <w:rStyle w:val="Lienhypertexte"/>
            <w:rFonts w:ascii="Arial" w:hAnsi="Arial" w:cs="Arial"/>
          </w:rPr>
          <w:t>Geostandards-Risques/suivi/2024-07-09-Pleniere-GT/SPP-24-133-Pleniere-GT-Risques-09-07-2024.pdf at main · cnigfr/Geostandards-Risques · GitHub</w:t>
        </w:r>
      </w:hyperlink>
    </w:p>
    <w:p w14:paraId="018BD23C" w14:textId="77777777" w:rsidR="001E4F33" w:rsidRPr="0096222E" w:rsidRDefault="001E4F33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  <w:b/>
          <w:u w:val="single"/>
        </w:rPr>
        <w:t>Liste des participants</w:t>
      </w:r>
      <w:r w:rsidRPr="0096222E">
        <w:rPr>
          <w:rFonts w:ascii="Arial" w:hAnsi="Arial" w:cs="Arial"/>
        </w:rPr>
        <w:t xml:space="preserve">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8"/>
        <w:gridCol w:w="4668"/>
        <w:gridCol w:w="30"/>
      </w:tblGrid>
      <w:tr w:rsidR="001E4F33" w:rsidRPr="0096222E" w14:paraId="1CDF26B9" w14:textId="77777777" w:rsidTr="00F0345E">
        <w:trPr>
          <w:trHeight w:val="425"/>
        </w:trPr>
        <w:tc>
          <w:tcPr>
            <w:tcW w:w="4258" w:type="dxa"/>
            <w:shd w:val="clear" w:color="auto" w:fill="auto"/>
          </w:tcPr>
          <w:p w14:paraId="6C0D0190" w14:textId="77777777" w:rsidR="001E4F33" w:rsidRPr="0096222E" w:rsidRDefault="001E4F33" w:rsidP="00582277">
            <w:pPr>
              <w:spacing w:after="120" w:line="240" w:lineRule="auto"/>
              <w:jc w:val="both"/>
              <w:rPr>
                <w:rFonts w:ascii="Arial" w:hAnsi="Arial" w:cs="Arial"/>
                <w:i/>
              </w:rPr>
            </w:pPr>
            <w:r w:rsidRPr="0096222E">
              <w:rPr>
                <w:rFonts w:ascii="Arial" w:hAnsi="Arial" w:cs="Arial"/>
              </w:rPr>
              <w:t>Gilles Cébélieu</w:t>
            </w:r>
            <w:r w:rsidR="00615588" w:rsidRPr="0096222E">
              <w:rPr>
                <w:rFonts w:ascii="Arial" w:hAnsi="Arial" w:cs="Arial"/>
              </w:rPr>
              <w:t xml:space="preserve"> – IGN </w:t>
            </w:r>
            <w:r w:rsidR="00F13FE7" w:rsidRPr="0096222E">
              <w:rPr>
                <w:rFonts w:ascii="Arial" w:hAnsi="Arial" w:cs="Arial"/>
              </w:rPr>
              <w:t>–</w:t>
            </w:r>
            <w:r w:rsidR="00615588" w:rsidRPr="0096222E">
              <w:rPr>
                <w:rFonts w:ascii="Arial" w:hAnsi="Arial" w:cs="Arial"/>
              </w:rPr>
              <w:t xml:space="preserve"> </w:t>
            </w:r>
            <w:r w:rsidR="00615588" w:rsidRPr="0096222E">
              <w:rPr>
                <w:rFonts w:ascii="Arial" w:hAnsi="Arial" w:cs="Arial"/>
                <w:i/>
              </w:rPr>
              <w:t>Animateur</w:t>
            </w:r>
          </w:p>
          <w:p w14:paraId="4A01F33D" w14:textId="53D677AD" w:rsidR="001049DF" w:rsidRPr="0096222E" w:rsidRDefault="001049DF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>Nicolas Bonnin – DGPR</w:t>
            </w:r>
            <w:r w:rsidR="00EC052D">
              <w:rPr>
                <w:rFonts w:ascii="Arial" w:hAnsi="Arial" w:cs="Arial"/>
              </w:rPr>
              <w:t>/DAGSI</w:t>
            </w:r>
          </w:p>
          <w:p w14:paraId="08ADA581" w14:textId="369CBF76" w:rsidR="00E64F5C" w:rsidRPr="0096222E" w:rsidRDefault="00296539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 xml:space="preserve">Nathalie </w:t>
            </w:r>
            <w:proofErr w:type="spellStart"/>
            <w:r w:rsidRPr="0096222E">
              <w:rPr>
                <w:rFonts w:ascii="Arial" w:hAnsi="Arial" w:cs="Arial"/>
              </w:rPr>
              <w:t>O</w:t>
            </w:r>
            <w:r w:rsidR="00D71BB3" w:rsidRPr="0096222E">
              <w:rPr>
                <w:rFonts w:ascii="Arial" w:hAnsi="Arial" w:cs="Arial"/>
              </w:rPr>
              <w:t>rlhac</w:t>
            </w:r>
            <w:proofErr w:type="spellEnd"/>
            <w:r w:rsidR="00D71BB3" w:rsidRPr="0096222E">
              <w:rPr>
                <w:rFonts w:ascii="Arial" w:hAnsi="Arial" w:cs="Arial"/>
              </w:rPr>
              <w:t xml:space="preserve"> – CCR</w:t>
            </w:r>
          </w:p>
          <w:p w14:paraId="1F1EECBE" w14:textId="70D1F5AC" w:rsidR="00296539" w:rsidRPr="0096222E" w:rsidRDefault="00296539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 xml:space="preserve">Bastien </w:t>
            </w:r>
            <w:proofErr w:type="spellStart"/>
            <w:r w:rsidRPr="0096222E">
              <w:rPr>
                <w:rFonts w:ascii="Arial" w:hAnsi="Arial" w:cs="Arial"/>
              </w:rPr>
              <w:t>Coignon</w:t>
            </w:r>
            <w:proofErr w:type="spellEnd"/>
            <w:r w:rsidRPr="0096222E">
              <w:rPr>
                <w:rFonts w:ascii="Arial" w:hAnsi="Arial" w:cs="Arial"/>
              </w:rPr>
              <w:t xml:space="preserve"> – DGPR</w:t>
            </w:r>
            <w:r w:rsidR="00EC052D">
              <w:rPr>
                <w:rFonts w:ascii="Arial" w:hAnsi="Arial" w:cs="Arial"/>
              </w:rPr>
              <w:t>/BRIL</w:t>
            </w:r>
          </w:p>
          <w:p w14:paraId="40346148" w14:textId="61948B4F" w:rsidR="00296539" w:rsidRPr="0096222E" w:rsidRDefault="00296539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>Nata</w:t>
            </w:r>
            <w:r w:rsidR="00D71BB3" w:rsidRPr="0096222E">
              <w:rPr>
                <w:rFonts w:ascii="Arial" w:hAnsi="Arial" w:cs="Arial"/>
              </w:rPr>
              <w:t>l</w:t>
            </w:r>
            <w:r w:rsidRPr="0096222E">
              <w:rPr>
                <w:rFonts w:ascii="Arial" w:hAnsi="Arial" w:cs="Arial"/>
              </w:rPr>
              <w:t xml:space="preserve">ie </w:t>
            </w:r>
            <w:proofErr w:type="spellStart"/>
            <w:r w:rsidRPr="0096222E">
              <w:rPr>
                <w:rFonts w:ascii="Arial" w:hAnsi="Arial" w:cs="Arial"/>
              </w:rPr>
              <w:t>Fournel</w:t>
            </w:r>
            <w:proofErr w:type="spellEnd"/>
            <w:r w:rsidRPr="0096222E">
              <w:rPr>
                <w:rFonts w:ascii="Arial" w:hAnsi="Arial" w:cs="Arial"/>
              </w:rPr>
              <w:t xml:space="preserve"> – DDT </w:t>
            </w:r>
            <w:r w:rsidR="00D71BB3" w:rsidRPr="0096222E">
              <w:rPr>
                <w:rFonts w:ascii="Arial" w:hAnsi="Arial" w:cs="Arial"/>
              </w:rPr>
              <w:t>4</w:t>
            </w:r>
            <w:r w:rsidRPr="0096222E">
              <w:rPr>
                <w:rFonts w:ascii="Arial" w:hAnsi="Arial" w:cs="Arial"/>
              </w:rPr>
              <w:t>2</w:t>
            </w:r>
          </w:p>
        </w:tc>
        <w:tc>
          <w:tcPr>
            <w:tcW w:w="4668" w:type="dxa"/>
            <w:shd w:val="clear" w:color="auto" w:fill="auto"/>
          </w:tcPr>
          <w:p w14:paraId="3484DA67" w14:textId="77777777" w:rsidR="00B4026B" w:rsidRPr="0096222E" w:rsidRDefault="00650F91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>Stanislas BESSON - DDT 38</w:t>
            </w:r>
          </w:p>
          <w:p w14:paraId="1D5211B6" w14:textId="77777777" w:rsidR="00892C04" w:rsidRPr="0096222E" w:rsidRDefault="00892C04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 xml:space="preserve">Alison Lenain </w:t>
            </w:r>
            <w:r w:rsidR="001049DF" w:rsidRPr="0096222E">
              <w:rPr>
                <w:rFonts w:ascii="Arial" w:hAnsi="Arial" w:cs="Arial"/>
              </w:rPr>
              <w:t>–</w:t>
            </w:r>
            <w:r w:rsidRPr="0096222E">
              <w:rPr>
                <w:rFonts w:ascii="Arial" w:hAnsi="Arial" w:cs="Arial"/>
              </w:rPr>
              <w:t xml:space="preserve"> IGN</w:t>
            </w:r>
          </w:p>
          <w:p w14:paraId="707E46BC" w14:textId="4654BA25" w:rsidR="001049DF" w:rsidRPr="0096222E" w:rsidRDefault="001049DF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 xml:space="preserve">Jacques </w:t>
            </w:r>
            <w:proofErr w:type="spellStart"/>
            <w:r w:rsidRPr="0096222E">
              <w:rPr>
                <w:rFonts w:ascii="Arial" w:hAnsi="Arial" w:cs="Arial"/>
              </w:rPr>
              <w:t>Bouffier</w:t>
            </w:r>
            <w:proofErr w:type="spellEnd"/>
            <w:r w:rsidRPr="0096222E">
              <w:rPr>
                <w:rFonts w:ascii="Arial" w:hAnsi="Arial" w:cs="Arial"/>
              </w:rPr>
              <w:t xml:space="preserve"> – </w:t>
            </w:r>
            <w:r w:rsidR="00296539" w:rsidRPr="0096222E">
              <w:rPr>
                <w:rFonts w:ascii="Arial" w:hAnsi="Arial" w:cs="Arial"/>
              </w:rPr>
              <w:t>DGPR</w:t>
            </w:r>
            <w:r w:rsidR="00EC052D">
              <w:rPr>
                <w:rFonts w:ascii="Arial" w:hAnsi="Arial" w:cs="Arial"/>
              </w:rPr>
              <w:t>/BRIL</w:t>
            </w:r>
          </w:p>
          <w:p w14:paraId="0CF8036E" w14:textId="77777777" w:rsidR="00F27B2E" w:rsidRPr="00EC052D" w:rsidRDefault="00F27B2E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EC052D">
              <w:rPr>
                <w:rFonts w:ascii="Arial" w:hAnsi="Arial" w:cs="Arial"/>
              </w:rPr>
              <w:t xml:space="preserve">Yohann Evain - CEREMA </w:t>
            </w:r>
          </w:p>
          <w:p w14:paraId="21A84BFC" w14:textId="606A6C91" w:rsidR="001049DF" w:rsidRPr="0096222E" w:rsidRDefault="001049DF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" w:type="dxa"/>
            <w:shd w:val="clear" w:color="auto" w:fill="auto"/>
          </w:tcPr>
          <w:p w14:paraId="5077BECA" w14:textId="77777777" w:rsidR="001E4F33" w:rsidRPr="0096222E" w:rsidRDefault="001E4F33" w:rsidP="00582277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37DD4ACB" w14:textId="77777777" w:rsidR="00314A72" w:rsidRPr="0096222E" w:rsidRDefault="00314A72" w:rsidP="00582277">
      <w:pPr>
        <w:tabs>
          <w:tab w:val="left" w:pos="6234"/>
        </w:tabs>
        <w:jc w:val="both"/>
        <w:rPr>
          <w:rFonts w:ascii="Arial" w:hAnsi="Arial" w:cs="Arial"/>
        </w:rPr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645"/>
        <w:gridCol w:w="4309"/>
      </w:tblGrid>
      <w:tr w:rsidR="00CA1879" w:rsidRPr="0096222E" w14:paraId="650280E7" w14:textId="77777777" w:rsidTr="006C2387">
        <w:trPr>
          <w:trHeight w:val="5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B2171" w14:textId="77777777" w:rsidR="00CA1879" w:rsidRPr="0096222E" w:rsidRDefault="00E66F3F" w:rsidP="005507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222E">
              <w:rPr>
                <w:rFonts w:ascii="Arial" w:eastAsia="Times New Roman" w:hAnsi="Arial" w:cs="Arial"/>
                <w:color w:val="000000"/>
              </w:rPr>
              <w:t>Première version</w:t>
            </w:r>
            <w:r w:rsidR="00CA1879" w:rsidRPr="0096222E">
              <w:rPr>
                <w:rFonts w:ascii="Arial" w:eastAsia="Times New Roman" w:hAnsi="Arial" w:cs="Arial"/>
                <w:color w:val="000000"/>
              </w:rPr>
              <w:t xml:space="preserve">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EC1C5" w14:textId="04CCFF27" w:rsidR="00CA1879" w:rsidRPr="0096222E" w:rsidRDefault="00EC052D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11/07/2024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C749E" w14:textId="77777777" w:rsidR="00CA1879" w:rsidRPr="0096222E" w:rsidRDefault="00892C04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6222E">
              <w:rPr>
                <w:rFonts w:ascii="Arial" w:eastAsia="Times New Roman" w:hAnsi="Arial" w:cs="Arial"/>
                <w:color w:val="000000"/>
              </w:rPr>
              <w:t>Alison Lenain</w:t>
            </w:r>
          </w:p>
        </w:tc>
      </w:tr>
      <w:tr w:rsidR="00CA1879" w:rsidRPr="0096222E" w14:paraId="478C5304" w14:textId="77777777" w:rsidTr="006C2387">
        <w:trPr>
          <w:trHeight w:val="57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7FDE7" w14:textId="77777777" w:rsidR="00CA1879" w:rsidRPr="0096222E" w:rsidRDefault="00CA1879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6222E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Validation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4548C" w14:textId="2334555B" w:rsidR="00CA1879" w:rsidRPr="0096222E" w:rsidRDefault="0055074B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27/06/2024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C393B" w14:textId="77777777" w:rsidR="00CA1879" w:rsidRPr="0096222E" w:rsidRDefault="00E66F3F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6222E">
              <w:rPr>
                <w:rFonts w:ascii="Arial" w:eastAsia="Times New Roman" w:hAnsi="Arial" w:cs="Arial"/>
                <w:color w:val="000000"/>
              </w:rPr>
              <w:t>Groupe de travail</w:t>
            </w:r>
          </w:p>
        </w:tc>
      </w:tr>
      <w:tr w:rsidR="00CA1879" w:rsidRPr="0096222E" w14:paraId="5B61C203" w14:textId="77777777" w:rsidTr="006C2387">
        <w:trPr>
          <w:trHeight w:val="570"/>
        </w:trPr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9E56" w14:textId="72D36E3F" w:rsidR="00CA1879" w:rsidRPr="0096222E" w:rsidRDefault="00CA1879" w:rsidP="00582277">
            <w:pPr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  <w:b/>
              </w:rPr>
              <w:t xml:space="preserve">Prochaine réunion plénière </w:t>
            </w:r>
            <w:r w:rsidR="00AC2AE5" w:rsidRPr="0096222E">
              <w:rPr>
                <w:rFonts w:ascii="Arial" w:hAnsi="Arial" w:cs="Arial"/>
                <w:b/>
              </w:rPr>
              <w:t xml:space="preserve">le </w:t>
            </w:r>
            <w:r w:rsidR="0055074B">
              <w:rPr>
                <w:rFonts w:ascii="Arial" w:hAnsi="Arial" w:cs="Arial"/>
                <w:b/>
              </w:rPr>
              <w:t xml:space="preserve">26 septembre </w:t>
            </w:r>
            <w:r w:rsidR="0055074B" w:rsidRPr="0055074B">
              <w:rPr>
                <w:rFonts w:ascii="Arial" w:hAnsi="Arial" w:cs="Arial"/>
                <w:b/>
              </w:rPr>
              <w:t>2024</w:t>
            </w:r>
            <w:r w:rsidR="00AC2AE5" w:rsidRPr="0055074B">
              <w:rPr>
                <w:rFonts w:ascii="Arial" w:hAnsi="Arial" w:cs="Arial"/>
                <w:b/>
              </w:rPr>
              <w:t xml:space="preserve"> de </w:t>
            </w:r>
            <w:r w:rsidR="0055074B" w:rsidRPr="0055074B">
              <w:rPr>
                <w:rFonts w:ascii="Arial" w:hAnsi="Arial" w:cs="Arial"/>
                <w:b/>
              </w:rPr>
              <w:t>14</w:t>
            </w:r>
            <w:r w:rsidR="00AC2AE5" w:rsidRPr="0055074B">
              <w:rPr>
                <w:rFonts w:ascii="Arial" w:hAnsi="Arial" w:cs="Arial"/>
                <w:b/>
              </w:rPr>
              <w:t xml:space="preserve">h à </w:t>
            </w:r>
            <w:r w:rsidR="0055074B" w:rsidRPr="0055074B">
              <w:rPr>
                <w:rFonts w:ascii="Arial" w:hAnsi="Arial" w:cs="Arial"/>
                <w:b/>
              </w:rPr>
              <w:t>16</w:t>
            </w:r>
            <w:r w:rsidR="00AC2AE5" w:rsidRPr="0055074B">
              <w:rPr>
                <w:rFonts w:ascii="Arial" w:hAnsi="Arial" w:cs="Arial"/>
                <w:b/>
              </w:rPr>
              <w:t>h en visio-conférence</w:t>
            </w:r>
            <w:r w:rsidRPr="0055074B">
              <w:rPr>
                <w:rFonts w:ascii="Arial" w:hAnsi="Arial" w:cs="Arial"/>
              </w:rPr>
              <w:t>.</w:t>
            </w:r>
          </w:p>
          <w:p w14:paraId="44AEC275" w14:textId="77777777" w:rsidR="0055074B" w:rsidRDefault="00CA1879" w:rsidP="0058227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>Pr</w:t>
            </w:r>
            <w:r w:rsidR="00AC2AE5" w:rsidRPr="0096222E">
              <w:rPr>
                <w:rFonts w:ascii="Arial" w:hAnsi="Arial" w:cs="Arial"/>
              </w:rPr>
              <w:t>ochain</w:t>
            </w:r>
            <w:r w:rsidR="0055074B">
              <w:rPr>
                <w:rFonts w:ascii="Arial" w:hAnsi="Arial" w:cs="Arial"/>
              </w:rPr>
              <w:t>es réunions du GT :</w:t>
            </w:r>
          </w:p>
          <w:p w14:paraId="221C39F0" w14:textId="5E4A2F3A" w:rsidR="00CA1879" w:rsidRDefault="0055074B" w:rsidP="0055074B">
            <w:pPr>
              <w:pStyle w:val="Paragraphedeliste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5074B">
              <w:rPr>
                <w:rFonts w:ascii="Arial" w:hAnsi="Arial" w:cs="Arial"/>
              </w:rPr>
              <w:t>Résolution des commentaires </w:t>
            </w:r>
            <w:r>
              <w:rPr>
                <w:rFonts w:ascii="Arial" w:hAnsi="Arial" w:cs="Arial"/>
              </w:rPr>
              <w:t xml:space="preserve">#1 </w:t>
            </w:r>
            <w:r w:rsidRPr="0055074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jeudi 29 août 2024 (14h-17h)</w:t>
            </w:r>
          </w:p>
          <w:p w14:paraId="58493203" w14:textId="03BE3652" w:rsidR="0055074B" w:rsidRPr="0055074B" w:rsidRDefault="0055074B" w:rsidP="0055074B">
            <w:pPr>
              <w:pStyle w:val="Paragraphedeliste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5074B">
              <w:rPr>
                <w:rFonts w:ascii="Arial" w:hAnsi="Arial" w:cs="Arial"/>
              </w:rPr>
              <w:t>Résolution</w:t>
            </w:r>
            <w:r w:rsidRPr="0055074B">
              <w:rPr>
                <w:rFonts w:ascii="Arial" w:hAnsi="Arial" w:cs="Arial"/>
              </w:rPr>
              <w:t xml:space="preserve"> des commentaires </w:t>
            </w:r>
            <w:r>
              <w:rPr>
                <w:rFonts w:ascii="Arial" w:hAnsi="Arial" w:cs="Arial"/>
              </w:rPr>
              <w:t>#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55074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lundi</w:t>
            </w:r>
            <w:r>
              <w:rPr>
                <w:rFonts w:ascii="Arial" w:hAnsi="Arial" w:cs="Arial"/>
              </w:rPr>
              <w:t xml:space="preserve"> 2</w:t>
            </w:r>
            <w:r>
              <w:rPr>
                <w:rFonts w:ascii="Arial" w:hAnsi="Arial" w:cs="Arial"/>
              </w:rPr>
              <w:t xml:space="preserve"> septembre</w:t>
            </w:r>
            <w:r>
              <w:rPr>
                <w:rFonts w:ascii="Arial" w:hAnsi="Arial" w:cs="Arial"/>
              </w:rPr>
              <w:t xml:space="preserve"> 2024 (14h-17h)</w:t>
            </w:r>
          </w:p>
          <w:p w14:paraId="2FE766DC" w14:textId="77777777" w:rsidR="009C388A" w:rsidRPr="0096222E" w:rsidRDefault="009C388A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05CE0DA" w14:textId="77777777" w:rsidR="00AC2AE5" w:rsidRPr="00A82548" w:rsidRDefault="00D233C2" w:rsidP="00582277">
      <w:pPr>
        <w:pStyle w:val="Titre1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Récapitulatif plénière précédente</w:t>
      </w:r>
    </w:p>
    <w:p w14:paraId="162AFD64" w14:textId="77777777" w:rsidR="000E5277" w:rsidRPr="00A82548" w:rsidRDefault="000E5277" w:rsidP="00582277">
      <w:pPr>
        <w:jc w:val="both"/>
        <w:rPr>
          <w:rFonts w:ascii="Arial" w:hAnsi="Arial" w:cs="Arial"/>
          <w:i/>
        </w:rPr>
      </w:pPr>
      <w:r w:rsidRPr="00A82548">
        <w:rPr>
          <w:rFonts w:ascii="Arial" w:hAnsi="Arial" w:cs="Arial"/>
          <w:i/>
        </w:rPr>
        <w:t>(</w:t>
      </w:r>
      <w:proofErr w:type="gramStart"/>
      <w:r w:rsidRPr="00A82548">
        <w:rPr>
          <w:rFonts w:ascii="Arial" w:hAnsi="Arial" w:cs="Arial"/>
          <w:i/>
          <w:u w:val="single"/>
        </w:rPr>
        <w:t>cf.</w:t>
      </w:r>
      <w:proofErr w:type="gramEnd"/>
      <w:r w:rsidRPr="00A82548">
        <w:rPr>
          <w:rFonts w:ascii="Arial" w:hAnsi="Arial" w:cs="Arial"/>
          <w:i/>
          <w:u w:val="single"/>
        </w:rPr>
        <w:t xml:space="preserve"> diapositive #3</w:t>
      </w:r>
      <w:r w:rsidRPr="00A82548">
        <w:rPr>
          <w:rFonts w:ascii="Arial" w:hAnsi="Arial" w:cs="Arial"/>
          <w:i/>
        </w:rPr>
        <w:t>)</w:t>
      </w:r>
    </w:p>
    <w:p w14:paraId="0A4791EA" w14:textId="499318A8" w:rsidR="00614DF2" w:rsidRPr="00A82548" w:rsidRDefault="00D233C2" w:rsidP="00582277">
      <w:pPr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 xml:space="preserve">Le compte rendu de la dernière plénière du </w:t>
      </w:r>
      <w:r w:rsidR="002A0074" w:rsidRPr="00A82548">
        <w:rPr>
          <w:rFonts w:ascii="Arial" w:hAnsi="Arial" w:cs="Arial"/>
        </w:rPr>
        <w:t>30</w:t>
      </w:r>
      <w:r w:rsidR="00F27B2E" w:rsidRPr="00A82548">
        <w:rPr>
          <w:rFonts w:ascii="Arial" w:hAnsi="Arial" w:cs="Arial"/>
        </w:rPr>
        <w:t>/0</w:t>
      </w:r>
      <w:r w:rsidR="002A0074" w:rsidRPr="00A82548">
        <w:rPr>
          <w:rFonts w:ascii="Arial" w:hAnsi="Arial" w:cs="Arial"/>
        </w:rPr>
        <w:t>4</w:t>
      </w:r>
      <w:r w:rsidR="00F0345E" w:rsidRPr="00A82548">
        <w:rPr>
          <w:rFonts w:ascii="Arial" w:hAnsi="Arial" w:cs="Arial"/>
        </w:rPr>
        <w:t>/202</w:t>
      </w:r>
      <w:r w:rsidR="002A0074" w:rsidRPr="00A82548">
        <w:rPr>
          <w:rFonts w:ascii="Arial" w:hAnsi="Arial" w:cs="Arial"/>
        </w:rPr>
        <w:t>4</w:t>
      </w:r>
      <w:r w:rsidR="00AC2AE5" w:rsidRPr="00A82548">
        <w:rPr>
          <w:rFonts w:ascii="Arial" w:hAnsi="Arial" w:cs="Arial"/>
        </w:rPr>
        <w:t xml:space="preserve"> </w:t>
      </w:r>
      <w:r w:rsidR="00706E70" w:rsidRPr="00A82548">
        <w:rPr>
          <w:rFonts w:ascii="Arial" w:hAnsi="Arial" w:cs="Arial"/>
        </w:rPr>
        <w:t xml:space="preserve">est accessible à partir de ce lien </w:t>
      </w:r>
      <w:r w:rsidR="00AC2AE5" w:rsidRPr="00A82548">
        <w:rPr>
          <w:rFonts w:ascii="Arial" w:hAnsi="Arial" w:cs="Arial"/>
        </w:rPr>
        <w:t>(</w:t>
      </w:r>
      <w:hyperlink r:id="rId12" w:history="1">
        <w:r w:rsidR="002A0074" w:rsidRPr="00A82548">
          <w:rPr>
            <w:rStyle w:val="Lienhypertexte"/>
            <w:rFonts w:ascii="Arial" w:hAnsi="Arial" w:cs="Arial"/>
          </w:rPr>
          <w:t>Geostandards-Risques/suivi/2024-04-30-Pleniere-GT/SPP-24-079-CR_Reunion-pleinere-GT-risques-30-04-2024.pdf at main · cnigfr/Geostandards-Risques · GitHub</w:t>
        </w:r>
      </w:hyperlink>
      <w:r w:rsidR="00AC2AE5" w:rsidRPr="00A82548">
        <w:rPr>
          <w:rFonts w:ascii="Arial" w:hAnsi="Arial" w:cs="Arial"/>
        </w:rPr>
        <w:t>)</w:t>
      </w:r>
      <w:r w:rsidR="00706E70" w:rsidRPr="00A82548">
        <w:rPr>
          <w:rFonts w:ascii="Arial" w:hAnsi="Arial" w:cs="Arial"/>
        </w:rPr>
        <w:t>.</w:t>
      </w:r>
    </w:p>
    <w:p w14:paraId="2A3F8EAD" w14:textId="344007FD" w:rsidR="00614DF2" w:rsidRPr="00A82548" w:rsidRDefault="00614DF2" w:rsidP="00582277">
      <w:pPr>
        <w:jc w:val="both"/>
        <w:rPr>
          <w:rFonts w:ascii="Arial" w:hAnsi="Arial" w:cs="Arial"/>
          <w:b/>
        </w:rPr>
      </w:pPr>
      <w:r w:rsidRPr="00A82548">
        <w:rPr>
          <w:rFonts w:ascii="Arial" w:hAnsi="Arial" w:cs="Arial"/>
          <w:b/>
        </w:rPr>
        <w:t>Principales conclusions </w:t>
      </w:r>
      <w:r w:rsidR="002A0074" w:rsidRPr="00A82548">
        <w:rPr>
          <w:rFonts w:ascii="Arial" w:hAnsi="Arial" w:cs="Arial"/>
          <w:b/>
        </w:rPr>
        <w:t xml:space="preserve">et évènements suivants : </w:t>
      </w:r>
    </w:p>
    <w:p w14:paraId="177F48FC" w14:textId="32010E80" w:rsidR="002A0074" w:rsidRPr="00A82548" w:rsidRDefault="002A0074" w:rsidP="00582277">
      <w:pPr>
        <w:jc w:val="both"/>
        <w:rPr>
          <w:rFonts w:ascii="Arial" w:hAnsi="Arial" w:cs="Arial"/>
          <w:bCs/>
        </w:rPr>
      </w:pPr>
      <w:r w:rsidRPr="00A82548">
        <w:rPr>
          <w:rFonts w:ascii="Arial" w:hAnsi="Arial" w:cs="Arial"/>
          <w:bCs/>
        </w:rPr>
        <w:t>L’appel à commentaire a été lancé.</w:t>
      </w:r>
    </w:p>
    <w:p w14:paraId="2F28669A" w14:textId="01CD8C9F" w:rsidR="002A0074" w:rsidRPr="00A82548" w:rsidRDefault="002A0074" w:rsidP="00582277">
      <w:pPr>
        <w:jc w:val="both"/>
        <w:rPr>
          <w:rFonts w:ascii="Arial" w:hAnsi="Arial" w:cs="Arial"/>
          <w:bCs/>
        </w:rPr>
      </w:pPr>
      <w:r w:rsidRPr="00A82548">
        <w:rPr>
          <w:rFonts w:ascii="Arial" w:hAnsi="Arial" w:cs="Arial"/>
          <w:bCs/>
        </w:rPr>
        <w:t xml:space="preserve">Un webinaire a eu lieu avec les services producteurs le 28/05/2024. Il y avait 179 participants. Le replay est disponible sur </w:t>
      </w:r>
      <w:proofErr w:type="spellStart"/>
      <w:r w:rsidRPr="00A82548">
        <w:rPr>
          <w:rFonts w:ascii="Arial" w:hAnsi="Arial" w:cs="Arial"/>
          <w:bCs/>
        </w:rPr>
        <w:t>Youtube</w:t>
      </w:r>
      <w:proofErr w:type="spellEnd"/>
      <w:r w:rsidRPr="00A82548">
        <w:rPr>
          <w:rFonts w:ascii="Arial" w:hAnsi="Arial" w:cs="Arial"/>
          <w:bCs/>
        </w:rPr>
        <w:t xml:space="preserve"> à partir de ce lien : </w:t>
      </w:r>
      <w:hyperlink r:id="rId13" w:history="1">
        <w:r w:rsidRPr="00A82548">
          <w:rPr>
            <w:rStyle w:val="Lienhypertexte"/>
            <w:rFonts w:ascii="Arial" w:hAnsi="Arial" w:cs="Arial"/>
            <w:bCs/>
          </w:rPr>
          <w:t>https://www.youtube.com/watch?v=1-OFlNQiGtw&amp;feature=youtu.be</w:t>
        </w:r>
      </w:hyperlink>
      <w:r w:rsidR="00D71BB3" w:rsidRPr="00A82548">
        <w:rPr>
          <w:rFonts w:ascii="Arial" w:hAnsi="Arial" w:cs="Arial"/>
          <w:bCs/>
        </w:rPr>
        <w:t>.</w:t>
      </w:r>
    </w:p>
    <w:p w14:paraId="4598658F" w14:textId="03AEB9ED" w:rsidR="00C01197" w:rsidRPr="00A82548" w:rsidRDefault="00C01197" w:rsidP="00582277">
      <w:pPr>
        <w:jc w:val="both"/>
        <w:rPr>
          <w:rFonts w:ascii="Arial" w:hAnsi="Arial" w:cs="Arial"/>
          <w:bCs/>
        </w:rPr>
      </w:pPr>
      <w:r w:rsidRPr="00A82548">
        <w:rPr>
          <w:rFonts w:ascii="Arial" w:hAnsi="Arial" w:cs="Arial"/>
          <w:bCs/>
        </w:rPr>
        <w:t>La commission des standards CNIG a eu lieu le 13/06/2024.</w:t>
      </w:r>
      <w:r w:rsidR="00396D33" w:rsidRPr="00A82548">
        <w:rPr>
          <w:rFonts w:ascii="Arial" w:hAnsi="Arial" w:cs="Arial"/>
          <w:bCs/>
        </w:rPr>
        <w:t xml:space="preserve"> La version 0.2 </w:t>
      </w:r>
      <w:r w:rsidR="00E03C1C" w:rsidRPr="00A82548">
        <w:rPr>
          <w:rFonts w:ascii="Arial" w:hAnsi="Arial" w:cs="Arial"/>
          <w:bCs/>
        </w:rPr>
        <w:t>des documents</w:t>
      </w:r>
      <w:r w:rsidR="00396D33" w:rsidRPr="00A82548">
        <w:rPr>
          <w:rFonts w:ascii="Arial" w:hAnsi="Arial" w:cs="Arial"/>
          <w:bCs/>
        </w:rPr>
        <w:t xml:space="preserve"> </w:t>
      </w:r>
      <w:r w:rsidR="00E03C1C" w:rsidRPr="00A82548">
        <w:rPr>
          <w:rFonts w:ascii="Arial" w:hAnsi="Arial" w:cs="Arial"/>
          <w:bCs/>
        </w:rPr>
        <w:t>a</w:t>
      </w:r>
      <w:r w:rsidR="00396D33" w:rsidRPr="00A82548">
        <w:rPr>
          <w:rFonts w:ascii="Arial" w:hAnsi="Arial" w:cs="Arial"/>
          <w:bCs/>
        </w:rPr>
        <w:t xml:space="preserve"> été présenté</w:t>
      </w:r>
      <w:r w:rsidR="00E03C1C" w:rsidRPr="00A82548">
        <w:rPr>
          <w:rFonts w:ascii="Arial" w:hAnsi="Arial" w:cs="Arial"/>
          <w:bCs/>
        </w:rPr>
        <w:t>e</w:t>
      </w:r>
      <w:r w:rsidR="00396D33" w:rsidRPr="00A82548">
        <w:rPr>
          <w:rFonts w:ascii="Arial" w:hAnsi="Arial" w:cs="Arial"/>
          <w:bCs/>
        </w:rPr>
        <w:t xml:space="preserve"> ainsi que l’appel à commentaire. Le compte rendu est disponible à partir de ce lien : </w:t>
      </w:r>
      <w:hyperlink r:id="rId14" w:history="1">
        <w:r w:rsidR="00396D33" w:rsidRPr="00A82548">
          <w:rPr>
            <w:rStyle w:val="Lienhypertexte"/>
            <w:rFonts w:ascii="Arial" w:hAnsi="Arial" w:cs="Arial"/>
            <w:bCs/>
          </w:rPr>
          <w:t>Commission des standards | Conseil national de l’information géolocalisée (cnig.gouv.fr)</w:t>
        </w:r>
      </w:hyperlink>
      <w:r w:rsidR="00396D33" w:rsidRPr="00A82548">
        <w:rPr>
          <w:rFonts w:ascii="Arial" w:hAnsi="Arial" w:cs="Arial"/>
          <w:bCs/>
        </w:rPr>
        <w:t xml:space="preserve">. </w:t>
      </w:r>
    </w:p>
    <w:p w14:paraId="4BD44CE7" w14:textId="00E84F7F" w:rsidR="00396D33" w:rsidRPr="00A82548" w:rsidRDefault="00E03C1C" w:rsidP="00582277">
      <w:pPr>
        <w:jc w:val="both"/>
        <w:rPr>
          <w:rFonts w:ascii="Arial" w:hAnsi="Arial" w:cs="Arial"/>
          <w:bCs/>
        </w:rPr>
      </w:pPr>
      <w:r w:rsidRPr="00A82548">
        <w:rPr>
          <w:rFonts w:ascii="Arial" w:hAnsi="Arial" w:cs="Arial"/>
          <w:bCs/>
        </w:rPr>
        <w:t>Une</w:t>
      </w:r>
      <w:r w:rsidR="00396D33" w:rsidRPr="00A82548">
        <w:rPr>
          <w:rFonts w:ascii="Arial" w:hAnsi="Arial" w:cs="Arial"/>
          <w:bCs/>
        </w:rPr>
        <w:t xml:space="preserve"> réunion GéoIDE a eu lieu le 11/06/2024</w:t>
      </w:r>
      <w:r w:rsidRPr="00A82548">
        <w:rPr>
          <w:rFonts w:ascii="Arial" w:hAnsi="Arial" w:cs="Arial"/>
          <w:bCs/>
        </w:rPr>
        <w:t xml:space="preserve"> concernant les problèmes de comptabilité avec le format Geopackage</w:t>
      </w:r>
      <w:r w:rsidR="00396D33" w:rsidRPr="00A82548">
        <w:rPr>
          <w:rFonts w:ascii="Arial" w:hAnsi="Arial" w:cs="Arial"/>
          <w:bCs/>
        </w:rPr>
        <w:t xml:space="preserve">. Le compte rendu est accessible à partir de </w:t>
      </w:r>
      <w:hyperlink r:id="rId15" w:history="1">
        <w:r w:rsidR="00396D33" w:rsidRPr="00A82548">
          <w:rPr>
            <w:rStyle w:val="Lienhypertexte"/>
            <w:rFonts w:ascii="Arial" w:hAnsi="Arial" w:cs="Arial"/>
            <w:bCs/>
          </w:rPr>
          <w:t>l’issue #77</w:t>
        </w:r>
      </w:hyperlink>
      <w:r w:rsidR="00396D33" w:rsidRPr="00A82548">
        <w:rPr>
          <w:rFonts w:ascii="Arial" w:hAnsi="Arial" w:cs="Arial"/>
          <w:bCs/>
        </w:rPr>
        <w:t xml:space="preserve">. </w:t>
      </w:r>
    </w:p>
    <w:p w14:paraId="42386ACD" w14:textId="75EDB994" w:rsidR="003E057D" w:rsidRPr="00A82548" w:rsidRDefault="00280BDB" w:rsidP="00582277">
      <w:pPr>
        <w:pStyle w:val="Titre1"/>
        <w:spacing w:after="12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Bilan appel à commentaires</w:t>
      </w:r>
      <w:r w:rsidR="00FA749F" w:rsidRPr="00A82548">
        <w:rPr>
          <w:rFonts w:ascii="Arial" w:hAnsi="Arial" w:cs="Arial"/>
        </w:rPr>
        <w:t xml:space="preserve"> </w:t>
      </w:r>
      <w:r w:rsidR="00942DB0" w:rsidRPr="00A82548">
        <w:rPr>
          <w:rFonts w:ascii="Arial" w:hAnsi="Arial" w:cs="Arial"/>
        </w:rPr>
        <w:t>(</w:t>
      </w:r>
      <w:r w:rsidR="00942DB0" w:rsidRPr="00A82548">
        <w:rPr>
          <w:rFonts w:ascii="Arial" w:hAnsi="Arial" w:cs="Arial"/>
          <w:i/>
          <w:u w:val="single"/>
        </w:rPr>
        <w:t>diapositive #</w:t>
      </w:r>
      <w:r w:rsidR="00F0345E" w:rsidRPr="00A82548">
        <w:rPr>
          <w:rFonts w:ascii="Arial" w:hAnsi="Arial" w:cs="Arial"/>
          <w:i/>
          <w:u w:val="single"/>
        </w:rPr>
        <w:t xml:space="preserve"> 4</w:t>
      </w:r>
      <w:r w:rsidR="00942DB0" w:rsidRPr="00A82548">
        <w:rPr>
          <w:rFonts w:ascii="Arial" w:hAnsi="Arial" w:cs="Arial"/>
          <w:i/>
          <w:u w:val="single"/>
        </w:rPr>
        <w:t xml:space="preserve"> à </w:t>
      </w:r>
      <w:r w:rsidR="00C32E56" w:rsidRPr="00A82548">
        <w:rPr>
          <w:rFonts w:ascii="Arial" w:hAnsi="Arial" w:cs="Arial"/>
          <w:i/>
          <w:u w:val="single"/>
        </w:rPr>
        <w:t># 5</w:t>
      </w:r>
      <w:r w:rsidR="00A6461F" w:rsidRPr="00A82548">
        <w:rPr>
          <w:rFonts w:ascii="Arial" w:hAnsi="Arial" w:cs="Arial"/>
          <w:i/>
          <w:u w:val="single"/>
        </w:rPr>
        <w:t>)</w:t>
      </w:r>
      <w:r w:rsidR="00942DB0" w:rsidRPr="00A82548">
        <w:rPr>
          <w:rFonts w:ascii="Arial" w:hAnsi="Arial" w:cs="Arial"/>
        </w:rPr>
        <w:t> :</w:t>
      </w:r>
    </w:p>
    <w:p w14:paraId="52923D4C" w14:textId="6E59574E" w:rsidR="00280BDB" w:rsidRPr="00A82548" w:rsidRDefault="00280BDB" w:rsidP="00582277">
      <w:pPr>
        <w:spacing w:after="0"/>
        <w:jc w:val="both"/>
        <w:rPr>
          <w:rFonts w:ascii="Arial" w:hAnsi="Arial" w:cs="Arial"/>
          <w:b/>
          <w:bCs/>
        </w:rPr>
      </w:pPr>
      <w:r w:rsidRPr="00A82548">
        <w:rPr>
          <w:rFonts w:ascii="Arial" w:hAnsi="Arial" w:cs="Arial"/>
          <w:b/>
          <w:bCs/>
        </w:rPr>
        <w:t>Bilan quantitatif (diapositive #</w:t>
      </w:r>
      <w:r w:rsidR="0096222E">
        <w:rPr>
          <w:rFonts w:ascii="Arial" w:hAnsi="Arial" w:cs="Arial"/>
          <w:b/>
          <w:bCs/>
        </w:rPr>
        <w:t>4</w:t>
      </w:r>
      <w:r w:rsidRPr="00A82548">
        <w:rPr>
          <w:rFonts w:ascii="Arial" w:hAnsi="Arial" w:cs="Arial"/>
          <w:b/>
          <w:bCs/>
        </w:rPr>
        <w:t>)</w:t>
      </w:r>
    </w:p>
    <w:p w14:paraId="6C1F5B0F" w14:textId="09F531CF" w:rsidR="00280BDB" w:rsidRPr="00A82548" w:rsidRDefault="00280BDB" w:rsidP="00582277">
      <w:pPr>
        <w:spacing w:after="0"/>
        <w:jc w:val="both"/>
        <w:rPr>
          <w:rFonts w:ascii="Arial" w:hAnsi="Arial" w:cs="Arial"/>
          <w:b/>
          <w:bCs/>
        </w:rPr>
      </w:pPr>
    </w:p>
    <w:p w14:paraId="1E848048" w14:textId="3AE226DC" w:rsidR="00280BDB" w:rsidRPr="00A82548" w:rsidRDefault="00280BDB" w:rsidP="00582277">
      <w:pPr>
        <w:pStyle w:val="Paragraphedeliste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 xml:space="preserve">13 retours reçus : </w:t>
      </w:r>
    </w:p>
    <w:p w14:paraId="10F99C05" w14:textId="77777777" w:rsidR="00215A12" w:rsidRPr="00A82548" w:rsidRDefault="00215A12" w:rsidP="00582277">
      <w:pPr>
        <w:pStyle w:val="Paragraphedeliste"/>
        <w:spacing w:after="0"/>
        <w:jc w:val="both"/>
        <w:rPr>
          <w:rFonts w:ascii="Arial" w:hAnsi="Arial" w:cs="Arial"/>
        </w:rPr>
      </w:pPr>
    </w:p>
    <w:p w14:paraId="28F90A95" w14:textId="23D08E4E" w:rsidR="00215A12" w:rsidRPr="00A82548" w:rsidRDefault="00215A12" w:rsidP="00582277">
      <w:pPr>
        <w:pStyle w:val="Paragraphedeliste"/>
        <w:numPr>
          <w:ilvl w:val="0"/>
          <w:numId w:val="37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2 sur les modèles communs :</w:t>
      </w:r>
    </w:p>
    <w:p w14:paraId="12F0177D" w14:textId="6F219BE9" w:rsidR="00215A12" w:rsidRPr="00A82548" w:rsidRDefault="00215A12" w:rsidP="00582277">
      <w:pPr>
        <w:pStyle w:val="Paragraphedeliste"/>
        <w:numPr>
          <w:ilvl w:val="1"/>
          <w:numId w:val="36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Origine : Cerema, SRNH</w:t>
      </w:r>
    </w:p>
    <w:p w14:paraId="0C6BCFD7" w14:textId="727E5091" w:rsidR="00A82548" w:rsidRPr="00A82548" w:rsidRDefault="00A82548" w:rsidP="00582277">
      <w:pPr>
        <w:pStyle w:val="Paragraphedeliste"/>
        <w:numPr>
          <w:ilvl w:val="1"/>
          <w:numId w:val="36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19 commentaires</w:t>
      </w:r>
    </w:p>
    <w:p w14:paraId="6C824572" w14:textId="2CBC92E9" w:rsidR="00215A12" w:rsidRPr="00A82548" w:rsidRDefault="00215A12" w:rsidP="00582277">
      <w:pPr>
        <w:spacing w:after="0"/>
        <w:jc w:val="both"/>
        <w:rPr>
          <w:rFonts w:ascii="Arial" w:hAnsi="Arial" w:cs="Arial"/>
        </w:rPr>
      </w:pPr>
    </w:p>
    <w:p w14:paraId="511554C3" w14:textId="2F2289FA" w:rsidR="00215A12" w:rsidRPr="00A82548" w:rsidRDefault="00215A12" w:rsidP="00582277">
      <w:pPr>
        <w:pStyle w:val="Paragraphedeliste"/>
        <w:numPr>
          <w:ilvl w:val="0"/>
          <w:numId w:val="37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11 sur le standard PPR</w:t>
      </w:r>
    </w:p>
    <w:p w14:paraId="7012FCA3" w14:textId="46B43B66" w:rsidR="00215A12" w:rsidRPr="00A82548" w:rsidRDefault="00215A12" w:rsidP="00582277">
      <w:pPr>
        <w:pStyle w:val="Paragraphedeliste"/>
        <w:numPr>
          <w:ilvl w:val="1"/>
          <w:numId w:val="38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Dont 2 hors formalisme imposé (mail) mais transcrits dans le tableau</w:t>
      </w:r>
    </w:p>
    <w:p w14:paraId="0B578BC1" w14:textId="47F723B4" w:rsidR="00215A12" w:rsidRPr="00A82548" w:rsidRDefault="00215A12" w:rsidP="00582277">
      <w:pPr>
        <w:pStyle w:val="Paragraphedeliste"/>
        <w:numPr>
          <w:ilvl w:val="1"/>
          <w:numId w:val="38"/>
        </w:numPr>
        <w:spacing w:after="0"/>
        <w:jc w:val="both"/>
        <w:rPr>
          <w:rFonts w:ascii="Arial" w:hAnsi="Arial" w:cs="Arial"/>
          <w:lang w:val="en-GB"/>
        </w:rPr>
      </w:pPr>
      <w:proofErr w:type="gramStart"/>
      <w:r w:rsidRPr="00A82548">
        <w:rPr>
          <w:rFonts w:ascii="Arial" w:hAnsi="Arial" w:cs="Arial"/>
          <w:lang w:val="en-GB"/>
        </w:rPr>
        <w:t>Origine :</w:t>
      </w:r>
      <w:proofErr w:type="gramEnd"/>
      <w:r w:rsidRPr="00A82548">
        <w:rPr>
          <w:rFonts w:ascii="Arial" w:hAnsi="Arial" w:cs="Arial"/>
          <w:lang w:val="en-GB"/>
        </w:rPr>
        <w:t xml:space="preserve"> Cerema, SRNH, DDT 07, DDT 42, DDT 38, DDTM 83, DDT 01, DDT 74, DDT 31 </w:t>
      </w:r>
    </w:p>
    <w:p w14:paraId="741811E5" w14:textId="43E7B3CF" w:rsidR="00A82548" w:rsidRPr="00A82548" w:rsidRDefault="00A82548" w:rsidP="00582277">
      <w:pPr>
        <w:pStyle w:val="Paragraphedeliste"/>
        <w:numPr>
          <w:ilvl w:val="1"/>
          <w:numId w:val="38"/>
        </w:numPr>
        <w:spacing w:after="0"/>
        <w:jc w:val="both"/>
        <w:rPr>
          <w:rFonts w:ascii="Arial" w:hAnsi="Arial" w:cs="Arial"/>
          <w:lang w:val="en-GB"/>
        </w:rPr>
      </w:pPr>
      <w:r w:rsidRPr="00A82548">
        <w:rPr>
          <w:rFonts w:ascii="Arial" w:hAnsi="Arial" w:cs="Arial"/>
          <w:lang w:val="en-GB"/>
        </w:rPr>
        <w:t xml:space="preserve">137 </w:t>
      </w:r>
      <w:proofErr w:type="spellStart"/>
      <w:r w:rsidRPr="00A82548">
        <w:rPr>
          <w:rFonts w:ascii="Arial" w:hAnsi="Arial" w:cs="Arial"/>
          <w:lang w:val="en-GB"/>
        </w:rPr>
        <w:t>commentaires</w:t>
      </w:r>
      <w:proofErr w:type="spellEnd"/>
    </w:p>
    <w:p w14:paraId="634B2127" w14:textId="77777777" w:rsidR="00215A12" w:rsidRPr="00A82548" w:rsidRDefault="00215A12" w:rsidP="00582277">
      <w:pPr>
        <w:pStyle w:val="Paragraphedeliste"/>
        <w:jc w:val="both"/>
        <w:rPr>
          <w:rFonts w:ascii="Arial" w:hAnsi="Arial" w:cs="Arial"/>
          <w:lang w:val="en-GB"/>
        </w:rPr>
      </w:pPr>
    </w:p>
    <w:p w14:paraId="2BD5965B" w14:textId="1C9F6D9E" w:rsidR="00FD0B22" w:rsidRPr="00A82548" w:rsidRDefault="00280BDB" w:rsidP="00582277">
      <w:pPr>
        <w:jc w:val="both"/>
        <w:rPr>
          <w:rFonts w:ascii="Arial" w:hAnsi="Arial" w:cs="Arial"/>
          <w:b/>
          <w:bCs/>
        </w:rPr>
      </w:pPr>
      <w:r w:rsidRPr="00A82548">
        <w:rPr>
          <w:rFonts w:ascii="Arial" w:hAnsi="Arial" w:cs="Arial"/>
          <w:b/>
          <w:bCs/>
        </w:rPr>
        <w:lastRenderedPageBreak/>
        <w:t>Revue du tableau (diapositive # 5)</w:t>
      </w:r>
    </w:p>
    <w:p w14:paraId="2B3D15F9" w14:textId="47556359" w:rsidR="00280BDB" w:rsidRPr="00A82548" w:rsidRDefault="00280BDB" w:rsidP="00582277">
      <w:pPr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 xml:space="preserve">Les </w:t>
      </w:r>
      <w:r w:rsidR="00A82548" w:rsidRPr="00A82548">
        <w:rPr>
          <w:rFonts w:ascii="Arial" w:hAnsi="Arial" w:cs="Arial"/>
        </w:rPr>
        <w:t xml:space="preserve">commentaires ont été agrégés dans un tableau qui est accessible </w:t>
      </w:r>
      <w:r w:rsidRPr="00A82548">
        <w:rPr>
          <w:rFonts w:ascii="Arial" w:hAnsi="Arial" w:cs="Arial"/>
        </w:rPr>
        <w:t xml:space="preserve">via </w:t>
      </w:r>
      <w:hyperlink r:id="rId16" w:history="1">
        <w:r w:rsidRPr="00A82548">
          <w:rPr>
            <w:rStyle w:val="Lienhypertexte"/>
            <w:rFonts w:ascii="Arial" w:hAnsi="Arial" w:cs="Arial"/>
          </w:rPr>
          <w:t>l’issue #76</w:t>
        </w:r>
      </w:hyperlink>
      <w:r w:rsidRPr="00A82548">
        <w:rPr>
          <w:rFonts w:ascii="Arial" w:hAnsi="Arial" w:cs="Arial"/>
        </w:rPr>
        <w:t xml:space="preserve">. </w:t>
      </w:r>
    </w:p>
    <w:p w14:paraId="04202ABC" w14:textId="09E6EAEE" w:rsidR="00215A12" w:rsidRDefault="00EC052D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Une première partie a</w:t>
      </w:r>
      <w:r w:rsidR="00A82548">
        <w:rPr>
          <w:rFonts w:ascii="Arial" w:hAnsi="Arial" w:cs="Arial"/>
          <w:kern w:val="2"/>
          <w:szCs w:val="24"/>
        </w:rPr>
        <w:t xml:space="preserve"> été passé</w:t>
      </w:r>
      <w:r>
        <w:rPr>
          <w:rFonts w:ascii="Arial" w:hAnsi="Arial" w:cs="Arial"/>
          <w:kern w:val="2"/>
          <w:szCs w:val="24"/>
        </w:rPr>
        <w:t>e</w:t>
      </w:r>
      <w:r w:rsidR="00A82548">
        <w:rPr>
          <w:rFonts w:ascii="Arial" w:hAnsi="Arial" w:cs="Arial"/>
          <w:kern w:val="2"/>
          <w:szCs w:val="24"/>
        </w:rPr>
        <w:t xml:space="preserve"> en revue lors de cette séance. </w:t>
      </w:r>
      <w:r>
        <w:rPr>
          <w:rFonts w:ascii="Arial" w:hAnsi="Arial" w:cs="Arial"/>
          <w:kern w:val="2"/>
          <w:szCs w:val="24"/>
        </w:rPr>
        <w:t>Les décisions sont consignées dans le tableau</w:t>
      </w:r>
      <w:r w:rsidR="00E0631B">
        <w:rPr>
          <w:rFonts w:ascii="Arial" w:hAnsi="Arial" w:cs="Arial"/>
          <w:kern w:val="2"/>
          <w:szCs w:val="24"/>
        </w:rPr>
        <w:t xml:space="preserve"> qui a été mis à jour sur </w:t>
      </w:r>
      <w:proofErr w:type="spellStart"/>
      <w:r w:rsidR="00E0631B">
        <w:rPr>
          <w:rFonts w:ascii="Arial" w:hAnsi="Arial" w:cs="Arial"/>
          <w:kern w:val="2"/>
          <w:szCs w:val="24"/>
        </w:rPr>
        <w:t>Github</w:t>
      </w:r>
      <w:proofErr w:type="spellEnd"/>
      <w:r>
        <w:rPr>
          <w:rFonts w:ascii="Arial" w:hAnsi="Arial" w:cs="Arial"/>
          <w:kern w:val="2"/>
          <w:szCs w:val="24"/>
        </w:rPr>
        <w:t xml:space="preserve">. </w:t>
      </w:r>
      <w:r w:rsidR="00E0631B">
        <w:rPr>
          <w:rFonts w:ascii="Arial" w:hAnsi="Arial" w:cs="Arial"/>
          <w:kern w:val="2"/>
          <w:szCs w:val="24"/>
        </w:rPr>
        <w:t xml:space="preserve"> </w:t>
      </w:r>
      <w:r>
        <w:rPr>
          <w:rFonts w:ascii="Arial" w:hAnsi="Arial" w:cs="Arial"/>
          <w:kern w:val="2"/>
          <w:szCs w:val="24"/>
        </w:rPr>
        <w:t xml:space="preserve">Ce qui suit relate </w:t>
      </w:r>
      <w:r w:rsidR="00E0631B">
        <w:rPr>
          <w:rFonts w:ascii="Arial" w:hAnsi="Arial" w:cs="Arial"/>
          <w:kern w:val="2"/>
          <w:szCs w:val="24"/>
        </w:rPr>
        <w:t>d</w:t>
      </w:r>
      <w:r>
        <w:rPr>
          <w:rFonts w:ascii="Arial" w:hAnsi="Arial" w:cs="Arial"/>
          <w:kern w:val="2"/>
          <w:szCs w:val="24"/>
        </w:rPr>
        <w:t>es discussions qu’il y a pu avoir autour de certains commentaires et n’</w:t>
      </w:r>
      <w:r w:rsidR="00E0631B">
        <w:rPr>
          <w:rFonts w:ascii="Arial" w:hAnsi="Arial" w:cs="Arial"/>
          <w:kern w:val="2"/>
          <w:szCs w:val="24"/>
        </w:rPr>
        <w:t>ont</w:t>
      </w:r>
      <w:r>
        <w:rPr>
          <w:rFonts w:ascii="Arial" w:hAnsi="Arial" w:cs="Arial"/>
          <w:kern w:val="2"/>
          <w:szCs w:val="24"/>
        </w:rPr>
        <w:t xml:space="preserve"> pa</w:t>
      </w:r>
      <w:r w:rsidR="00E0631B">
        <w:rPr>
          <w:rFonts w:ascii="Arial" w:hAnsi="Arial" w:cs="Arial"/>
          <w:kern w:val="2"/>
          <w:szCs w:val="24"/>
        </w:rPr>
        <w:t xml:space="preserve">s </w:t>
      </w:r>
      <w:r>
        <w:rPr>
          <w:rFonts w:ascii="Arial" w:hAnsi="Arial" w:cs="Arial"/>
          <w:kern w:val="2"/>
          <w:szCs w:val="24"/>
        </w:rPr>
        <w:t>fait forcément l’objet d’une résolution.</w:t>
      </w:r>
    </w:p>
    <w:p w14:paraId="6D698252" w14:textId="6DFAC889" w:rsidR="00A072A6" w:rsidRDefault="00A072A6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48EC1EAA" w14:textId="4B1A5F12" w:rsidR="00C8571B" w:rsidRDefault="00C8571B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 w:rsidRPr="00C8571B">
        <w:rPr>
          <w:rFonts w:ascii="Arial" w:hAnsi="Arial" w:cs="Arial"/>
          <w:b/>
          <w:bCs/>
          <w:kern w:val="2"/>
          <w:szCs w:val="24"/>
          <w:u w:val="single"/>
        </w:rPr>
        <w:t>Commentaires</w:t>
      </w:r>
      <w:r w:rsidR="00293F89">
        <w:rPr>
          <w:rFonts w:ascii="Arial" w:hAnsi="Arial" w:cs="Arial"/>
          <w:b/>
          <w:bCs/>
          <w:kern w:val="2"/>
          <w:szCs w:val="24"/>
          <w:u w:val="single"/>
        </w:rPr>
        <w:t xml:space="preserve"> du</w:t>
      </w:r>
      <w:r w:rsidRPr="00C8571B">
        <w:rPr>
          <w:rFonts w:ascii="Arial" w:hAnsi="Arial" w:cs="Arial"/>
          <w:b/>
          <w:bCs/>
          <w:kern w:val="2"/>
          <w:szCs w:val="24"/>
          <w:u w:val="single"/>
        </w:rPr>
        <w:t xml:space="preserve"> modèle commun</w:t>
      </w:r>
      <w:r>
        <w:rPr>
          <w:rFonts w:ascii="Arial" w:hAnsi="Arial" w:cs="Arial"/>
          <w:kern w:val="2"/>
          <w:szCs w:val="24"/>
        </w:rPr>
        <w:t xml:space="preserve"> : </w:t>
      </w:r>
    </w:p>
    <w:p w14:paraId="1CEE7FA3" w14:textId="77777777" w:rsidR="00C8571B" w:rsidRDefault="00C8571B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78D9FA2D" w14:textId="4DBE22A2" w:rsidR="00215A12" w:rsidRPr="00A82548" w:rsidRDefault="00A072A6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 xml:space="preserve">Lors du commentaire sur la partie réglementaire des TRI, </w:t>
      </w:r>
      <w:r w:rsidR="00A82548">
        <w:rPr>
          <w:rFonts w:ascii="Arial" w:hAnsi="Arial" w:cs="Arial"/>
          <w:kern w:val="2"/>
          <w:szCs w:val="24"/>
        </w:rPr>
        <w:t>Il a été rappelé que</w:t>
      </w:r>
      <w:r w:rsidR="00215A12" w:rsidRPr="00A82548">
        <w:rPr>
          <w:rFonts w:ascii="Arial" w:hAnsi="Arial" w:cs="Arial"/>
          <w:kern w:val="2"/>
          <w:szCs w:val="24"/>
        </w:rPr>
        <w:t xml:space="preserve"> le </w:t>
      </w:r>
      <w:r w:rsidR="00215A12" w:rsidRPr="00215A12">
        <w:rPr>
          <w:rFonts w:ascii="Arial" w:hAnsi="Arial" w:cs="Arial"/>
          <w:kern w:val="2"/>
          <w:szCs w:val="24"/>
        </w:rPr>
        <w:t xml:space="preserve">modèle applicatif TRI aura un fort dénominateur commun avec le modèle </w:t>
      </w:r>
      <w:r w:rsidR="00A82548">
        <w:rPr>
          <w:rFonts w:ascii="Arial" w:hAnsi="Arial" w:cs="Arial"/>
          <w:kern w:val="2"/>
          <w:szCs w:val="24"/>
        </w:rPr>
        <w:t xml:space="preserve">applicatif </w:t>
      </w:r>
      <w:r w:rsidR="00215A12" w:rsidRPr="00215A12">
        <w:rPr>
          <w:rFonts w:ascii="Arial" w:hAnsi="Arial" w:cs="Arial"/>
          <w:kern w:val="2"/>
          <w:szCs w:val="24"/>
        </w:rPr>
        <w:t>des PPR</w:t>
      </w:r>
      <w:r w:rsidR="00A82548">
        <w:rPr>
          <w:rFonts w:ascii="Arial" w:hAnsi="Arial" w:cs="Arial"/>
          <w:kern w:val="2"/>
          <w:szCs w:val="24"/>
        </w:rPr>
        <w:t xml:space="preserve"> pour éviter les doublons de cartes.</w:t>
      </w:r>
      <w:r w:rsidR="00215A12" w:rsidRPr="00215A12">
        <w:rPr>
          <w:rFonts w:ascii="Arial" w:hAnsi="Arial" w:cs="Arial"/>
          <w:kern w:val="2"/>
          <w:szCs w:val="24"/>
        </w:rPr>
        <w:t xml:space="preserve"> </w:t>
      </w:r>
    </w:p>
    <w:p w14:paraId="0F3DDF90" w14:textId="653EE77F" w:rsidR="00B273B8" w:rsidRDefault="00B273B8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3943D8AA" w14:textId="4A09E44E" w:rsidR="00A82548" w:rsidRDefault="00A072A6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Suite au commentaire sur les types de données en chaine de caractères, il a été indiqué l’importance de p</w:t>
      </w:r>
      <w:r w:rsidR="00A82548">
        <w:rPr>
          <w:rFonts w:ascii="Arial" w:hAnsi="Arial" w:cs="Arial"/>
          <w:kern w:val="2"/>
          <w:szCs w:val="24"/>
        </w:rPr>
        <w:t xml:space="preserve">ouvoir caractériser le niveau d’aléa de manière uniforme pour l’ensemble des </w:t>
      </w:r>
      <w:r>
        <w:rPr>
          <w:rFonts w:ascii="Arial" w:hAnsi="Arial" w:cs="Arial"/>
          <w:kern w:val="2"/>
          <w:szCs w:val="24"/>
        </w:rPr>
        <w:t xml:space="preserve">PPR </w:t>
      </w:r>
      <w:r w:rsidR="00293F89">
        <w:rPr>
          <w:rFonts w:ascii="Arial" w:hAnsi="Arial" w:cs="Arial"/>
          <w:kern w:val="2"/>
          <w:szCs w:val="24"/>
        </w:rPr>
        <w:t xml:space="preserve">afin </w:t>
      </w:r>
      <w:r>
        <w:rPr>
          <w:rFonts w:ascii="Arial" w:hAnsi="Arial" w:cs="Arial"/>
          <w:kern w:val="2"/>
          <w:szCs w:val="24"/>
        </w:rPr>
        <w:t xml:space="preserve">que ces informations puissent être exploitées pour la création de statistiques ou de carte. (Par exemple : aléa fort soit toujours renseigné de la même manière). </w:t>
      </w:r>
    </w:p>
    <w:p w14:paraId="5DD3961B" w14:textId="77777777" w:rsidR="00A82548" w:rsidRPr="00A82548" w:rsidRDefault="00A82548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70BBC5AB" w14:textId="2057B446" w:rsidR="00582277" w:rsidRDefault="003959B5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Concernant le commentaire sur l</w:t>
      </w:r>
      <w:r w:rsidR="00B273B8" w:rsidRPr="00A82548">
        <w:rPr>
          <w:rFonts w:ascii="Arial" w:hAnsi="Arial" w:cs="Arial"/>
          <w:kern w:val="2"/>
          <w:szCs w:val="24"/>
        </w:rPr>
        <w:t>’ajout de la référence à la documentation « Le Système d’Information sur les Ouvrages Hydrauliques II (SIOUH II) »</w:t>
      </w:r>
      <w:r w:rsidR="00582277">
        <w:rPr>
          <w:rFonts w:ascii="Arial" w:hAnsi="Arial" w:cs="Arial"/>
          <w:kern w:val="2"/>
          <w:szCs w:val="24"/>
        </w:rPr>
        <w:t xml:space="preserve"> et sur la classe « Ouvrages de protection »</w:t>
      </w:r>
      <w:r w:rsidR="00EC052D">
        <w:rPr>
          <w:rFonts w:ascii="Arial" w:hAnsi="Arial" w:cs="Arial"/>
          <w:kern w:val="2"/>
          <w:szCs w:val="24"/>
        </w:rPr>
        <w:t> :</w:t>
      </w:r>
    </w:p>
    <w:p w14:paraId="5BCD82FF" w14:textId="59D87129" w:rsidR="00293F89" w:rsidRDefault="00293F89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5F7A0D75" w14:textId="3988642F" w:rsidR="00EC052D" w:rsidRDefault="00EC052D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 xml:space="preserve">Il est suggéré de renommer les deux catégories </w:t>
      </w:r>
      <w:r w:rsidR="00341206">
        <w:rPr>
          <w:rFonts w:ascii="Arial" w:hAnsi="Arial" w:cs="Arial"/>
          <w:kern w:val="2"/>
          <w:szCs w:val="24"/>
        </w:rPr>
        <w:t xml:space="preserve">de l’énumération Type d’ouvrages </w:t>
      </w:r>
      <w:r>
        <w:rPr>
          <w:rFonts w:ascii="Arial" w:hAnsi="Arial" w:cs="Arial"/>
          <w:kern w:val="2"/>
          <w:szCs w:val="24"/>
        </w:rPr>
        <w:t>selon la terminologie SIOUH2 :</w:t>
      </w:r>
    </w:p>
    <w:p w14:paraId="4ED2522C" w14:textId="6E7A4729" w:rsidR="00EC052D" w:rsidRDefault="00EC052D" w:rsidP="00EC052D">
      <w:pPr>
        <w:pStyle w:val="Paragraphedeliste"/>
        <w:widowControl w:val="0"/>
        <w:numPr>
          <w:ilvl w:val="0"/>
          <w:numId w:val="39"/>
        </w:numPr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proofErr w:type="gramStart"/>
      <w:r w:rsidRPr="00EC052D">
        <w:rPr>
          <w:rFonts w:ascii="Arial" w:hAnsi="Arial" w:cs="Arial"/>
          <w:kern w:val="2"/>
          <w:szCs w:val="24"/>
        </w:rPr>
        <w:t>les</w:t>
      </w:r>
      <w:proofErr w:type="gramEnd"/>
      <w:r w:rsidRPr="00EC052D">
        <w:rPr>
          <w:rFonts w:ascii="Arial" w:hAnsi="Arial" w:cs="Arial"/>
          <w:kern w:val="2"/>
          <w:szCs w:val="24"/>
        </w:rPr>
        <w:t xml:space="preserve"> aménagements hydrauliques </w:t>
      </w:r>
      <w:r w:rsidR="00341206">
        <w:rPr>
          <w:rFonts w:ascii="Arial" w:hAnsi="Arial" w:cs="Arial"/>
          <w:kern w:val="2"/>
          <w:szCs w:val="24"/>
        </w:rPr>
        <w:t>(</w:t>
      </w:r>
      <w:r w:rsidRPr="00EC052D">
        <w:rPr>
          <w:rFonts w:ascii="Arial" w:hAnsi="Arial" w:cs="Arial"/>
          <w:kern w:val="2"/>
          <w:szCs w:val="24"/>
        </w:rPr>
        <w:t>qui peuvent être associés à un barrage ou non</w:t>
      </w:r>
      <w:r w:rsidR="00341206">
        <w:rPr>
          <w:rFonts w:ascii="Arial" w:hAnsi="Arial" w:cs="Arial"/>
          <w:kern w:val="2"/>
          <w:szCs w:val="24"/>
        </w:rPr>
        <w:t>)</w:t>
      </w:r>
      <w:r w:rsidRPr="00EC052D">
        <w:rPr>
          <w:rFonts w:ascii="Arial" w:hAnsi="Arial" w:cs="Arial"/>
          <w:kern w:val="2"/>
          <w:szCs w:val="24"/>
        </w:rPr>
        <w:t>.</w:t>
      </w:r>
    </w:p>
    <w:p w14:paraId="5CAB6FC5" w14:textId="6408F138" w:rsidR="00EC052D" w:rsidRDefault="00EC052D" w:rsidP="00EC052D">
      <w:pPr>
        <w:pStyle w:val="Paragraphedeliste"/>
        <w:widowControl w:val="0"/>
        <w:numPr>
          <w:ilvl w:val="0"/>
          <w:numId w:val="39"/>
        </w:numPr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proofErr w:type="gramStart"/>
      <w:r w:rsidRPr="00EC052D">
        <w:rPr>
          <w:rFonts w:ascii="Arial" w:hAnsi="Arial" w:cs="Arial"/>
          <w:kern w:val="2"/>
          <w:szCs w:val="24"/>
        </w:rPr>
        <w:t>les</w:t>
      </w:r>
      <w:proofErr w:type="gramEnd"/>
      <w:r w:rsidRPr="00EC052D">
        <w:rPr>
          <w:rFonts w:ascii="Arial" w:hAnsi="Arial" w:cs="Arial"/>
          <w:kern w:val="2"/>
          <w:szCs w:val="24"/>
        </w:rPr>
        <w:t xml:space="preserve"> systèmes d’endiguement.</w:t>
      </w:r>
    </w:p>
    <w:p w14:paraId="461ADEF7" w14:textId="66F60F42" w:rsidR="00341206" w:rsidRDefault="00341206" w:rsidP="00341206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Et d’a</w:t>
      </w:r>
      <w:r w:rsidRPr="00341206">
        <w:rPr>
          <w:rFonts w:ascii="Arial" w:hAnsi="Arial" w:cs="Arial"/>
          <w:kern w:val="2"/>
          <w:szCs w:val="24"/>
        </w:rPr>
        <w:t xml:space="preserve">jouter une catégorie « autres ouvrages faisant obstacle aux écoulements » correspondant </w:t>
      </w:r>
      <w:r>
        <w:rPr>
          <w:rFonts w:ascii="Arial" w:hAnsi="Arial" w:cs="Arial"/>
          <w:kern w:val="2"/>
          <w:szCs w:val="24"/>
        </w:rPr>
        <w:t>entre autres aux</w:t>
      </w:r>
      <w:r w:rsidRPr="00341206">
        <w:rPr>
          <w:rFonts w:ascii="Arial" w:hAnsi="Arial" w:cs="Arial"/>
          <w:kern w:val="2"/>
          <w:szCs w:val="24"/>
        </w:rPr>
        <w:t xml:space="preserve"> digues non reconnues et </w:t>
      </w:r>
      <w:r>
        <w:rPr>
          <w:rFonts w:ascii="Arial" w:hAnsi="Arial" w:cs="Arial"/>
          <w:kern w:val="2"/>
          <w:szCs w:val="24"/>
        </w:rPr>
        <w:t>aux</w:t>
      </w:r>
      <w:r w:rsidRPr="00341206">
        <w:rPr>
          <w:rFonts w:ascii="Arial" w:hAnsi="Arial" w:cs="Arial"/>
          <w:kern w:val="2"/>
          <w:szCs w:val="24"/>
        </w:rPr>
        <w:t xml:space="preserve"> remblais qui peuvent être associé</w:t>
      </w:r>
      <w:r>
        <w:rPr>
          <w:rFonts w:ascii="Arial" w:hAnsi="Arial" w:cs="Arial"/>
          <w:kern w:val="2"/>
          <w:szCs w:val="24"/>
        </w:rPr>
        <w:t>s</w:t>
      </w:r>
      <w:r w:rsidRPr="00341206">
        <w:rPr>
          <w:rFonts w:ascii="Arial" w:hAnsi="Arial" w:cs="Arial"/>
          <w:kern w:val="2"/>
          <w:szCs w:val="24"/>
        </w:rPr>
        <w:t xml:space="preserve"> aux obstacles </w:t>
      </w:r>
      <w:r>
        <w:rPr>
          <w:rFonts w:ascii="Arial" w:hAnsi="Arial" w:cs="Arial"/>
          <w:kern w:val="2"/>
          <w:szCs w:val="24"/>
        </w:rPr>
        <w:t xml:space="preserve">à l’écoulement. </w:t>
      </w:r>
    </w:p>
    <w:p w14:paraId="3AC462BE" w14:textId="77777777" w:rsidR="00341206" w:rsidRPr="00341206" w:rsidRDefault="00341206" w:rsidP="00341206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2856CEAF" w14:textId="390DB76F" w:rsidR="00215A12" w:rsidRDefault="00582277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 xml:space="preserve">Cette proposition sera validée avec le </w:t>
      </w:r>
      <w:proofErr w:type="spellStart"/>
      <w:r>
        <w:rPr>
          <w:rFonts w:ascii="Arial" w:hAnsi="Arial" w:cs="Arial"/>
          <w:kern w:val="2"/>
          <w:szCs w:val="24"/>
        </w:rPr>
        <w:t>PoNSOH</w:t>
      </w:r>
      <w:proofErr w:type="spellEnd"/>
      <w:r w:rsidR="00A244C7">
        <w:rPr>
          <w:rFonts w:ascii="Arial" w:hAnsi="Arial" w:cs="Arial"/>
          <w:kern w:val="2"/>
          <w:szCs w:val="24"/>
        </w:rPr>
        <w:t xml:space="preserve"> </w:t>
      </w:r>
      <w:r w:rsidR="00341206">
        <w:rPr>
          <w:rFonts w:ascii="Arial" w:hAnsi="Arial" w:cs="Arial"/>
          <w:kern w:val="2"/>
          <w:szCs w:val="24"/>
        </w:rPr>
        <w:t xml:space="preserve">(DGPR) </w:t>
      </w:r>
      <w:r w:rsidR="00A244C7">
        <w:rPr>
          <w:rFonts w:ascii="Arial" w:hAnsi="Arial" w:cs="Arial"/>
          <w:kern w:val="2"/>
          <w:szCs w:val="24"/>
        </w:rPr>
        <w:t xml:space="preserve">qui fournira également la référence pour la réglementation </w:t>
      </w:r>
      <w:r w:rsidR="00A244C7" w:rsidRPr="00A82548">
        <w:rPr>
          <w:rFonts w:ascii="Arial" w:hAnsi="Arial" w:cs="Arial"/>
          <w:kern w:val="2"/>
          <w:szCs w:val="24"/>
        </w:rPr>
        <w:t>SIOUH II</w:t>
      </w:r>
      <w:r w:rsidR="00A244C7">
        <w:rPr>
          <w:rFonts w:ascii="Arial" w:hAnsi="Arial" w:cs="Arial"/>
          <w:kern w:val="2"/>
          <w:szCs w:val="24"/>
        </w:rPr>
        <w:t xml:space="preserve">. </w:t>
      </w:r>
      <w:r w:rsidR="00341206">
        <w:rPr>
          <w:rFonts w:ascii="Arial" w:hAnsi="Arial" w:cs="Arial"/>
          <w:kern w:val="2"/>
          <w:szCs w:val="24"/>
        </w:rPr>
        <w:t>Par ailleurs il faut que le modèle permette de décrire des ouvrages de protection contre d’autres aléas que l’inondation.</w:t>
      </w:r>
    </w:p>
    <w:p w14:paraId="58EB1C43" w14:textId="77777777" w:rsidR="003F0D2C" w:rsidRPr="00215A12" w:rsidRDefault="003F0D2C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3E072FAF" w14:textId="61DEBDF3" w:rsidR="00215A12" w:rsidRPr="00C8571B" w:rsidRDefault="00C8571B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b/>
          <w:bCs/>
          <w:kern w:val="2"/>
          <w:szCs w:val="24"/>
          <w:u w:val="single"/>
        </w:rPr>
      </w:pPr>
      <w:r w:rsidRPr="00C8571B">
        <w:rPr>
          <w:rFonts w:ascii="Arial" w:hAnsi="Arial" w:cs="Arial"/>
          <w:b/>
          <w:bCs/>
          <w:kern w:val="2"/>
          <w:szCs w:val="24"/>
          <w:u w:val="single"/>
        </w:rPr>
        <w:t xml:space="preserve">Commentaires </w:t>
      </w:r>
      <w:r w:rsidR="006D7AE5">
        <w:rPr>
          <w:rFonts w:ascii="Arial" w:hAnsi="Arial" w:cs="Arial"/>
          <w:b/>
          <w:bCs/>
          <w:kern w:val="2"/>
          <w:szCs w:val="24"/>
          <w:u w:val="single"/>
        </w:rPr>
        <w:t xml:space="preserve">standard </w:t>
      </w:r>
      <w:r w:rsidRPr="00C8571B">
        <w:rPr>
          <w:rFonts w:ascii="Arial" w:hAnsi="Arial" w:cs="Arial"/>
          <w:b/>
          <w:bCs/>
          <w:kern w:val="2"/>
          <w:szCs w:val="24"/>
          <w:u w:val="single"/>
        </w:rPr>
        <w:t xml:space="preserve">PPR : </w:t>
      </w:r>
    </w:p>
    <w:p w14:paraId="3FCD1350" w14:textId="77777777" w:rsidR="00C8571B" w:rsidRPr="00215A12" w:rsidRDefault="00C8571B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007B7536" w14:textId="03E7C39B" w:rsidR="00C8571B" w:rsidRDefault="006D7AE5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L</w:t>
      </w:r>
      <w:r w:rsidR="00C8571B">
        <w:rPr>
          <w:rFonts w:ascii="Arial" w:hAnsi="Arial" w:cs="Arial"/>
          <w:kern w:val="2"/>
          <w:szCs w:val="24"/>
        </w:rPr>
        <w:t>es plans de surfaces submersibles (</w:t>
      </w:r>
      <w:r w:rsidR="00215A12" w:rsidRPr="00215A12">
        <w:rPr>
          <w:rFonts w:ascii="Arial" w:hAnsi="Arial" w:cs="Arial"/>
          <w:kern w:val="2"/>
          <w:szCs w:val="24"/>
        </w:rPr>
        <w:t>P</w:t>
      </w:r>
      <w:r w:rsidR="00C8571B">
        <w:rPr>
          <w:rFonts w:ascii="Arial" w:hAnsi="Arial" w:cs="Arial"/>
          <w:kern w:val="2"/>
          <w:szCs w:val="24"/>
        </w:rPr>
        <w:t>S</w:t>
      </w:r>
      <w:r w:rsidR="00215A12" w:rsidRPr="00215A12">
        <w:rPr>
          <w:rFonts w:ascii="Arial" w:hAnsi="Arial" w:cs="Arial"/>
          <w:kern w:val="2"/>
          <w:szCs w:val="24"/>
        </w:rPr>
        <w:t>S</w:t>
      </w:r>
      <w:r w:rsidR="00C8571B">
        <w:rPr>
          <w:rFonts w:ascii="Arial" w:hAnsi="Arial" w:cs="Arial"/>
          <w:kern w:val="2"/>
          <w:szCs w:val="24"/>
        </w:rPr>
        <w:t xml:space="preserve">), plans d’expositions aux risques (PER) et les </w:t>
      </w:r>
      <w:r w:rsidR="00C8571B" w:rsidRPr="00215A12">
        <w:rPr>
          <w:rFonts w:ascii="Arial" w:hAnsi="Arial" w:cs="Arial"/>
          <w:kern w:val="2"/>
          <w:szCs w:val="24"/>
        </w:rPr>
        <w:t>arrêté</w:t>
      </w:r>
      <w:r w:rsidR="00C8571B">
        <w:rPr>
          <w:rFonts w:ascii="Arial" w:hAnsi="Arial" w:cs="Arial"/>
          <w:kern w:val="2"/>
          <w:szCs w:val="24"/>
        </w:rPr>
        <w:t>s</w:t>
      </w:r>
      <w:r w:rsidR="00C8571B" w:rsidRPr="00215A12">
        <w:rPr>
          <w:rFonts w:ascii="Arial" w:hAnsi="Arial" w:cs="Arial"/>
          <w:kern w:val="2"/>
          <w:szCs w:val="24"/>
        </w:rPr>
        <w:t xml:space="preserve"> </w:t>
      </w:r>
      <w:r w:rsidR="00C8571B">
        <w:rPr>
          <w:rFonts w:ascii="Arial" w:hAnsi="Arial" w:cs="Arial"/>
          <w:kern w:val="2"/>
          <w:szCs w:val="24"/>
        </w:rPr>
        <w:t>R</w:t>
      </w:r>
      <w:r w:rsidR="00C8571B" w:rsidRPr="00215A12">
        <w:rPr>
          <w:rFonts w:ascii="Arial" w:hAnsi="Arial" w:cs="Arial"/>
          <w:kern w:val="2"/>
          <w:szCs w:val="24"/>
        </w:rPr>
        <w:t>111-3 </w:t>
      </w:r>
      <w:r w:rsidR="00C8571B">
        <w:rPr>
          <w:rFonts w:ascii="Arial" w:hAnsi="Arial" w:cs="Arial"/>
          <w:kern w:val="2"/>
          <w:szCs w:val="24"/>
        </w:rPr>
        <w:t>sont des documents qui valent PPR et SUP. Ils ont la même valeur et la même utilisation.</w:t>
      </w:r>
      <w:r>
        <w:rPr>
          <w:rFonts w:ascii="Arial" w:hAnsi="Arial" w:cs="Arial"/>
          <w:kern w:val="2"/>
          <w:szCs w:val="24"/>
        </w:rPr>
        <w:t xml:space="preserve"> Ces documents lorsqu’ils sont toujours opposables seront à transformer en PPR suivant le modèle du nouveau standard notamment les parties sur les zonages réglementaires et le périmètre en incluant </w:t>
      </w:r>
      <w:r w:rsidR="00293F89">
        <w:rPr>
          <w:rFonts w:ascii="Arial" w:hAnsi="Arial" w:cs="Arial"/>
          <w:kern w:val="2"/>
          <w:szCs w:val="24"/>
        </w:rPr>
        <w:t>leurs dates</w:t>
      </w:r>
      <w:r>
        <w:rPr>
          <w:rFonts w:ascii="Arial" w:hAnsi="Arial" w:cs="Arial"/>
          <w:kern w:val="2"/>
          <w:szCs w:val="24"/>
        </w:rPr>
        <w:t xml:space="preserve"> d’approbation. </w:t>
      </w:r>
      <w:r w:rsidR="00C8571B" w:rsidRPr="006D7AE5">
        <w:rPr>
          <w:rFonts w:ascii="Arial" w:hAnsi="Arial" w:cs="Arial"/>
          <w:kern w:val="2"/>
          <w:szCs w:val="24"/>
        </w:rPr>
        <w:t>Cela</w:t>
      </w:r>
      <w:r w:rsidR="00341206">
        <w:rPr>
          <w:rFonts w:ascii="Arial" w:hAnsi="Arial" w:cs="Arial"/>
          <w:kern w:val="2"/>
          <w:szCs w:val="24"/>
        </w:rPr>
        <w:t xml:space="preserve"> peut</w:t>
      </w:r>
      <w:r w:rsidR="00C8571B" w:rsidRPr="006D7AE5">
        <w:rPr>
          <w:rFonts w:ascii="Arial" w:hAnsi="Arial" w:cs="Arial"/>
          <w:kern w:val="2"/>
          <w:szCs w:val="24"/>
        </w:rPr>
        <w:t xml:space="preserve"> implique</w:t>
      </w:r>
      <w:r w:rsidR="00341206">
        <w:rPr>
          <w:rFonts w:ascii="Arial" w:hAnsi="Arial" w:cs="Arial"/>
          <w:kern w:val="2"/>
          <w:szCs w:val="24"/>
        </w:rPr>
        <w:t>r</w:t>
      </w:r>
      <w:r w:rsidR="00C8571B" w:rsidRPr="006D7AE5">
        <w:rPr>
          <w:rFonts w:ascii="Arial" w:hAnsi="Arial" w:cs="Arial"/>
          <w:kern w:val="2"/>
          <w:szCs w:val="24"/>
        </w:rPr>
        <w:t xml:space="preserve"> que certains champs obligatoires dans le nouveau standard PPR ne </w:t>
      </w:r>
      <w:r w:rsidR="00341206">
        <w:rPr>
          <w:rFonts w:ascii="Arial" w:hAnsi="Arial" w:cs="Arial"/>
          <w:kern w:val="2"/>
          <w:szCs w:val="24"/>
        </w:rPr>
        <w:t>pourront pas être remplis pour les</w:t>
      </w:r>
      <w:r w:rsidR="00C8571B" w:rsidRPr="006D7AE5">
        <w:rPr>
          <w:rFonts w:ascii="Arial" w:hAnsi="Arial" w:cs="Arial"/>
          <w:kern w:val="2"/>
          <w:szCs w:val="24"/>
        </w:rPr>
        <w:t xml:space="preserve"> PSS. </w:t>
      </w:r>
    </w:p>
    <w:p w14:paraId="2A23B677" w14:textId="371BADE6" w:rsidR="00781098" w:rsidRDefault="00781098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3BEB3303" w14:textId="63D30B81" w:rsidR="00781098" w:rsidRDefault="00781098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Concernant le commentaire pour rendre seulement obligatoires l</w:t>
      </w:r>
      <w:r w:rsidRPr="00781098">
        <w:rPr>
          <w:rFonts w:ascii="Arial" w:hAnsi="Arial" w:cs="Arial"/>
          <w:kern w:val="2"/>
          <w:szCs w:val="24"/>
        </w:rPr>
        <w:t>es thématiques « </w:t>
      </w:r>
      <w:proofErr w:type="gramStart"/>
      <w:r w:rsidRPr="00781098">
        <w:rPr>
          <w:rFonts w:ascii="Arial" w:hAnsi="Arial" w:cs="Arial"/>
          <w:kern w:val="2"/>
          <w:szCs w:val="24"/>
        </w:rPr>
        <w:t>Procédures</w:t>
      </w:r>
      <w:r w:rsidR="00293F89">
        <w:rPr>
          <w:rFonts w:ascii="Arial" w:hAnsi="Arial" w:cs="Arial"/>
          <w:kern w:val="2"/>
          <w:szCs w:val="24"/>
        </w:rPr>
        <w:t> ,</w:t>
      </w:r>
      <w:proofErr w:type="gramEnd"/>
      <w:r w:rsidR="00293F89">
        <w:rPr>
          <w:rFonts w:ascii="Arial" w:hAnsi="Arial" w:cs="Arial"/>
          <w:kern w:val="2"/>
          <w:szCs w:val="24"/>
        </w:rPr>
        <w:t xml:space="preserve"> P</w:t>
      </w:r>
      <w:r w:rsidRPr="00781098">
        <w:rPr>
          <w:rFonts w:ascii="Arial" w:hAnsi="Arial" w:cs="Arial"/>
          <w:kern w:val="2"/>
          <w:szCs w:val="24"/>
        </w:rPr>
        <w:t>érimètres» et « Zonage réglementaire »</w:t>
      </w:r>
      <w:r>
        <w:rPr>
          <w:rFonts w:ascii="Arial" w:hAnsi="Arial" w:cs="Arial"/>
          <w:kern w:val="2"/>
          <w:szCs w:val="24"/>
        </w:rPr>
        <w:t xml:space="preserve">. Cela devra être validé avec le </w:t>
      </w:r>
      <w:r w:rsidR="0096222E">
        <w:rPr>
          <w:rFonts w:ascii="Arial" w:hAnsi="Arial" w:cs="Arial"/>
          <w:kern w:val="2"/>
          <w:szCs w:val="24"/>
        </w:rPr>
        <w:t>DAGSI.</w:t>
      </w:r>
      <w:r>
        <w:rPr>
          <w:rFonts w:ascii="Arial" w:hAnsi="Arial" w:cs="Arial"/>
          <w:kern w:val="2"/>
          <w:szCs w:val="24"/>
        </w:rPr>
        <w:t xml:space="preserve"> </w:t>
      </w:r>
    </w:p>
    <w:p w14:paraId="281772E9" w14:textId="26A0135D" w:rsidR="00C63119" w:rsidRDefault="00C63119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66138B88" w14:textId="5AD57E0B" w:rsidR="00C63119" w:rsidRDefault="00C63119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 xml:space="preserve">Une prochaine réunion est prévue pour traiter l’ensemble des commentaires restants. La </w:t>
      </w:r>
      <w:r w:rsidR="00293F89">
        <w:rPr>
          <w:rFonts w:ascii="Arial" w:hAnsi="Arial" w:cs="Arial"/>
          <w:kern w:val="2"/>
          <w:szCs w:val="24"/>
        </w:rPr>
        <w:t>date</w:t>
      </w:r>
      <w:r>
        <w:rPr>
          <w:rFonts w:ascii="Arial" w:hAnsi="Arial" w:cs="Arial"/>
          <w:kern w:val="2"/>
          <w:szCs w:val="24"/>
        </w:rPr>
        <w:t xml:space="preserve"> sera déterminée en fonction du résultat du sondage disponible à partir de ce lien :</w:t>
      </w:r>
    </w:p>
    <w:p w14:paraId="45B54D8A" w14:textId="37623FDD" w:rsidR="00215A12" w:rsidRPr="0096222E" w:rsidRDefault="00631920" w:rsidP="0096222E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hyperlink r:id="rId17" w:history="1">
        <w:r w:rsidR="00C63119" w:rsidRPr="00C63119">
          <w:rPr>
            <w:rStyle w:val="Lienhypertexte"/>
            <w:rFonts w:ascii="Arial" w:hAnsi="Arial" w:cs="Arial"/>
            <w:kern w:val="2"/>
            <w:szCs w:val="24"/>
          </w:rPr>
          <w:t>https://framadate.org/zDuFKVUcPIsCYuW1</w:t>
        </w:r>
      </w:hyperlink>
      <w:r w:rsidR="00C63119">
        <w:rPr>
          <w:rFonts w:ascii="Arial" w:hAnsi="Arial" w:cs="Arial"/>
          <w:kern w:val="2"/>
          <w:szCs w:val="24"/>
        </w:rPr>
        <w:t>.</w:t>
      </w:r>
    </w:p>
    <w:sectPr w:rsidR="00215A12" w:rsidRPr="0096222E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FE65" w14:textId="77777777" w:rsidR="00631920" w:rsidRDefault="00631920" w:rsidP="00F34C76">
      <w:pPr>
        <w:spacing w:after="0" w:line="240" w:lineRule="auto"/>
      </w:pPr>
      <w:r>
        <w:separator/>
      </w:r>
    </w:p>
  </w:endnote>
  <w:endnote w:type="continuationSeparator" w:id="0">
    <w:p w14:paraId="27393232" w14:textId="77777777" w:rsidR="00631920" w:rsidRDefault="00631920" w:rsidP="00F3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90B1" w14:textId="77777777" w:rsidR="00593FC4" w:rsidRDefault="00593FC4">
    <w:pPr>
      <w:pStyle w:val="Pieddepage"/>
      <w:rPr>
        <w:rFonts w:ascii="Arial" w:hAnsi="Arial" w:cs="Arial"/>
      </w:rPr>
    </w:pPr>
  </w:p>
  <w:p w14:paraId="05DB9DDC" w14:textId="77777777" w:rsidR="00593FC4" w:rsidRDefault="00593FC4">
    <w:pPr>
      <w:pStyle w:val="Pieddepage"/>
      <w:rPr>
        <w:rFonts w:ascii="Arial" w:hAnsi="Arial" w:cs="Arial"/>
      </w:rPr>
    </w:pPr>
    <w:r>
      <w:rPr>
        <w:rFonts w:ascii="Arial" w:hAnsi="Arial" w:cs="Arial"/>
      </w:rPr>
      <w:t xml:space="preserve">SPP/ Compte-Rendu de la réunion plénière sur la refonte des géostandards </w:t>
    </w:r>
    <w:r w:rsidRPr="00F34C76">
      <w:rPr>
        <w:rFonts w:ascii="Arial" w:hAnsi="Arial" w:cs="Arial"/>
      </w:rPr>
      <w:fldChar w:fldCharType="begin"/>
    </w:r>
    <w:r w:rsidRPr="00F34C76">
      <w:rPr>
        <w:rFonts w:ascii="Arial" w:hAnsi="Arial" w:cs="Arial"/>
      </w:rPr>
      <w:instrText>PAGE   \* MERGEFORMAT</w:instrText>
    </w:r>
    <w:r w:rsidRPr="00F34C76">
      <w:rPr>
        <w:rFonts w:ascii="Arial" w:hAnsi="Arial" w:cs="Arial"/>
      </w:rPr>
      <w:fldChar w:fldCharType="separate"/>
    </w:r>
    <w:r w:rsidR="000B40E8">
      <w:rPr>
        <w:rFonts w:ascii="Arial" w:hAnsi="Arial" w:cs="Arial"/>
        <w:noProof/>
      </w:rPr>
      <w:t>7</w:t>
    </w:r>
    <w:r w:rsidRPr="00F34C76">
      <w:rPr>
        <w:rFonts w:ascii="Arial" w:hAnsi="Arial" w:cs="Arial"/>
      </w:rPr>
      <w:fldChar w:fldCharType="end"/>
    </w:r>
  </w:p>
  <w:p w14:paraId="5543C64E" w14:textId="77777777" w:rsidR="00593FC4" w:rsidRPr="00F34C76" w:rsidRDefault="00593FC4">
    <w:pPr>
      <w:pStyle w:val="Pieddepage"/>
      <w:rPr>
        <w:rFonts w:ascii="Arial" w:hAnsi="Arial" w:cs="Arial"/>
      </w:rPr>
    </w:pPr>
  </w:p>
  <w:p w14:paraId="241B7FD2" w14:textId="77777777" w:rsidR="00593FC4" w:rsidRDefault="00593F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49E5" w14:textId="77777777" w:rsidR="00631920" w:rsidRDefault="00631920" w:rsidP="00F34C76">
      <w:pPr>
        <w:spacing w:after="0" w:line="240" w:lineRule="auto"/>
      </w:pPr>
      <w:r>
        <w:separator/>
      </w:r>
    </w:p>
  </w:footnote>
  <w:footnote w:type="continuationSeparator" w:id="0">
    <w:p w14:paraId="657652E5" w14:textId="77777777" w:rsidR="00631920" w:rsidRDefault="00631920" w:rsidP="00F3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238"/>
    <w:multiLevelType w:val="hybridMultilevel"/>
    <w:tmpl w:val="7226A394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C757C"/>
    <w:multiLevelType w:val="hybridMultilevel"/>
    <w:tmpl w:val="ECEA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7392"/>
    <w:multiLevelType w:val="hybridMultilevel"/>
    <w:tmpl w:val="F77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E4B1A"/>
    <w:multiLevelType w:val="hybridMultilevel"/>
    <w:tmpl w:val="3F1ECA38"/>
    <w:lvl w:ilvl="0" w:tplc="CD94473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346BB"/>
    <w:multiLevelType w:val="hybridMultilevel"/>
    <w:tmpl w:val="B5262884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14EE9"/>
    <w:multiLevelType w:val="hybridMultilevel"/>
    <w:tmpl w:val="FC307366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393122"/>
    <w:multiLevelType w:val="hybridMultilevel"/>
    <w:tmpl w:val="FBE05BD6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5211"/>
    <w:multiLevelType w:val="hybridMultilevel"/>
    <w:tmpl w:val="E3F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93D52"/>
    <w:multiLevelType w:val="hybridMultilevel"/>
    <w:tmpl w:val="86EE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F22B9"/>
    <w:multiLevelType w:val="hybridMultilevel"/>
    <w:tmpl w:val="63E4A1DC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912D74"/>
    <w:multiLevelType w:val="hybridMultilevel"/>
    <w:tmpl w:val="B97C5D4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36E55"/>
    <w:multiLevelType w:val="hybridMultilevel"/>
    <w:tmpl w:val="24B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63636"/>
    <w:multiLevelType w:val="hybridMultilevel"/>
    <w:tmpl w:val="4F52751C"/>
    <w:lvl w:ilvl="0" w:tplc="87A658BA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D63BD0"/>
    <w:multiLevelType w:val="hybridMultilevel"/>
    <w:tmpl w:val="D1DC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E77C4"/>
    <w:multiLevelType w:val="hybridMultilevel"/>
    <w:tmpl w:val="39C0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14B7"/>
    <w:multiLevelType w:val="hybridMultilevel"/>
    <w:tmpl w:val="B626550E"/>
    <w:lvl w:ilvl="0" w:tplc="CD94473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67B09"/>
    <w:multiLevelType w:val="hybridMultilevel"/>
    <w:tmpl w:val="CE60A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20C6D"/>
    <w:multiLevelType w:val="hybridMultilevel"/>
    <w:tmpl w:val="B714EA2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243738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64418"/>
    <w:multiLevelType w:val="hybridMultilevel"/>
    <w:tmpl w:val="F69073E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A069C"/>
    <w:multiLevelType w:val="hybridMultilevel"/>
    <w:tmpl w:val="991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15FA3"/>
    <w:multiLevelType w:val="hybridMultilevel"/>
    <w:tmpl w:val="90BABF26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11156"/>
    <w:multiLevelType w:val="hybridMultilevel"/>
    <w:tmpl w:val="95D6E212"/>
    <w:lvl w:ilvl="0" w:tplc="1F5C4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12AA2"/>
    <w:multiLevelType w:val="hybridMultilevel"/>
    <w:tmpl w:val="715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773D4"/>
    <w:multiLevelType w:val="hybridMultilevel"/>
    <w:tmpl w:val="D7520BD0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A4C52"/>
    <w:multiLevelType w:val="hybridMultilevel"/>
    <w:tmpl w:val="CC62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13FB2"/>
    <w:multiLevelType w:val="hybridMultilevel"/>
    <w:tmpl w:val="56DC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A61ED"/>
    <w:multiLevelType w:val="hybridMultilevel"/>
    <w:tmpl w:val="6F64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30B33"/>
    <w:multiLevelType w:val="hybridMultilevel"/>
    <w:tmpl w:val="CA70E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46D19"/>
    <w:multiLevelType w:val="hybridMultilevel"/>
    <w:tmpl w:val="F6083D82"/>
    <w:lvl w:ilvl="0" w:tplc="CAF0D4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C0BDE"/>
    <w:multiLevelType w:val="hybridMultilevel"/>
    <w:tmpl w:val="22382EB8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71F3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93BD6"/>
    <w:multiLevelType w:val="hybridMultilevel"/>
    <w:tmpl w:val="FBF0B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B741C"/>
    <w:multiLevelType w:val="hybridMultilevel"/>
    <w:tmpl w:val="F6F0E47E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D2510C"/>
    <w:multiLevelType w:val="hybridMultilevel"/>
    <w:tmpl w:val="AFC4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34461"/>
    <w:multiLevelType w:val="hybridMultilevel"/>
    <w:tmpl w:val="75DE356C"/>
    <w:lvl w:ilvl="0" w:tplc="E014E6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460FF"/>
    <w:multiLevelType w:val="hybridMultilevel"/>
    <w:tmpl w:val="B3321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43CAA"/>
    <w:multiLevelType w:val="hybridMultilevel"/>
    <w:tmpl w:val="2B2A5188"/>
    <w:lvl w:ilvl="0" w:tplc="764E31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A71E2A"/>
    <w:multiLevelType w:val="hybridMultilevel"/>
    <w:tmpl w:val="E47E7172"/>
    <w:lvl w:ilvl="0" w:tplc="0409000F">
      <w:start w:val="1"/>
      <w:numFmt w:val="decimal"/>
      <w:lvlText w:val="%1."/>
      <w:lvlJc w:val="left"/>
      <w:pPr>
        <w:ind w:left="1569" w:hanging="360"/>
      </w:p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9" w15:restartNumberingAfterBreak="0">
    <w:nsid w:val="7F842DD9"/>
    <w:multiLevelType w:val="hybridMultilevel"/>
    <w:tmpl w:val="9EBE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31"/>
  </w:num>
  <w:num w:numId="4">
    <w:abstractNumId w:val="17"/>
  </w:num>
  <w:num w:numId="5">
    <w:abstractNumId w:val="18"/>
  </w:num>
  <w:num w:numId="6">
    <w:abstractNumId w:val="19"/>
  </w:num>
  <w:num w:numId="7">
    <w:abstractNumId w:val="37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24"/>
  </w:num>
  <w:num w:numId="13">
    <w:abstractNumId w:val="1"/>
  </w:num>
  <w:num w:numId="14">
    <w:abstractNumId w:val="8"/>
  </w:num>
  <w:num w:numId="15">
    <w:abstractNumId w:val="38"/>
  </w:num>
  <w:num w:numId="16">
    <w:abstractNumId w:val="10"/>
  </w:num>
  <w:num w:numId="17">
    <w:abstractNumId w:val="9"/>
  </w:num>
  <w:num w:numId="18">
    <w:abstractNumId w:val="4"/>
  </w:num>
  <w:num w:numId="19">
    <w:abstractNumId w:val="29"/>
  </w:num>
  <w:num w:numId="20">
    <w:abstractNumId w:val="2"/>
  </w:num>
  <w:num w:numId="21">
    <w:abstractNumId w:val="23"/>
  </w:num>
  <w:num w:numId="22">
    <w:abstractNumId w:val="7"/>
  </w:num>
  <w:num w:numId="23">
    <w:abstractNumId w:val="11"/>
  </w:num>
  <w:num w:numId="24">
    <w:abstractNumId w:val="39"/>
  </w:num>
  <w:num w:numId="25">
    <w:abstractNumId w:val="34"/>
  </w:num>
  <w:num w:numId="26">
    <w:abstractNumId w:val="3"/>
  </w:num>
  <w:num w:numId="27">
    <w:abstractNumId w:val="26"/>
  </w:num>
  <w:num w:numId="28">
    <w:abstractNumId w:val="33"/>
  </w:num>
  <w:num w:numId="29">
    <w:abstractNumId w:val="20"/>
  </w:num>
  <w:num w:numId="30">
    <w:abstractNumId w:val="5"/>
  </w:num>
  <w:num w:numId="31">
    <w:abstractNumId w:val="27"/>
  </w:num>
  <w:num w:numId="32">
    <w:abstractNumId w:val="21"/>
  </w:num>
  <w:num w:numId="33">
    <w:abstractNumId w:val="30"/>
  </w:num>
  <w:num w:numId="34">
    <w:abstractNumId w:val="0"/>
  </w:num>
  <w:num w:numId="35">
    <w:abstractNumId w:val="16"/>
  </w:num>
  <w:num w:numId="36">
    <w:abstractNumId w:val="32"/>
  </w:num>
  <w:num w:numId="37">
    <w:abstractNumId w:val="15"/>
  </w:num>
  <w:num w:numId="38">
    <w:abstractNumId w:val="28"/>
  </w:num>
  <w:num w:numId="39">
    <w:abstractNumId w:val="36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72"/>
    <w:rsid w:val="00013AFB"/>
    <w:rsid w:val="00020DF7"/>
    <w:rsid w:val="000218F9"/>
    <w:rsid w:val="000265C2"/>
    <w:rsid w:val="00027DCF"/>
    <w:rsid w:val="000336F5"/>
    <w:rsid w:val="00046741"/>
    <w:rsid w:val="00047381"/>
    <w:rsid w:val="0005222E"/>
    <w:rsid w:val="00053E84"/>
    <w:rsid w:val="00055726"/>
    <w:rsid w:val="00062785"/>
    <w:rsid w:val="000662B7"/>
    <w:rsid w:val="000707EC"/>
    <w:rsid w:val="0008517D"/>
    <w:rsid w:val="00093A20"/>
    <w:rsid w:val="000A0198"/>
    <w:rsid w:val="000A4745"/>
    <w:rsid w:val="000A4902"/>
    <w:rsid w:val="000A61DF"/>
    <w:rsid w:val="000B40E8"/>
    <w:rsid w:val="000B5D62"/>
    <w:rsid w:val="000B5FBD"/>
    <w:rsid w:val="000C0C88"/>
    <w:rsid w:val="000C1B99"/>
    <w:rsid w:val="000C5D88"/>
    <w:rsid w:val="000C66F7"/>
    <w:rsid w:val="000C7254"/>
    <w:rsid w:val="000D5AB8"/>
    <w:rsid w:val="000E0FE6"/>
    <w:rsid w:val="000E1567"/>
    <w:rsid w:val="000E32E7"/>
    <w:rsid w:val="000E5277"/>
    <w:rsid w:val="000E5D03"/>
    <w:rsid w:val="000F0CFE"/>
    <w:rsid w:val="000F59BA"/>
    <w:rsid w:val="00100274"/>
    <w:rsid w:val="001049DF"/>
    <w:rsid w:val="00105CDB"/>
    <w:rsid w:val="00107DF5"/>
    <w:rsid w:val="00112B5F"/>
    <w:rsid w:val="00115AFC"/>
    <w:rsid w:val="00122C2C"/>
    <w:rsid w:val="00123C0C"/>
    <w:rsid w:val="001241C9"/>
    <w:rsid w:val="0013198B"/>
    <w:rsid w:val="00145527"/>
    <w:rsid w:val="0014603D"/>
    <w:rsid w:val="00147E71"/>
    <w:rsid w:val="00152D00"/>
    <w:rsid w:val="0015395E"/>
    <w:rsid w:val="001669C9"/>
    <w:rsid w:val="0017070C"/>
    <w:rsid w:val="001763D3"/>
    <w:rsid w:val="00180FB4"/>
    <w:rsid w:val="001820F0"/>
    <w:rsid w:val="0018695C"/>
    <w:rsid w:val="00186B94"/>
    <w:rsid w:val="00187973"/>
    <w:rsid w:val="001A29D9"/>
    <w:rsid w:val="001A5605"/>
    <w:rsid w:val="001A6F5E"/>
    <w:rsid w:val="001A78ED"/>
    <w:rsid w:val="001B1B39"/>
    <w:rsid w:val="001B7EF1"/>
    <w:rsid w:val="001C6366"/>
    <w:rsid w:val="001C7EA3"/>
    <w:rsid w:val="001E1E56"/>
    <w:rsid w:val="001E329F"/>
    <w:rsid w:val="001E422D"/>
    <w:rsid w:val="001E4F33"/>
    <w:rsid w:val="0020078F"/>
    <w:rsid w:val="00205E77"/>
    <w:rsid w:val="00206DDF"/>
    <w:rsid w:val="002129A6"/>
    <w:rsid w:val="00215A12"/>
    <w:rsid w:val="00215E6D"/>
    <w:rsid w:val="00220481"/>
    <w:rsid w:val="00220685"/>
    <w:rsid w:val="00235EA2"/>
    <w:rsid w:val="00235EB1"/>
    <w:rsid w:val="0024137A"/>
    <w:rsid w:val="00256C44"/>
    <w:rsid w:val="002728E5"/>
    <w:rsid w:val="00277A9D"/>
    <w:rsid w:val="00280BDB"/>
    <w:rsid w:val="00293F89"/>
    <w:rsid w:val="00294692"/>
    <w:rsid w:val="00296539"/>
    <w:rsid w:val="002A0074"/>
    <w:rsid w:val="002A01AE"/>
    <w:rsid w:val="002A0BFA"/>
    <w:rsid w:val="002A70B9"/>
    <w:rsid w:val="002B367C"/>
    <w:rsid w:val="002B508B"/>
    <w:rsid w:val="002C2F24"/>
    <w:rsid w:val="002C5DD1"/>
    <w:rsid w:val="002D1BF8"/>
    <w:rsid w:val="002E32E4"/>
    <w:rsid w:val="002F3506"/>
    <w:rsid w:val="00314A72"/>
    <w:rsid w:val="00321C34"/>
    <w:rsid w:val="00323452"/>
    <w:rsid w:val="00325F4F"/>
    <w:rsid w:val="00326F83"/>
    <w:rsid w:val="003312BD"/>
    <w:rsid w:val="00334F4E"/>
    <w:rsid w:val="00337CCB"/>
    <w:rsid w:val="00341206"/>
    <w:rsid w:val="003416B7"/>
    <w:rsid w:val="0034367D"/>
    <w:rsid w:val="0034633B"/>
    <w:rsid w:val="0034662D"/>
    <w:rsid w:val="0034742D"/>
    <w:rsid w:val="003476BF"/>
    <w:rsid w:val="0035082E"/>
    <w:rsid w:val="0035170E"/>
    <w:rsid w:val="003608F3"/>
    <w:rsid w:val="00364789"/>
    <w:rsid w:val="00381677"/>
    <w:rsid w:val="0038392A"/>
    <w:rsid w:val="00385A97"/>
    <w:rsid w:val="003959B5"/>
    <w:rsid w:val="00396A2C"/>
    <w:rsid w:val="00396D33"/>
    <w:rsid w:val="00396E52"/>
    <w:rsid w:val="003A1645"/>
    <w:rsid w:val="003B6496"/>
    <w:rsid w:val="003C7F68"/>
    <w:rsid w:val="003D6C1F"/>
    <w:rsid w:val="003D7E4E"/>
    <w:rsid w:val="003E057D"/>
    <w:rsid w:val="003F0D2C"/>
    <w:rsid w:val="003F4290"/>
    <w:rsid w:val="003F4B80"/>
    <w:rsid w:val="00410490"/>
    <w:rsid w:val="004164AC"/>
    <w:rsid w:val="0042012B"/>
    <w:rsid w:val="0042032A"/>
    <w:rsid w:val="00425905"/>
    <w:rsid w:val="00432764"/>
    <w:rsid w:val="00433BBF"/>
    <w:rsid w:val="0043700A"/>
    <w:rsid w:val="004411A4"/>
    <w:rsid w:val="00442B84"/>
    <w:rsid w:val="00442D3E"/>
    <w:rsid w:val="0045367B"/>
    <w:rsid w:val="00453EFA"/>
    <w:rsid w:val="004576DD"/>
    <w:rsid w:val="0045784D"/>
    <w:rsid w:val="004602B2"/>
    <w:rsid w:val="00462532"/>
    <w:rsid w:val="004707A6"/>
    <w:rsid w:val="00474322"/>
    <w:rsid w:val="00475DB8"/>
    <w:rsid w:val="00482B54"/>
    <w:rsid w:val="004838D9"/>
    <w:rsid w:val="00487F28"/>
    <w:rsid w:val="00491F03"/>
    <w:rsid w:val="004943F2"/>
    <w:rsid w:val="004B1A2D"/>
    <w:rsid w:val="004B1DC2"/>
    <w:rsid w:val="004B4FD4"/>
    <w:rsid w:val="004B5889"/>
    <w:rsid w:val="004C09E7"/>
    <w:rsid w:val="004D1C6E"/>
    <w:rsid w:val="004D241C"/>
    <w:rsid w:val="004D4940"/>
    <w:rsid w:val="004E3D02"/>
    <w:rsid w:val="005027A9"/>
    <w:rsid w:val="00514B69"/>
    <w:rsid w:val="005176E5"/>
    <w:rsid w:val="005230ED"/>
    <w:rsid w:val="00542A41"/>
    <w:rsid w:val="00543955"/>
    <w:rsid w:val="005458DD"/>
    <w:rsid w:val="00547BE9"/>
    <w:rsid w:val="0055074B"/>
    <w:rsid w:val="0055356F"/>
    <w:rsid w:val="0055547B"/>
    <w:rsid w:val="005620CA"/>
    <w:rsid w:val="005733C3"/>
    <w:rsid w:val="005808FF"/>
    <w:rsid w:val="00582277"/>
    <w:rsid w:val="005865D2"/>
    <w:rsid w:val="00587D64"/>
    <w:rsid w:val="005923D4"/>
    <w:rsid w:val="00593FC4"/>
    <w:rsid w:val="005945D6"/>
    <w:rsid w:val="005A5858"/>
    <w:rsid w:val="005A6A1B"/>
    <w:rsid w:val="005B39B3"/>
    <w:rsid w:val="005C081E"/>
    <w:rsid w:val="005C29B7"/>
    <w:rsid w:val="005C347C"/>
    <w:rsid w:val="005C398D"/>
    <w:rsid w:val="005D14F1"/>
    <w:rsid w:val="005D45CA"/>
    <w:rsid w:val="005E062A"/>
    <w:rsid w:val="005E42BC"/>
    <w:rsid w:val="005F155E"/>
    <w:rsid w:val="005F37C9"/>
    <w:rsid w:val="005F6071"/>
    <w:rsid w:val="00604FE3"/>
    <w:rsid w:val="00610A92"/>
    <w:rsid w:val="00610D21"/>
    <w:rsid w:val="0061180F"/>
    <w:rsid w:val="00612947"/>
    <w:rsid w:val="00612AC5"/>
    <w:rsid w:val="00614DF2"/>
    <w:rsid w:val="00615588"/>
    <w:rsid w:val="006207B1"/>
    <w:rsid w:val="0062312A"/>
    <w:rsid w:val="00631920"/>
    <w:rsid w:val="00643398"/>
    <w:rsid w:val="0064789B"/>
    <w:rsid w:val="00650F91"/>
    <w:rsid w:val="006575D6"/>
    <w:rsid w:val="00664975"/>
    <w:rsid w:val="00674D81"/>
    <w:rsid w:val="00675D03"/>
    <w:rsid w:val="00677395"/>
    <w:rsid w:val="00690E47"/>
    <w:rsid w:val="00695BF1"/>
    <w:rsid w:val="006964BE"/>
    <w:rsid w:val="00697898"/>
    <w:rsid w:val="006A0B22"/>
    <w:rsid w:val="006A11BF"/>
    <w:rsid w:val="006A7AA9"/>
    <w:rsid w:val="006B0595"/>
    <w:rsid w:val="006B25B4"/>
    <w:rsid w:val="006C06A1"/>
    <w:rsid w:val="006C2387"/>
    <w:rsid w:val="006D1087"/>
    <w:rsid w:val="006D7AE5"/>
    <w:rsid w:val="006F1C69"/>
    <w:rsid w:val="007053BE"/>
    <w:rsid w:val="007066DF"/>
    <w:rsid w:val="00706E70"/>
    <w:rsid w:val="00710D6D"/>
    <w:rsid w:val="0071126E"/>
    <w:rsid w:val="00717EB6"/>
    <w:rsid w:val="00727586"/>
    <w:rsid w:val="00731B05"/>
    <w:rsid w:val="0073681C"/>
    <w:rsid w:val="007442EF"/>
    <w:rsid w:val="007442FB"/>
    <w:rsid w:val="0074517A"/>
    <w:rsid w:val="00746150"/>
    <w:rsid w:val="007473C6"/>
    <w:rsid w:val="00754841"/>
    <w:rsid w:val="0077642C"/>
    <w:rsid w:val="0078070A"/>
    <w:rsid w:val="00781098"/>
    <w:rsid w:val="007811C8"/>
    <w:rsid w:val="0078188C"/>
    <w:rsid w:val="00782128"/>
    <w:rsid w:val="007838AD"/>
    <w:rsid w:val="0079017D"/>
    <w:rsid w:val="00794E34"/>
    <w:rsid w:val="007B2770"/>
    <w:rsid w:val="007C35EE"/>
    <w:rsid w:val="007C534B"/>
    <w:rsid w:val="007E2300"/>
    <w:rsid w:val="007F7820"/>
    <w:rsid w:val="00805025"/>
    <w:rsid w:val="00813CB0"/>
    <w:rsid w:val="00815289"/>
    <w:rsid w:val="0082145F"/>
    <w:rsid w:val="00826083"/>
    <w:rsid w:val="00826E06"/>
    <w:rsid w:val="00827ADE"/>
    <w:rsid w:val="00833AB8"/>
    <w:rsid w:val="00842BCA"/>
    <w:rsid w:val="0084592F"/>
    <w:rsid w:val="00860E8D"/>
    <w:rsid w:val="00862598"/>
    <w:rsid w:val="008652AE"/>
    <w:rsid w:val="00866429"/>
    <w:rsid w:val="00883AA3"/>
    <w:rsid w:val="008840FA"/>
    <w:rsid w:val="00884123"/>
    <w:rsid w:val="008858A2"/>
    <w:rsid w:val="00892C04"/>
    <w:rsid w:val="008A0069"/>
    <w:rsid w:val="008C037A"/>
    <w:rsid w:val="008C0732"/>
    <w:rsid w:val="008C4CF4"/>
    <w:rsid w:val="008C4F3A"/>
    <w:rsid w:val="008C73EC"/>
    <w:rsid w:val="008D4993"/>
    <w:rsid w:val="008D5F6C"/>
    <w:rsid w:val="008F7D47"/>
    <w:rsid w:val="0090010E"/>
    <w:rsid w:val="009133D0"/>
    <w:rsid w:val="00913A5F"/>
    <w:rsid w:val="0091799D"/>
    <w:rsid w:val="00921B55"/>
    <w:rsid w:val="00923EFE"/>
    <w:rsid w:val="00926E43"/>
    <w:rsid w:val="009327C9"/>
    <w:rsid w:val="00942DB0"/>
    <w:rsid w:val="00954561"/>
    <w:rsid w:val="0096222E"/>
    <w:rsid w:val="0097549F"/>
    <w:rsid w:val="009818F8"/>
    <w:rsid w:val="009A55A6"/>
    <w:rsid w:val="009B59CB"/>
    <w:rsid w:val="009C388A"/>
    <w:rsid w:val="009D405C"/>
    <w:rsid w:val="009D68CC"/>
    <w:rsid w:val="009E13C1"/>
    <w:rsid w:val="009E1ACF"/>
    <w:rsid w:val="009E58A8"/>
    <w:rsid w:val="009E7F65"/>
    <w:rsid w:val="009F2E64"/>
    <w:rsid w:val="00A00D9E"/>
    <w:rsid w:val="00A072A6"/>
    <w:rsid w:val="00A12838"/>
    <w:rsid w:val="00A1368B"/>
    <w:rsid w:val="00A14167"/>
    <w:rsid w:val="00A23050"/>
    <w:rsid w:val="00A244C7"/>
    <w:rsid w:val="00A34349"/>
    <w:rsid w:val="00A615F2"/>
    <w:rsid w:val="00A6461F"/>
    <w:rsid w:val="00A64B2C"/>
    <w:rsid w:val="00A668DE"/>
    <w:rsid w:val="00A67FAB"/>
    <w:rsid w:val="00A71693"/>
    <w:rsid w:val="00A74520"/>
    <w:rsid w:val="00A760B6"/>
    <w:rsid w:val="00A8123F"/>
    <w:rsid w:val="00A82548"/>
    <w:rsid w:val="00A85675"/>
    <w:rsid w:val="00A858F2"/>
    <w:rsid w:val="00A90E6C"/>
    <w:rsid w:val="00AA1003"/>
    <w:rsid w:val="00AB0AD3"/>
    <w:rsid w:val="00AC071B"/>
    <w:rsid w:val="00AC2AE5"/>
    <w:rsid w:val="00AC5435"/>
    <w:rsid w:val="00AC633D"/>
    <w:rsid w:val="00AC6986"/>
    <w:rsid w:val="00AD273D"/>
    <w:rsid w:val="00AD3D0D"/>
    <w:rsid w:val="00AE0038"/>
    <w:rsid w:val="00AE0D24"/>
    <w:rsid w:val="00AE1DA4"/>
    <w:rsid w:val="00AE5111"/>
    <w:rsid w:val="00AF154C"/>
    <w:rsid w:val="00B01B41"/>
    <w:rsid w:val="00B10959"/>
    <w:rsid w:val="00B11B9E"/>
    <w:rsid w:val="00B145F9"/>
    <w:rsid w:val="00B15634"/>
    <w:rsid w:val="00B17015"/>
    <w:rsid w:val="00B1793D"/>
    <w:rsid w:val="00B17966"/>
    <w:rsid w:val="00B25038"/>
    <w:rsid w:val="00B273B8"/>
    <w:rsid w:val="00B35F38"/>
    <w:rsid w:val="00B4026B"/>
    <w:rsid w:val="00B446B9"/>
    <w:rsid w:val="00B45F01"/>
    <w:rsid w:val="00B46469"/>
    <w:rsid w:val="00B528DB"/>
    <w:rsid w:val="00B54F7D"/>
    <w:rsid w:val="00B61390"/>
    <w:rsid w:val="00B72C6E"/>
    <w:rsid w:val="00B74708"/>
    <w:rsid w:val="00B77A1D"/>
    <w:rsid w:val="00B8067B"/>
    <w:rsid w:val="00B81E2E"/>
    <w:rsid w:val="00B8264B"/>
    <w:rsid w:val="00B86763"/>
    <w:rsid w:val="00B94DD6"/>
    <w:rsid w:val="00B952AC"/>
    <w:rsid w:val="00BA0B49"/>
    <w:rsid w:val="00BA0FD7"/>
    <w:rsid w:val="00BB2354"/>
    <w:rsid w:val="00BC2D1B"/>
    <w:rsid w:val="00BC2E19"/>
    <w:rsid w:val="00BC2E60"/>
    <w:rsid w:val="00BC6536"/>
    <w:rsid w:val="00BD034A"/>
    <w:rsid w:val="00BD18F2"/>
    <w:rsid w:val="00BD3C8E"/>
    <w:rsid w:val="00BD5CAD"/>
    <w:rsid w:val="00BE0BE3"/>
    <w:rsid w:val="00BE6D73"/>
    <w:rsid w:val="00BF27C0"/>
    <w:rsid w:val="00BF6340"/>
    <w:rsid w:val="00C01197"/>
    <w:rsid w:val="00C02565"/>
    <w:rsid w:val="00C0725E"/>
    <w:rsid w:val="00C1138D"/>
    <w:rsid w:val="00C1148D"/>
    <w:rsid w:val="00C224B9"/>
    <w:rsid w:val="00C32E56"/>
    <w:rsid w:val="00C34ADA"/>
    <w:rsid w:val="00C44627"/>
    <w:rsid w:val="00C46276"/>
    <w:rsid w:val="00C549A7"/>
    <w:rsid w:val="00C56869"/>
    <w:rsid w:val="00C609C6"/>
    <w:rsid w:val="00C63119"/>
    <w:rsid w:val="00C63601"/>
    <w:rsid w:val="00C64DBE"/>
    <w:rsid w:val="00C64E97"/>
    <w:rsid w:val="00C770C0"/>
    <w:rsid w:val="00C811D1"/>
    <w:rsid w:val="00C82547"/>
    <w:rsid w:val="00C8571B"/>
    <w:rsid w:val="00C87C44"/>
    <w:rsid w:val="00C91635"/>
    <w:rsid w:val="00C9519C"/>
    <w:rsid w:val="00CA0A63"/>
    <w:rsid w:val="00CA0EF8"/>
    <w:rsid w:val="00CA1879"/>
    <w:rsid w:val="00CB1973"/>
    <w:rsid w:val="00CB6026"/>
    <w:rsid w:val="00CC3316"/>
    <w:rsid w:val="00CC61CC"/>
    <w:rsid w:val="00CE4974"/>
    <w:rsid w:val="00CE7A19"/>
    <w:rsid w:val="00CF37A0"/>
    <w:rsid w:val="00CF7AD1"/>
    <w:rsid w:val="00D00448"/>
    <w:rsid w:val="00D01319"/>
    <w:rsid w:val="00D06713"/>
    <w:rsid w:val="00D12735"/>
    <w:rsid w:val="00D1619D"/>
    <w:rsid w:val="00D163FB"/>
    <w:rsid w:val="00D20351"/>
    <w:rsid w:val="00D21D50"/>
    <w:rsid w:val="00D233C2"/>
    <w:rsid w:val="00D2362D"/>
    <w:rsid w:val="00D23AA6"/>
    <w:rsid w:val="00D243DE"/>
    <w:rsid w:val="00D26465"/>
    <w:rsid w:val="00D31B70"/>
    <w:rsid w:val="00D45ADB"/>
    <w:rsid w:val="00D56D83"/>
    <w:rsid w:val="00D60FA0"/>
    <w:rsid w:val="00D71179"/>
    <w:rsid w:val="00D71BB3"/>
    <w:rsid w:val="00D726CD"/>
    <w:rsid w:val="00D74CFF"/>
    <w:rsid w:val="00D82A5E"/>
    <w:rsid w:val="00D8673B"/>
    <w:rsid w:val="00D869D9"/>
    <w:rsid w:val="00DA46CA"/>
    <w:rsid w:val="00DB0BF9"/>
    <w:rsid w:val="00DC0565"/>
    <w:rsid w:val="00DD3AA0"/>
    <w:rsid w:val="00DD45D5"/>
    <w:rsid w:val="00DF15C0"/>
    <w:rsid w:val="00DF56E2"/>
    <w:rsid w:val="00E03C1C"/>
    <w:rsid w:val="00E0631B"/>
    <w:rsid w:val="00E128ED"/>
    <w:rsid w:val="00E171EB"/>
    <w:rsid w:val="00E265A3"/>
    <w:rsid w:val="00E358CF"/>
    <w:rsid w:val="00E43A83"/>
    <w:rsid w:val="00E44228"/>
    <w:rsid w:val="00E46C29"/>
    <w:rsid w:val="00E56CE1"/>
    <w:rsid w:val="00E5773E"/>
    <w:rsid w:val="00E64F5C"/>
    <w:rsid w:val="00E66F3F"/>
    <w:rsid w:val="00E70B08"/>
    <w:rsid w:val="00E7378E"/>
    <w:rsid w:val="00E77422"/>
    <w:rsid w:val="00E8592A"/>
    <w:rsid w:val="00E87883"/>
    <w:rsid w:val="00E9649F"/>
    <w:rsid w:val="00E96D40"/>
    <w:rsid w:val="00EA2D92"/>
    <w:rsid w:val="00EA4503"/>
    <w:rsid w:val="00EA71E8"/>
    <w:rsid w:val="00EB0120"/>
    <w:rsid w:val="00EB7BB7"/>
    <w:rsid w:val="00EC052D"/>
    <w:rsid w:val="00EC0BFF"/>
    <w:rsid w:val="00EC7A9E"/>
    <w:rsid w:val="00ED1FA4"/>
    <w:rsid w:val="00EE4A7A"/>
    <w:rsid w:val="00EF1637"/>
    <w:rsid w:val="00EF255D"/>
    <w:rsid w:val="00F0345E"/>
    <w:rsid w:val="00F07E6A"/>
    <w:rsid w:val="00F11037"/>
    <w:rsid w:val="00F117F5"/>
    <w:rsid w:val="00F13FE7"/>
    <w:rsid w:val="00F206E5"/>
    <w:rsid w:val="00F2169C"/>
    <w:rsid w:val="00F252D8"/>
    <w:rsid w:val="00F27B2E"/>
    <w:rsid w:val="00F27DE9"/>
    <w:rsid w:val="00F34947"/>
    <w:rsid w:val="00F34C76"/>
    <w:rsid w:val="00F37CC2"/>
    <w:rsid w:val="00F51509"/>
    <w:rsid w:val="00F55667"/>
    <w:rsid w:val="00F569F2"/>
    <w:rsid w:val="00F6427A"/>
    <w:rsid w:val="00F81B88"/>
    <w:rsid w:val="00F8224E"/>
    <w:rsid w:val="00F83C0A"/>
    <w:rsid w:val="00F86234"/>
    <w:rsid w:val="00F86559"/>
    <w:rsid w:val="00F91956"/>
    <w:rsid w:val="00F93C3D"/>
    <w:rsid w:val="00FA07EE"/>
    <w:rsid w:val="00FA749F"/>
    <w:rsid w:val="00FB05B8"/>
    <w:rsid w:val="00FB7D9D"/>
    <w:rsid w:val="00FC3958"/>
    <w:rsid w:val="00FD0B22"/>
    <w:rsid w:val="00FD0F70"/>
    <w:rsid w:val="00FE447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1563A"/>
  <w15:docId w15:val="{63933F4C-DE5D-46CA-9E67-0EB45F1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6F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  <w:style w:type="character" w:styleId="Mentionnonrsolue">
    <w:name w:val="Unresolved Mention"/>
    <w:basedOn w:val="Policepardfaut"/>
    <w:uiPriority w:val="99"/>
    <w:semiHidden/>
    <w:unhideWhenUsed/>
    <w:rsid w:val="00296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6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4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7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8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4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1-OFlNQiGtw&amp;feature=youtu.b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nigfr/Geostandards-Risques/blob/main/suivi/2024-04-30-Pleniere-GT/SPP-24-079-CR_Reunion-pleinere-GT-risques-30-04-2024.pdf" TargetMode="External"/><Relationship Id="rId17" Type="http://schemas.openxmlformats.org/officeDocument/2006/relationships/hyperlink" Target="https://framadate.org/zDuFKVUcPIsCYuW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nigfr/Geostandards-Risques/issues/7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nigfr/Geostandards-Risques/blob/main/suivi/2024-07-09-Pleniere-GT/SPP-24-133-Pleniere-GT-Risques-09-07-20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nigfr/Geostandards-Risques/issues/77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nig.gouv.fr/commission-des-standards-a640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3ACB6-1679-4CF4-A542-A0296DD7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Lenain</dc:creator>
  <cp:lastModifiedBy>Gilles Cebelieu</cp:lastModifiedBy>
  <cp:revision>17</cp:revision>
  <dcterms:created xsi:type="dcterms:W3CDTF">2024-07-09T11:57:00Z</dcterms:created>
  <dcterms:modified xsi:type="dcterms:W3CDTF">2024-08-27T16:05:00Z</dcterms:modified>
</cp:coreProperties>
</file>