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8340B" w14:textId="77777777" w:rsidR="00314A72" w:rsidRPr="00A82548" w:rsidRDefault="00314A72" w:rsidP="00582277">
      <w:pPr>
        <w:jc w:val="both"/>
        <w:rPr>
          <w:rFonts w:ascii="Arial" w:hAnsi="Arial" w:cs="Arial"/>
          <w:sz w:val="20"/>
          <w:szCs w:val="20"/>
        </w:rPr>
      </w:pPr>
    </w:p>
    <w:tbl>
      <w:tblPr>
        <w:tblW w:w="0" w:type="auto"/>
        <w:tblInd w:w="-5" w:type="dxa"/>
        <w:tblLayout w:type="fixed"/>
        <w:tblLook w:val="0000" w:firstRow="0" w:lastRow="0" w:firstColumn="0" w:lastColumn="0" w:noHBand="0" w:noVBand="0"/>
      </w:tblPr>
      <w:tblGrid>
        <w:gridCol w:w="4366"/>
        <w:gridCol w:w="4824"/>
      </w:tblGrid>
      <w:tr w:rsidR="004D4940" w:rsidRPr="0096222E" w14:paraId="397626C3" w14:textId="77777777" w:rsidTr="004D4940">
        <w:trPr>
          <w:trHeight w:val="2117"/>
        </w:trPr>
        <w:tc>
          <w:tcPr>
            <w:tcW w:w="4366" w:type="dxa"/>
            <w:tcBorders>
              <w:top w:val="single" w:sz="4" w:space="0" w:color="000000"/>
              <w:left w:val="single" w:sz="4" w:space="0" w:color="000000"/>
              <w:bottom w:val="single" w:sz="4" w:space="0" w:color="000000"/>
            </w:tcBorders>
            <w:shd w:val="clear" w:color="auto" w:fill="auto"/>
          </w:tcPr>
          <w:p w14:paraId="37A141D2" w14:textId="77777777" w:rsidR="004D4940" w:rsidRPr="0096222E" w:rsidRDefault="004D4940" w:rsidP="00582277">
            <w:pPr>
              <w:snapToGrid w:val="0"/>
              <w:ind w:right="56"/>
              <w:jc w:val="both"/>
              <w:rPr>
                <w:rFonts w:ascii="Arial" w:hAnsi="Arial" w:cs="Arial"/>
                <w:lang w:val="en-US"/>
              </w:rPr>
            </w:pPr>
            <w:r w:rsidRPr="0096222E">
              <w:rPr>
                <w:rFonts w:ascii="Arial" w:hAnsi="Arial" w:cs="Arial"/>
                <w:noProof/>
                <w:lang w:val="en-US"/>
              </w:rPr>
              <w:drawing>
                <wp:anchor distT="0" distB="0" distL="114935" distR="114935" simplePos="0" relativeHeight="251666432" behindDoc="0" locked="0" layoutInCell="1" allowOverlap="1" wp14:anchorId="057AC209" wp14:editId="517286F8">
                  <wp:simplePos x="0" y="0"/>
                  <wp:positionH relativeFrom="column">
                    <wp:posOffset>-22225</wp:posOffset>
                  </wp:positionH>
                  <wp:positionV relativeFrom="paragraph">
                    <wp:posOffset>21590</wp:posOffset>
                  </wp:positionV>
                  <wp:extent cx="2458085" cy="1099820"/>
                  <wp:effectExtent l="0" t="0" r="0" b="508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9" t="-20" r="-9" b="-20"/>
                          <a:stretch>
                            <a:fillRect/>
                          </a:stretch>
                        </pic:blipFill>
                        <pic:spPr bwMode="auto">
                          <a:xfrm>
                            <a:off x="0" y="0"/>
                            <a:ext cx="2458085" cy="1099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066D521" w14:textId="77777777" w:rsidR="004D4940" w:rsidRPr="0096222E" w:rsidRDefault="004D4940" w:rsidP="00582277">
            <w:pPr>
              <w:jc w:val="both"/>
              <w:rPr>
                <w:rFonts w:ascii="Arial" w:hAnsi="Arial" w:cs="Arial"/>
              </w:rPr>
            </w:pPr>
          </w:p>
          <w:p w14:paraId="440B2389" w14:textId="77777777" w:rsidR="004D4940" w:rsidRPr="0096222E" w:rsidRDefault="004D4940" w:rsidP="00582277">
            <w:pPr>
              <w:ind w:right="56"/>
              <w:jc w:val="both"/>
              <w:rPr>
                <w:rFonts w:ascii="Arial" w:hAnsi="Arial" w:cs="Arial"/>
                <w:lang w:val="en-US"/>
              </w:rPr>
            </w:pPr>
          </w:p>
          <w:p w14:paraId="7A5F22B8" w14:textId="77777777" w:rsidR="004D4940" w:rsidRPr="0096222E" w:rsidRDefault="004D4940" w:rsidP="00582277">
            <w:pPr>
              <w:ind w:right="56"/>
              <w:jc w:val="both"/>
              <w:rPr>
                <w:rFonts w:ascii="Arial" w:hAnsi="Arial" w:cs="Arial"/>
                <w:lang w:val="en-US"/>
              </w:rPr>
            </w:pPr>
          </w:p>
          <w:p w14:paraId="2EC3F8E3" w14:textId="77777777" w:rsidR="004D4940" w:rsidRPr="0096222E" w:rsidRDefault="004D4940" w:rsidP="00582277">
            <w:pPr>
              <w:jc w:val="both"/>
              <w:rPr>
                <w:rFonts w:ascii="Arial" w:hAnsi="Arial" w:cs="Arial"/>
              </w:rPr>
            </w:pPr>
            <w:r w:rsidRPr="0096222E">
              <w:rPr>
                <w:rFonts w:ascii="Arial" w:eastAsia="Calibri" w:hAnsi="Arial" w:cs="Arial"/>
                <w:b/>
                <w:bCs/>
              </w:rPr>
              <w:t>Refonte des Géostandards</w:t>
            </w:r>
            <w:r w:rsidR="00677395" w:rsidRPr="0096222E">
              <w:rPr>
                <w:rFonts w:ascii="Arial" w:eastAsia="Calibri" w:hAnsi="Arial" w:cs="Arial"/>
                <w:b/>
                <w:bCs/>
              </w:rPr>
              <w:t xml:space="preserve"> risques</w:t>
            </w:r>
          </w:p>
        </w:tc>
        <w:tc>
          <w:tcPr>
            <w:tcW w:w="4824" w:type="dxa"/>
            <w:tcBorders>
              <w:top w:val="single" w:sz="4" w:space="0" w:color="000000"/>
              <w:left w:val="single" w:sz="4" w:space="0" w:color="000000"/>
              <w:bottom w:val="single" w:sz="4" w:space="0" w:color="000000"/>
              <w:right w:val="single" w:sz="4" w:space="0" w:color="000000"/>
            </w:tcBorders>
            <w:shd w:val="clear" w:color="auto" w:fill="auto"/>
          </w:tcPr>
          <w:p w14:paraId="2F2FE2AD" w14:textId="77777777" w:rsidR="00DD3AA0" w:rsidRPr="0096222E" w:rsidRDefault="00DD3AA0" w:rsidP="00582277">
            <w:pPr>
              <w:spacing w:before="120" w:after="0"/>
              <w:jc w:val="both"/>
              <w:rPr>
                <w:rFonts w:ascii="Arial" w:hAnsi="Arial" w:cs="Arial"/>
              </w:rPr>
            </w:pPr>
            <w:r w:rsidRPr="0096222E">
              <w:rPr>
                <w:rFonts w:ascii="Arial" w:hAnsi="Arial" w:cs="Arial"/>
                <w:noProof/>
                <w:lang w:val="en-US"/>
              </w:rPr>
              <w:drawing>
                <wp:anchor distT="0" distB="0" distL="114300" distR="114300" simplePos="0" relativeHeight="251659264" behindDoc="1" locked="0" layoutInCell="1" allowOverlap="1" wp14:anchorId="31B0BEAC" wp14:editId="648F9982">
                  <wp:simplePos x="0" y="0"/>
                  <wp:positionH relativeFrom="column">
                    <wp:posOffset>99695</wp:posOffset>
                  </wp:positionH>
                  <wp:positionV relativeFrom="paragraph">
                    <wp:posOffset>170180</wp:posOffset>
                  </wp:positionV>
                  <wp:extent cx="826770" cy="88265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9"/>
                          <a:stretch>
                            <a:fillRect/>
                          </a:stretch>
                        </pic:blipFill>
                        <pic:spPr bwMode="auto">
                          <a:xfrm>
                            <a:off x="0" y="0"/>
                            <a:ext cx="826770" cy="882650"/>
                          </a:xfrm>
                          <a:prstGeom prst="rect">
                            <a:avLst/>
                          </a:prstGeom>
                        </pic:spPr>
                      </pic:pic>
                    </a:graphicData>
                  </a:graphic>
                </wp:anchor>
              </w:drawing>
            </w:r>
            <w:r w:rsidR="004D4940" w:rsidRPr="0096222E">
              <w:rPr>
                <w:rFonts w:ascii="Arial" w:hAnsi="Arial" w:cs="Arial"/>
                <w:noProof/>
                <w:lang w:val="en-US"/>
              </w:rPr>
              <w:drawing>
                <wp:anchor distT="0" distB="1905" distL="114300" distR="120650" simplePos="0" relativeHeight="251661312" behindDoc="1" locked="0" layoutInCell="1" allowOverlap="1" wp14:anchorId="740105F0" wp14:editId="664DAFBD">
                  <wp:simplePos x="0" y="0"/>
                  <wp:positionH relativeFrom="column">
                    <wp:posOffset>1262380</wp:posOffset>
                  </wp:positionH>
                  <wp:positionV relativeFrom="paragraph">
                    <wp:posOffset>281940</wp:posOffset>
                  </wp:positionV>
                  <wp:extent cx="1460500" cy="1064895"/>
                  <wp:effectExtent l="0" t="0" r="6350" b="1905"/>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1460500" cy="1064895"/>
                          </a:xfrm>
                          <a:prstGeom prst="rect">
                            <a:avLst/>
                          </a:prstGeom>
                        </pic:spPr>
                      </pic:pic>
                    </a:graphicData>
                  </a:graphic>
                </wp:anchor>
              </w:drawing>
            </w:r>
            <w:r w:rsidR="00677395" w:rsidRPr="0096222E">
              <w:rPr>
                <w:rFonts w:ascii="Arial" w:eastAsia="Calibri" w:hAnsi="Arial" w:cs="Arial"/>
              </w:rPr>
              <w:t xml:space="preserve">     Animation                 </w:t>
            </w:r>
            <w:r w:rsidR="004D1C6E" w:rsidRPr="0096222E">
              <w:rPr>
                <w:rFonts w:ascii="Arial" w:eastAsia="Calibri" w:hAnsi="Arial" w:cs="Arial"/>
              </w:rPr>
              <w:t>Maitrise d’Ouvrage</w:t>
            </w:r>
          </w:p>
          <w:p w14:paraId="5B17C1E4" w14:textId="77777777" w:rsidR="004D4940" w:rsidRPr="0096222E" w:rsidRDefault="004D4940" w:rsidP="00582277">
            <w:pPr>
              <w:jc w:val="both"/>
              <w:rPr>
                <w:rFonts w:ascii="Arial" w:hAnsi="Arial" w:cs="Arial"/>
              </w:rPr>
            </w:pPr>
          </w:p>
        </w:tc>
      </w:tr>
      <w:tr w:rsidR="004D4940" w:rsidRPr="0096222E" w14:paraId="66EACD65" w14:textId="77777777" w:rsidTr="00AD273D">
        <w:trPr>
          <w:trHeight w:val="901"/>
        </w:trPr>
        <w:tc>
          <w:tcPr>
            <w:tcW w:w="9190" w:type="dxa"/>
            <w:gridSpan w:val="2"/>
            <w:tcBorders>
              <w:top w:val="single" w:sz="4" w:space="0" w:color="000000"/>
              <w:left w:val="single" w:sz="4" w:space="0" w:color="000000"/>
              <w:bottom w:val="single" w:sz="4" w:space="0" w:color="000000"/>
              <w:right w:val="single" w:sz="4" w:space="0" w:color="000000"/>
            </w:tcBorders>
            <w:shd w:val="clear" w:color="auto" w:fill="auto"/>
          </w:tcPr>
          <w:p w14:paraId="04B9E601" w14:textId="77777777" w:rsidR="00DD3AA0" w:rsidRPr="0096222E" w:rsidRDefault="00DD3AA0" w:rsidP="00582277">
            <w:pPr>
              <w:jc w:val="both"/>
              <w:rPr>
                <w:rFonts w:ascii="Arial" w:hAnsi="Arial" w:cs="Arial"/>
                <w:b/>
              </w:rPr>
            </w:pPr>
          </w:p>
          <w:p w14:paraId="6AB95BB3" w14:textId="77777777" w:rsidR="004D4940" w:rsidRPr="0096222E" w:rsidRDefault="00664975" w:rsidP="00582277">
            <w:pPr>
              <w:jc w:val="both"/>
              <w:rPr>
                <w:rFonts w:ascii="Arial" w:hAnsi="Arial" w:cs="Arial"/>
              </w:rPr>
            </w:pPr>
            <w:r w:rsidRPr="0096222E">
              <w:rPr>
                <w:rFonts w:ascii="Arial" w:hAnsi="Arial" w:cs="Arial"/>
                <w:b/>
              </w:rPr>
              <w:t>COMPTE-RENDU DE REUNION</w:t>
            </w:r>
          </w:p>
          <w:p w14:paraId="63FFC9BA" w14:textId="77777777" w:rsidR="004D4940" w:rsidRPr="0096222E" w:rsidRDefault="00D00448" w:rsidP="00582277">
            <w:pPr>
              <w:jc w:val="both"/>
              <w:rPr>
                <w:rFonts w:ascii="Arial" w:hAnsi="Arial" w:cs="Arial"/>
                <w:b/>
              </w:rPr>
            </w:pPr>
            <w:r w:rsidRPr="0096222E">
              <w:rPr>
                <w:rFonts w:ascii="Arial" w:hAnsi="Arial" w:cs="Arial"/>
                <w:b/>
              </w:rPr>
              <w:t>(visioconférence</w:t>
            </w:r>
            <w:r w:rsidR="004D4940" w:rsidRPr="0096222E">
              <w:rPr>
                <w:rFonts w:ascii="Arial" w:hAnsi="Arial" w:cs="Arial"/>
                <w:b/>
              </w:rPr>
              <w:t>)</w:t>
            </w:r>
          </w:p>
        </w:tc>
      </w:tr>
      <w:tr w:rsidR="004D4940" w:rsidRPr="0096222E" w14:paraId="2DAEA435" w14:textId="77777777" w:rsidTr="00AD273D">
        <w:trPr>
          <w:trHeight w:val="291"/>
        </w:trPr>
        <w:tc>
          <w:tcPr>
            <w:tcW w:w="9190" w:type="dxa"/>
            <w:gridSpan w:val="2"/>
            <w:tcBorders>
              <w:top w:val="single" w:sz="4" w:space="0" w:color="000000"/>
              <w:left w:val="single" w:sz="4" w:space="0" w:color="000000"/>
              <w:bottom w:val="single" w:sz="4" w:space="0" w:color="000000"/>
              <w:right w:val="single" w:sz="4" w:space="0" w:color="000000"/>
            </w:tcBorders>
            <w:shd w:val="clear" w:color="auto" w:fill="auto"/>
          </w:tcPr>
          <w:p w14:paraId="58D679F3" w14:textId="77777777" w:rsidR="004D4940" w:rsidRPr="0096222E" w:rsidRDefault="004D4940" w:rsidP="00582277">
            <w:pPr>
              <w:snapToGrid w:val="0"/>
              <w:jc w:val="both"/>
              <w:rPr>
                <w:rFonts w:ascii="Arial" w:hAnsi="Arial" w:cs="Arial"/>
                <w:b/>
              </w:rPr>
            </w:pPr>
          </w:p>
          <w:p w14:paraId="37114C73" w14:textId="08A36FA8" w:rsidR="004D4940" w:rsidRPr="0096222E" w:rsidRDefault="004D4940" w:rsidP="00582277">
            <w:pPr>
              <w:jc w:val="both"/>
              <w:rPr>
                <w:rFonts w:ascii="Arial" w:hAnsi="Arial" w:cs="Arial"/>
                <w:b/>
              </w:rPr>
            </w:pPr>
            <w:r w:rsidRPr="0096222E">
              <w:rPr>
                <w:rFonts w:ascii="Arial" w:hAnsi="Arial" w:cs="Arial"/>
                <w:b/>
              </w:rPr>
              <w:t xml:space="preserve">Objet : </w:t>
            </w:r>
            <w:r w:rsidRPr="0096222E">
              <w:rPr>
                <w:rFonts w:ascii="Arial" w:hAnsi="Arial" w:cs="Arial"/>
              </w:rPr>
              <w:t xml:space="preserve">Réunion Plénière GT CNIG Géostandards </w:t>
            </w:r>
            <w:r w:rsidR="00677395" w:rsidRPr="0096222E">
              <w:rPr>
                <w:rFonts w:ascii="Arial" w:hAnsi="Arial" w:cs="Arial"/>
              </w:rPr>
              <w:t xml:space="preserve">risques </w:t>
            </w:r>
            <w:r w:rsidR="001049DF" w:rsidRPr="0096222E">
              <w:rPr>
                <w:rFonts w:ascii="Arial" w:hAnsi="Arial" w:cs="Arial"/>
              </w:rPr>
              <w:t xml:space="preserve">du </w:t>
            </w:r>
            <w:r w:rsidR="00296539" w:rsidRPr="0096222E">
              <w:rPr>
                <w:rFonts w:ascii="Arial" w:hAnsi="Arial" w:cs="Arial"/>
              </w:rPr>
              <w:t>mard</w:t>
            </w:r>
            <w:r w:rsidR="00860E8D" w:rsidRPr="0096222E">
              <w:rPr>
                <w:rFonts w:ascii="Arial" w:hAnsi="Arial" w:cs="Arial"/>
              </w:rPr>
              <w:t>i</w:t>
            </w:r>
            <w:r w:rsidRPr="0096222E">
              <w:rPr>
                <w:rFonts w:ascii="Arial" w:hAnsi="Arial" w:cs="Arial"/>
              </w:rPr>
              <w:t xml:space="preserve"> </w:t>
            </w:r>
            <w:r w:rsidR="00363F04">
              <w:rPr>
                <w:rFonts w:ascii="Arial" w:hAnsi="Arial" w:cs="Arial"/>
              </w:rPr>
              <w:t>05/06/2025</w:t>
            </w:r>
            <w:r w:rsidRPr="0096222E">
              <w:rPr>
                <w:rFonts w:ascii="Arial" w:hAnsi="Arial" w:cs="Arial"/>
              </w:rPr>
              <w:t xml:space="preserve"> de </w:t>
            </w:r>
            <w:r w:rsidR="00BC705C">
              <w:rPr>
                <w:rFonts w:ascii="Arial" w:hAnsi="Arial" w:cs="Arial"/>
              </w:rPr>
              <w:t>14</w:t>
            </w:r>
            <w:r w:rsidR="00D00448" w:rsidRPr="0096222E">
              <w:rPr>
                <w:rFonts w:ascii="Arial" w:hAnsi="Arial" w:cs="Arial"/>
              </w:rPr>
              <w:t>h</w:t>
            </w:r>
            <w:r w:rsidR="00BC705C">
              <w:rPr>
                <w:rFonts w:ascii="Arial" w:hAnsi="Arial" w:cs="Arial"/>
              </w:rPr>
              <w:t>0</w:t>
            </w:r>
            <w:r w:rsidR="001049DF" w:rsidRPr="0096222E">
              <w:rPr>
                <w:rFonts w:ascii="Arial" w:hAnsi="Arial" w:cs="Arial"/>
              </w:rPr>
              <w:t>0 à 1</w:t>
            </w:r>
            <w:r w:rsidR="00BC705C">
              <w:rPr>
                <w:rFonts w:ascii="Arial" w:hAnsi="Arial" w:cs="Arial"/>
              </w:rPr>
              <w:t>6</w:t>
            </w:r>
            <w:r w:rsidRPr="0096222E">
              <w:rPr>
                <w:rFonts w:ascii="Arial" w:hAnsi="Arial" w:cs="Arial"/>
              </w:rPr>
              <w:t>h</w:t>
            </w:r>
            <w:r w:rsidR="00BC705C">
              <w:rPr>
                <w:rFonts w:ascii="Arial" w:hAnsi="Arial" w:cs="Arial"/>
              </w:rPr>
              <w:t>0</w:t>
            </w:r>
            <w:r w:rsidR="00296539" w:rsidRPr="0096222E">
              <w:rPr>
                <w:rFonts w:ascii="Arial" w:hAnsi="Arial" w:cs="Arial"/>
              </w:rPr>
              <w:t>0</w:t>
            </w:r>
            <w:r w:rsidRPr="0096222E">
              <w:rPr>
                <w:rFonts w:ascii="Arial" w:hAnsi="Arial" w:cs="Arial"/>
              </w:rPr>
              <w:t>.</w:t>
            </w:r>
          </w:p>
        </w:tc>
      </w:tr>
    </w:tbl>
    <w:p w14:paraId="1FDE4339" w14:textId="77777777" w:rsidR="004D4940" w:rsidRPr="0096222E" w:rsidRDefault="004D4940" w:rsidP="00582277">
      <w:pPr>
        <w:jc w:val="both"/>
        <w:rPr>
          <w:rFonts w:ascii="Arial" w:hAnsi="Arial" w:cs="Arial"/>
        </w:rPr>
      </w:pPr>
    </w:p>
    <w:p w14:paraId="2CC59D80" w14:textId="77777777" w:rsidR="00180FB4" w:rsidRPr="0096222E" w:rsidRDefault="00180FB4" w:rsidP="00582277">
      <w:pPr>
        <w:jc w:val="both"/>
        <w:rPr>
          <w:rFonts w:ascii="Arial" w:hAnsi="Arial" w:cs="Arial"/>
          <w:b/>
        </w:rPr>
      </w:pPr>
      <w:r w:rsidRPr="0096222E">
        <w:rPr>
          <w:rFonts w:ascii="Arial" w:hAnsi="Arial" w:cs="Arial"/>
          <w:b/>
        </w:rPr>
        <w:t xml:space="preserve">Ordre du jour : </w:t>
      </w:r>
    </w:p>
    <w:p w14:paraId="6B47C7F2" w14:textId="35C9911A" w:rsidR="004C6E02" w:rsidRPr="004C6E02" w:rsidRDefault="004C6E02" w:rsidP="004C6E02">
      <w:pPr>
        <w:numPr>
          <w:ilvl w:val="0"/>
          <w:numId w:val="44"/>
        </w:numPr>
        <w:jc w:val="both"/>
        <w:rPr>
          <w:rFonts w:ascii="Arial" w:hAnsi="Arial" w:cs="Arial"/>
        </w:rPr>
      </w:pPr>
      <w:r w:rsidRPr="004C6E02">
        <w:rPr>
          <w:rFonts w:ascii="Arial" w:hAnsi="Arial" w:cs="Arial"/>
        </w:rPr>
        <w:t>Premiers retours et mise en œuvre du standard PPR</w:t>
      </w:r>
    </w:p>
    <w:p w14:paraId="3BCE751E" w14:textId="77777777" w:rsidR="004C6E02" w:rsidRPr="004C6E02" w:rsidRDefault="004C6E02" w:rsidP="004C6E02">
      <w:pPr>
        <w:numPr>
          <w:ilvl w:val="0"/>
          <w:numId w:val="44"/>
        </w:numPr>
        <w:jc w:val="both"/>
        <w:rPr>
          <w:rFonts w:ascii="Arial" w:hAnsi="Arial" w:cs="Arial"/>
        </w:rPr>
      </w:pPr>
      <w:bookmarkStart w:id="0" w:name="_Hlk200039517"/>
      <w:r w:rsidRPr="004C6E02">
        <w:rPr>
          <w:rFonts w:ascii="Arial" w:hAnsi="Arial" w:cs="Arial"/>
        </w:rPr>
        <w:t>Préparation des travaux sur la refonte du standard COVADIS TRI / Directive Inondation</w:t>
      </w:r>
    </w:p>
    <w:bookmarkEnd w:id="0"/>
    <w:p w14:paraId="2638E54E" w14:textId="77777777" w:rsidR="004C6E02" w:rsidRDefault="004C6E02" w:rsidP="004C6E02">
      <w:pPr>
        <w:jc w:val="both"/>
        <w:rPr>
          <w:rFonts w:ascii="Arial" w:hAnsi="Arial" w:cs="Arial"/>
        </w:rPr>
      </w:pPr>
    </w:p>
    <w:p w14:paraId="7274AFDE" w14:textId="61BB2129" w:rsidR="00D21D50" w:rsidRPr="0096222E" w:rsidRDefault="009A55A6" w:rsidP="004C6E02">
      <w:pPr>
        <w:rPr>
          <w:rFonts w:ascii="Arial" w:hAnsi="Arial" w:cs="Arial"/>
        </w:rPr>
      </w:pPr>
      <w:r w:rsidRPr="0096222E">
        <w:rPr>
          <w:rFonts w:ascii="Arial" w:hAnsi="Arial" w:cs="Arial"/>
        </w:rPr>
        <w:t xml:space="preserve">Accès au support </w:t>
      </w:r>
      <w:r w:rsidR="00296539" w:rsidRPr="0096222E">
        <w:rPr>
          <w:rFonts w:ascii="Arial" w:hAnsi="Arial" w:cs="Arial"/>
        </w:rPr>
        <w:t>de présentation</w:t>
      </w:r>
      <w:r w:rsidRPr="0096222E">
        <w:rPr>
          <w:rFonts w:ascii="Arial" w:hAnsi="Arial" w:cs="Arial"/>
        </w:rPr>
        <w:t xml:space="preserve"> disponible</w:t>
      </w:r>
      <w:r w:rsidR="004D4940" w:rsidRPr="0096222E">
        <w:rPr>
          <w:rFonts w:ascii="Arial" w:hAnsi="Arial" w:cs="Arial"/>
        </w:rPr>
        <w:t xml:space="preserve"> sur</w:t>
      </w:r>
      <w:r w:rsidRPr="0096222E">
        <w:rPr>
          <w:rFonts w:ascii="Arial" w:hAnsi="Arial" w:cs="Arial"/>
        </w:rPr>
        <w:t xml:space="preserve"> G</w:t>
      </w:r>
      <w:r w:rsidR="00D45ADB" w:rsidRPr="0096222E">
        <w:rPr>
          <w:rFonts w:ascii="Arial" w:hAnsi="Arial" w:cs="Arial"/>
        </w:rPr>
        <w:t>ithub :</w:t>
      </w:r>
      <w:r w:rsidR="001E4F33" w:rsidRPr="0096222E">
        <w:rPr>
          <w:rFonts w:ascii="Arial" w:hAnsi="Arial" w:cs="Arial"/>
        </w:rPr>
        <w:t xml:space="preserve"> </w:t>
      </w:r>
      <w:hyperlink r:id="rId11" w:history="1">
        <w:r w:rsidR="004C6E02" w:rsidRPr="00364857">
          <w:rPr>
            <w:rStyle w:val="Lienhypertexte"/>
          </w:rPr>
          <w:t>https://github.com/cnigfr/Geostandards-Risques/blob/main/suivi/2025-06-05-Pleniere-GT-Risques/2025-06-05-Pleniere-GT-Risques-SPP-25-0061.pdf</w:t>
        </w:r>
      </w:hyperlink>
      <w:r w:rsidR="004C6E02">
        <w:t xml:space="preserve"> </w:t>
      </w:r>
    </w:p>
    <w:p w14:paraId="018BD23C" w14:textId="77777777" w:rsidR="001E4F33" w:rsidRPr="0096222E" w:rsidRDefault="001E4F33" w:rsidP="00582277">
      <w:pPr>
        <w:jc w:val="both"/>
        <w:rPr>
          <w:rFonts w:ascii="Arial" w:hAnsi="Arial" w:cs="Arial"/>
        </w:rPr>
      </w:pPr>
      <w:r w:rsidRPr="0096222E">
        <w:rPr>
          <w:rFonts w:ascii="Arial" w:hAnsi="Arial" w:cs="Arial"/>
          <w:b/>
          <w:u w:val="single"/>
        </w:rPr>
        <w:t>Liste des participants</w:t>
      </w:r>
      <w:r w:rsidRPr="0096222E">
        <w:rPr>
          <w:rFonts w:ascii="Arial" w:hAnsi="Arial" w:cs="Arial"/>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58"/>
        <w:gridCol w:w="4668"/>
        <w:gridCol w:w="30"/>
      </w:tblGrid>
      <w:tr w:rsidR="001E4F33" w:rsidRPr="0096222E" w14:paraId="1CDF26B9" w14:textId="77777777" w:rsidTr="00F0345E">
        <w:trPr>
          <w:trHeight w:val="425"/>
        </w:trPr>
        <w:tc>
          <w:tcPr>
            <w:tcW w:w="4258" w:type="dxa"/>
            <w:shd w:val="clear" w:color="auto" w:fill="auto"/>
          </w:tcPr>
          <w:p w14:paraId="6C0D0190" w14:textId="77777777" w:rsidR="001E4F33" w:rsidRPr="0096222E" w:rsidRDefault="001E4F33" w:rsidP="00582277">
            <w:pPr>
              <w:spacing w:after="120" w:line="240" w:lineRule="auto"/>
              <w:jc w:val="both"/>
              <w:rPr>
                <w:rFonts w:ascii="Arial" w:hAnsi="Arial" w:cs="Arial"/>
                <w:i/>
              </w:rPr>
            </w:pPr>
            <w:r w:rsidRPr="0096222E">
              <w:rPr>
                <w:rFonts w:ascii="Arial" w:hAnsi="Arial" w:cs="Arial"/>
              </w:rPr>
              <w:t>Gilles Cébélieu</w:t>
            </w:r>
            <w:r w:rsidR="00615588" w:rsidRPr="0096222E">
              <w:rPr>
                <w:rFonts w:ascii="Arial" w:hAnsi="Arial" w:cs="Arial"/>
              </w:rPr>
              <w:t xml:space="preserve"> – IGN </w:t>
            </w:r>
            <w:r w:rsidR="00F13FE7" w:rsidRPr="0096222E">
              <w:rPr>
                <w:rFonts w:ascii="Arial" w:hAnsi="Arial" w:cs="Arial"/>
              </w:rPr>
              <w:t>–</w:t>
            </w:r>
            <w:r w:rsidR="00615588" w:rsidRPr="0096222E">
              <w:rPr>
                <w:rFonts w:ascii="Arial" w:hAnsi="Arial" w:cs="Arial"/>
              </w:rPr>
              <w:t xml:space="preserve"> </w:t>
            </w:r>
            <w:r w:rsidR="00615588" w:rsidRPr="0096222E">
              <w:rPr>
                <w:rFonts w:ascii="Arial" w:hAnsi="Arial" w:cs="Arial"/>
                <w:i/>
              </w:rPr>
              <w:t>Animateur</w:t>
            </w:r>
          </w:p>
          <w:p w14:paraId="285DB45B" w14:textId="130EF52D" w:rsidR="004C6E02" w:rsidRPr="00EF0FED" w:rsidRDefault="004C6E02" w:rsidP="00582277">
            <w:pPr>
              <w:spacing w:after="120" w:line="240" w:lineRule="auto"/>
              <w:jc w:val="both"/>
              <w:rPr>
                <w:rFonts w:ascii="Arial" w:hAnsi="Arial" w:cs="Arial"/>
              </w:rPr>
            </w:pPr>
            <w:r w:rsidRPr="00EF0FED">
              <w:rPr>
                <w:rFonts w:ascii="Arial" w:hAnsi="Arial" w:cs="Arial"/>
              </w:rPr>
              <w:t>Arnaud Gallais - Cerema</w:t>
            </w:r>
          </w:p>
          <w:p w14:paraId="1F1EECBE" w14:textId="0011079D" w:rsidR="00296539" w:rsidRPr="00EF0FED" w:rsidRDefault="00296539" w:rsidP="00582277">
            <w:pPr>
              <w:spacing w:after="120" w:line="240" w:lineRule="auto"/>
              <w:jc w:val="both"/>
              <w:rPr>
                <w:rFonts w:ascii="Arial" w:hAnsi="Arial" w:cs="Arial"/>
              </w:rPr>
            </w:pPr>
            <w:r w:rsidRPr="00EF0FED">
              <w:rPr>
                <w:rFonts w:ascii="Arial" w:hAnsi="Arial" w:cs="Arial"/>
              </w:rPr>
              <w:t>Nathalie O</w:t>
            </w:r>
            <w:r w:rsidR="00D71BB3" w:rsidRPr="00EF0FED">
              <w:rPr>
                <w:rFonts w:ascii="Arial" w:hAnsi="Arial" w:cs="Arial"/>
              </w:rPr>
              <w:t>rlhac – CCR</w:t>
            </w:r>
          </w:p>
          <w:p w14:paraId="50FE46EC" w14:textId="77777777" w:rsidR="00296539" w:rsidRDefault="00296539" w:rsidP="00582277">
            <w:pPr>
              <w:spacing w:after="120" w:line="240" w:lineRule="auto"/>
              <w:jc w:val="both"/>
              <w:rPr>
                <w:rFonts w:ascii="Arial" w:hAnsi="Arial" w:cs="Arial"/>
              </w:rPr>
            </w:pPr>
            <w:r w:rsidRPr="0096222E">
              <w:rPr>
                <w:rFonts w:ascii="Arial" w:hAnsi="Arial" w:cs="Arial"/>
              </w:rPr>
              <w:t>Nata</w:t>
            </w:r>
            <w:r w:rsidR="00D71BB3" w:rsidRPr="0096222E">
              <w:rPr>
                <w:rFonts w:ascii="Arial" w:hAnsi="Arial" w:cs="Arial"/>
              </w:rPr>
              <w:t>l</w:t>
            </w:r>
            <w:r w:rsidRPr="0096222E">
              <w:rPr>
                <w:rFonts w:ascii="Arial" w:hAnsi="Arial" w:cs="Arial"/>
              </w:rPr>
              <w:t xml:space="preserve">ie Fournel – DDT </w:t>
            </w:r>
            <w:r w:rsidR="00D71BB3" w:rsidRPr="0096222E">
              <w:rPr>
                <w:rFonts w:ascii="Arial" w:hAnsi="Arial" w:cs="Arial"/>
              </w:rPr>
              <w:t>4</w:t>
            </w:r>
            <w:r w:rsidRPr="0096222E">
              <w:rPr>
                <w:rFonts w:ascii="Arial" w:hAnsi="Arial" w:cs="Arial"/>
              </w:rPr>
              <w:t>2</w:t>
            </w:r>
          </w:p>
          <w:p w14:paraId="45F3A220" w14:textId="77777777" w:rsidR="00BC705C" w:rsidRPr="0096222E" w:rsidRDefault="00BC705C" w:rsidP="00BC705C">
            <w:pPr>
              <w:spacing w:after="120" w:line="240" w:lineRule="auto"/>
              <w:jc w:val="both"/>
              <w:rPr>
                <w:rFonts w:ascii="Arial" w:hAnsi="Arial" w:cs="Arial"/>
              </w:rPr>
            </w:pPr>
            <w:r w:rsidRPr="0096222E">
              <w:rPr>
                <w:rFonts w:ascii="Arial" w:hAnsi="Arial" w:cs="Arial"/>
              </w:rPr>
              <w:t>Stanislas BESSON - DDT 38</w:t>
            </w:r>
          </w:p>
          <w:p w14:paraId="2E9F9006" w14:textId="77777777" w:rsidR="00BC705C" w:rsidRPr="0096222E" w:rsidRDefault="00BC705C" w:rsidP="00BC705C">
            <w:pPr>
              <w:spacing w:after="120" w:line="240" w:lineRule="auto"/>
              <w:jc w:val="both"/>
              <w:rPr>
                <w:rFonts w:ascii="Arial" w:hAnsi="Arial" w:cs="Arial"/>
              </w:rPr>
            </w:pPr>
            <w:r w:rsidRPr="0096222E">
              <w:rPr>
                <w:rFonts w:ascii="Arial" w:hAnsi="Arial" w:cs="Arial"/>
              </w:rPr>
              <w:t>Jacques Bouffier – DGPR</w:t>
            </w:r>
            <w:r>
              <w:rPr>
                <w:rFonts w:ascii="Arial" w:hAnsi="Arial" w:cs="Arial"/>
              </w:rPr>
              <w:t>/BRIL</w:t>
            </w:r>
          </w:p>
          <w:p w14:paraId="1902BE4C" w14:textId="001FB39E" w:rsidR="00B9490E" w:rsidRPr="004C6E02" w:rsidRDefault="00BC705C" w:rsidP="00B9490E">
            <w:pPr>
              <w:spacing w:after="120" w:line="240" w:lineRule="auto"/>
              <w:jc w:val="both"/>
              <w:rPr>
                <w:rFonts w:ascii="Arial" w:hAnsi="Arial" w:cs="Arial"/>
                <w:lang w:val="en-US"/>
              </w:rPr>
            </w:pPr>
            <w:r w:rsidRPr="004C6E02">
              <w:rPr>
                <w:rFonts w:ascii="Arial" w:hAnsi="Arial" w:cs="Arial"/>
                <w:lang w:val="en-US"/>
              </w:rPr>
              <w:t xml:space="preserve">Yohann Evain </w:t>
            </w:r>
            <w:r w:rsidR="00B9490E" w:rsidRPr="004C6E02">
              <w:rPr>
                <w:rFonts w:ascii="Arial" w:hAnsi="Arial" w:cs="Arial"/>
                <w:lang w:val="en-US"/>
              </w:rPr>
              <w:t>–</w:t>
            </w:r>
            <w:r w:rsidRPr="004C6E02">
              <w:rPr>
                <w:rFonts w:ascii="Arial" w:hAnsi="Arial" w:cs="Arial"/>
                <w:lang w:val="en-US"/>
              </w:rPr>
              <w:t xml:space="preserve"> C</w:t>
            </w:r>
            <w:r w:rsidR="004C6E02" w:rsidRPr="004C6E02">
              <w:rPr>
                <w:rFonts w:ascii="Arial" w:hAnsi="Arial" w:cs="Arial"/>
                <w:lang w:val="en-US"/>
              </w:rPr>
              <w:t>erem</w:t>
            </w:r>
            <w:r w:rsidR="004C6E02">
              <w:rPr>
                <w:rFonts w:ascii="Arial" w:hAnsi="Arial" w:cs="Arial"/>
                <w:lang w:val="en-US"/>
              </w:rPr>
              <w:t>a</w:t>
            </w:r>
          </w:p>
          <w:p w14:paraId="40346148" w14:textId="6DE34BDE" w:rsidR="006A667D" w:rsidRPr="004C6E02" w:rsidRDefault="00B9490E" w:rsidP="00B9490E">
            <w:pPr>
              <w:spacing w:after="120" w:line="240" w:lineRule="auto"/>
              <w:jc w:val="both"/>
              <w:rPr>
                <w:rFonts w:ascii="Arial" w:hAnsi="Arial" w:cs="Arial"/>
                <w:lang w:val="en-US"/>
              </w:rPr>
            </w:pPr>
            <w:r w:rsidRPr="004C6E02">
              <w:rPr>
                <w:rFonts w:ascii="Arial" w:hAnsi="Arial" w:cs="Arial"/>
                <w:lang w:val="en-US"/>
              </w:rPr>
              <w:t xml:space="preserve">Manon Dessaud </w:t>
            </w:r>
            <w:r w:rsidR="006A667D" w:rsidRPr="004C6E02">
              <w:rPr>
                <w:rFonts w:ascii="Arial" w:hAnsi="Arial" w:cs="Arial"/>
                <w:lang w:val="en-US"/>
              </w:rPr>
              <w:t>- DDT 01</w:t>
            </w:r>
          </w:p>
        </w:tc>
        <w:tc>
          <w:tcPr>
            <w:tcW w:w="4668" w:type="dxa"/>
            <w:shd w:val="clear" w:color="auto" w:fill="auto"/>
          </w:tcPr>
          <w:p w14:paraId="5DC50535" w14:textId="56A39C14" w:rsidR="001049DF" w:rsidRPr="00EF0FED" w:rsidRDefault="00BC705C" w:rsidP="00BC705C">
            <w:pPr>
              <w:spacing w:after="120" w:line="240" w:lineRule="auto"/>
              <w:jc w:val="both"/>
              <w:rPr>
                <w:rFonts w:ascii="Arial" w:hAnsi="Arial" w:cs="Arial"/>
                <w:lang w:val="en-US"/>
              </w:rPr>
            </w:pPr>
            <w:r w:rsidRPr="00EF0FED">
              <w:rPr>
                <w:rFonts w:ascii="Arial" w:hAnsi="Arial" w:cs="Arial"/>
                <w:lang w:val="en-US"/>
              </w:rPr>
              <w:t>Benoît Morando – IGN</w:t>
            </w:r>
          </w:p>
          <w:p w14:paraId="73E32669" w14:textId="65FEEE83" w:rsidR="004C6E02" w:rsidRPr="00EF0FED" w:rsidRDefault="004C6E02" w:rsidP="00BC705C">
            <w:pPr>
              <w:spacing w:after="120" w:line="240" w:lineRule="auto"/>
              <w:jc w:val="both"/>
              <w:rPr>
                <w:rFonts w:ascii="Arial" w:hAnsi="Arial" w:cs="Arial"/>
                <w:lang w:val="en-US"/>
              </w:rPr>
            </w:pPr>
            <w:r w:rsidRPr="00EF0FED">
              <w:rPr>
                <w:rFonts w:ascii="Arial" w:hAnsi="Arial" w:cs="Arial"/>
                <w:lang w:val="en-US"/>
              </w:rPr>
              <w:t>Christophe Cazala – DDT65</w:t>
            </w:r>
          </w:p>
          <w:p w14:paraId="62DAD460" w14:textId="58351C61" w:rsidR="00BC705C" w:rsidRDefault="004C6E02" w:rsidP="00BC705C">
            <w:pPr>
              <w:spacing w:after="120" w:line="240" w:lineRule="auto"/>
              <w:jc w:val="both"/>
              <w:rPr>
                <w:rFonts w:ascii="Arial" w:hAnsi="Arial" w:cs="Arial"/>
              </w:rPr>
            </w:pPr>
            <w:r>
              <w:rPr>
                <w:rFonts w:ascii="Arial" w:hAnsi="Arial" w:cs="Arial"/>
              </w:rPr>
              <w:t xml:space="preserve">Corinne Bascoul </w:t>
            </w:r>
            <w:r w:rsidR="00601383">
              <w:rPr>
                <w:rFonts w:ascii="Arial" w:hAnsi="Arial" w:cs="Arial"/>
              </w:rPr>
              <w:t>– DDT 05</w:t>
            </w:r>
          </w:p>
          <w:p w14:paraId="088E8FD5" w14:textId="0005F195" w:rsidR="004C6E02" w:rsidRDefault="004C6E02" w:rsidP="00BC705C">
            <w:pPr>
              <w:spacing w:after="120" w:line="240" w:lineRule="auto"/>
              <w:jc w:val="both"/>
              <w:rPr>
                <w:rFonts w:ascii="Arial" w:hAnsi="Arial" w:cs="Arial"/>
              </w:rPr>
            </w:pPr>
            <w:r>
              <w:rPr>
                <w:rFonts w:ascii="Arial" w:hAnsi="Arial" w:cs="Arial"/>
              </w:rPr>
              <w:t>Vincent Deroeux – DREAL Hauts de France</w:t>
            </w:r>
          </w:p>
          <w:p w14:paraId="22215E69" w14:textId="761A6D50" w:rsidR="006A667D" w:rsidRDefault="004C6E02" w:rsidP="00601383">
            <w:pPr>
              <w:spacing w:after="120" w:line="240" w:lineRule="auto"/>
              <w:rPr>
                <w:rFonts w:ascii="Arial" w:hAnsi="Arial" w:cs="Arial"/>
              </w:rPr>
            </w:pPr>
            <w:r>
              <w:rPr>
                <w:rFonts w:ascii="Arial" w:hAnsi="Arial" w:cs="Arial"/>
              </w:rPr>
              <w:t>Bastien Coignon – DGPR/BRIL</w:t>
            </w:r>
          </w:p>
          <w:p w14:paraId="6EE08B3F" w14:textId="2B11401A" w:rsidR="004C6E02" w:rsidRDefault="003958E3" w:rsidP="00601383">
            <w:pPr>
              <w:spacing w:after="120" w:line="240" w:lineRule="auto"/>
              <w:rPr>
                <w:rFonts w:ascii="Arial" w:hAnsi="Arial" w:cs="Arial"/>
              </w:rPr>
            </w:pPr>
            <w:r>
              <w:rPr>
                <w:rFonts w:ascii="Arial" w:hAnsi="Arial" w:cs="Arial"/>
              </w:rPr>
              <w:t>Lionel Blaise – DDT 01</w:t>
            </w:r>
          </w:p>
          <w:p w14:paraId="21A84BFC" w14:textId="6B9C9585" w:rsidR="006A667D" w:rsidRPr="006A667D" w:rsidRDefault="003958E3" w:rsidP="003958E3">
            <w:pPr>
              <w:spacing w:after="120" w:line="240" w:lineRule="auto"/>
              <w:rPr>
                <w:rFonts w:ascii="Arial" w:hAnsi="Arial" w:cs="Arial"/>
              </w:rPr>
            </w:pPr>
            <w:r>
              <w:rPr>
                <w:rFonts w:ascii="Arial" w:hAnsi="Arial" w:cs="Arial"/>
              </w:rPr>
              <w:t>Jean-Michel Daux – DDT 01</w:t>
            </w:r>
          </w:p>
        </w:tc>
        <w:tc>
          <w:tcPr>
            <w:tcW w:w="30" w:type="dxa"/>
            <w:shd w:val="clear" w:color="auto" w:fill="auto"/>
          </w:tcPr>
          <w:p w14:paraId="5077BECA" w14:textId="77777777" w:rsidR="001E4F33" w:rsidRPr="0096222E" w:rsidRDefault="001E4F33" w:rsidP="00582277">
            <w:pPr>
              <w:snapToGrid w:val="0"/>
              <w:spacing w:line="240" w:lineRule="auto"/>
              <w:jc w:val="both"/>
              <w:rPr>
                <w:rFonts w:ascii="Arial" w:hAnsi="Arial" w:cs="Arial"/>
                <w:b/>
              </w:rPr>
            </w:pPr>
          </w:p>
        </w:tc>
      </w:tr>
    </w:tbl>
    <w:p w14:paraId="37DD4ACB" w14:textId="77777777" w:rsidR="00314A72" w:rsidRPr="0096222E" w:rsidRDefault="00314A72" w:rsidP="00582277">
      <w:pPr>
        <w:tabs>
          <w:tab w:val="left" w:pos="6234"/>
        </w:tabs>
        <w:jc w:val="both"/>
        <w:rPr>
          <w:rFonts w:ascii="Arial" w:hAnsi="Arial" w:cs="Arial"/>
        </w:rPr>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645"/>
        <w:gridCol w:w="4309"/>
      </w:tblGrid>
      <w:tr w:rsidR="00CA1879" w:rsidRPr="0096222E" w14:paraId="650280E7" w14:textId="77777777" w:rsidTr="006C2387">
        <w:trPr>
          <w:trHeight w:val="560"/>
        </w:trPr>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8B2171" w14:textId="77777777" w:rsidR="00CA1879" w:rsidRPr="0096222E" w:rsidRDefault="00E66F3F" w:rsidP="0055074B">
            <w:pPr>
              <w:spacing w:after="0" w:line="240" w:lineRule="auto"/>
              <w:rPr>
                <w:rFonts w:ascii="Arial" w:eastAsia="Times New Roman" w:hAnsi="Arial" w:cs="Arial"/>
                <w:color w:val="000000"/>
              </w:rPr>
            </w:pPr>
            <w:r w:rsidRPr="0096222E">
              <w:rPr>
                <w:rFonts w:ascii="Arial" w:eastAsia="Times New Roman" w:hAnsi="Arial" w:cs="Arial"/>
                <w:color w:val="000000"/>
              </w:rPr>
              <w:lastRenderedPageBreak/>
              <w:t>Première version</w:t>
            </w:r>
            <w:r w:rsidR="00CA1879" w:rsidRPr="0096222E">
              <w:rPr>
                <w:rFonts w:ascii="Arial" w:eastAsia="Times New Roman" w:hAnsi="Arial" w:cs="Arial"/>
                <w:color w:val="000000"/>
              </w:rPr>
              <w:t xml:space="preserve"> du compte-rendu</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EC1C5" w14:textId="2A202D8E" w:rsidR="00CA1879" w:rsidRPr="0096222E" w:rsidRDefault="003958E3" w:rsidP="00582277">
            <w:pPr>
              <w:spacing w:after="0" w:line="240" w:lineRule="auto"/>
              <w:jc w:val="both"/>
              <w:rPr>
                <w:rFonts w:ascii="Arial" w:eastAsia="Times New Roman" w:hAnsi="Arial" w:cs="Arial"/>
                <w:color w:val="000000"/>
              </w:rPr>
            </w:pPr>
            <w:r>
              <w:rPr>
                <w:rFonts w:ascii="Arial" w:eastAsia="Times New Roman" w:hAnsi="Arial" w:cs="Arial"/>
                <w:color w:val="000000"/>
              </w:rPr>
              <w:t>0</w:t>
            </w:r>
            <w:r w:rsidR="00AB230B">
              <w:rPr>
                <w:rFonts w:ascii="Arial" w:eastAsia="Times New Roman" w:hAnsi="Arial" w:cs="Arial"/>
                <w:color w:val="000000"/>
              </w:rPr>
              <w:t>6</w:t>
            </w:r>
            <w:r w:rsidR="006A667D">
              <w:rPr>
                <w:rFonts w:ascii="Arial" w:eastAsia="Times New Roman" w:hAnsi="Arial" w:cs="Arial"/>
                <w:color w:val="000000"/>
              </w:rPr>
              <w:t>/0</w:t>
            </w:r>
            <w:r>
              <w:rPr>
                <w:rFonts w:ascii="Arial" w:eastAsia="Times New Roman" w:hAnsi="Arial" w:cs="Arial"/>
                <w:color w:val="000000"/>
              </w:rPr>
              <w:t>6</w:t>
            </w:r>
            <w:r w:rsidR="006A667D">
              <w:rPr>
                <w:rFonts w:ascii="Arial" w:eastAsia="Times New Roman" w:hAnsi="Arial" w:cs="Arial"/>
                <w:color w:val="000000"/>
              </w:rPr>
              <w:t>/202</w:t>
            </w:r>
            <w:r>
              <w:rPr>
                <w:rFonts w:ascii="Arial" w:eastAsia="Times New Roman" w:hAnsi="Arial" w:cs="Arial"/>
                <w:color w:val="000000"/>
              </w:rPr>
              <w:t>5</w:t>
            </w:r>
          </w:p>
        </w:tc>
        <w:tc>
          <w:tcPr>
            <w:tcW w:w="4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C749E" w14:textId="1CFE0D19" w:rsidR="00CA1879" w:rsidRPr="0096222E" w:rsidRDefault="006A667D" w:rsidP="00582277">
            <w:pPr>
              <w:spacing w:after="0" w:line="240" w:lineRule="auto"/>
              <w:jc w:val="both"/>
              <w:rPr>
                <w:rFonts w:ascii="Arial" w:eastAsia="Times New Roman" w:hAnsi="Arial" w:cs="Arial"/>
                <w:color w:val="000000"/>
              </w:rPr>
            </w:pPr>
            <w:r>
              <w:rPr>
                <w:rFonts w:ascii="Arial" w:eastAsia="Times New Roman" w:hAnsi="Arial" w:cs="Arial"/>
                <w:color w:val="000000"/>
              </w:rPr>
              <w:t>Gilles Cébélieu</w:t>
            </w:r>
          </w:p>
        </w:tc>
      </w:tr>
      <w:tr w:rsidR="00CA1879" w:rsidRPr="0096222E" w14:paraId="478C5304" w14:textId="77777777" w:rsidTr="006C2387">
        <w:trPr>
          <w:trHeight w:val="570"/>
        </w:trPr>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7FDE7" w14:textId="77777777" w:rsidR="00CA1879" w:rsidRPr="0096222E" w:rsidRDefault="00CA1879" w:rsidP="00582277">
            <w:pPr>
              <w:spacing w:after="0" w:line="240" w:lineRule="auto"/>
              <w:jc w:val="both"/>
              <w:rPr>
                <w:rFonts w:ascii="Arial" w:eastAsia="Times New Roman" w:hAnsi="Arial" w:cs="Arial"/>
                <w:color w:val="000000"/>
              </w:rPr>
            </w:pPr>
            <w:r w:rsidRPr="0096222E">
              <w:rPr>
                <w:rFonts w:ascii="Arial" w:eastAsia="Times New Roman" w:hAnsi="Arial" w:cs="Arial"/>
                <w:color w:val="000000"/>
                <w:lang w:val="en-US"/>
              </w:rPr>
              <w:t>Validation du compte-rendu</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74548C" w14:textId="34FC5E89" w:rsidR="00CA1879" w:rsidRPr="006A667D" w:rsidRDefault="008311DC" w:rsidP="00582277">
            <w:pPr>
              <w:spacing w:after="0" w:line="240" w:lineRule="auto"/>
              <w:jc w:val="both"/>
              <w:rPr>
                <w:rFonts w:ascii="Arial" w:eastAsia="Times New Roman" w:hAnsi="Arial" w:cs="Arial"/>
                <w:color w:val="000000"/>
                <w:highlight w:val="yellow"/>
              </w:rPr>
            </w:pPr>
            <w:r w:rsidRPr="008311DC">
              <w:rPr>
                <w:rFonts w:ascii="Arial" w:eastAsia="Times New Roman" w:hAnsi="Arial" w:cs="Arial"/>
                <w:color w:val="000000"/>
              </w:rPr>
              <w:t>30/06/2025</w:t>
            </w:r>
          </w:p>
        </w:tc>
        <w:tc>
          <w:tcPr>
            <w:tcW w:w="4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C393B" w14:textId="77777777" w:rsidR="00CA1879" w:rsidRPr="0096222E" w:rsidRDefault="00E66F3F" w:rsidP="00582277">
            <w:pPr>
              <w:spacing w:after="0" w:line="240" w:lineRule="auto"/>
              <w:jc w:val="both"/>
              <w:rPr>
                <w:rFonts w:ascii="Arial" w:eastAsia="Times New Roman" w:hAnsi="Arial" w:cs="Arial"/>
                <w:color w:val="000000"/>
              </w:rPr>
            </w:pPr>
            <w:r w:rsidRPr="0096222E">
              <w:rPr>
                <w:rFonts w:ascii="Arial" w:eastAsia="Times New Roman" w:hAnsi="Arial" w:cs="Arial"/>
                <w:color w:val="000000"/>
              </w:rPr>
              <w:t>Groupe de travail</w:t>
            </w:r>
          </w:p>
        </w:tc>
      </w:tr>
      <w:tr w:rsidR="00CA1879" w:rsidRPr="0096222E" w14:paraId="5B61C203" w14:textId="77777777" w:rsidTr="006C2387">
        <w:trPr>
          <w:trHeight w:val="570"/>
        </w:trPr>
        <w:tc>
          <w:tcPr>
            <w:tcW w:w="893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FE766DC" w14:textId="17769186" w:rsidR="00BF61C8" w:rsidRPr="0096222E" w:rsidRDefault="00BF61C8" w:rsidP="00BF61C8">
            <w:pPr>
              <w:jc w:val="both"/>
              <w:rPr>
                <w:rFonts w:ascii="Arial" w:eastAsia="Times New Roman" w:hAnsi="Arial" w:cs="Arial"/>
                <w:color w:val="000000"/>
              </w:rPr>
            </w:pPr>
            <w:r w:rsidRPr="00BF61C8">
              <w:rPr>
                <w:rFonts w:ascii="Arial" w:hAnsi="Arial" w:cs="Arial"/>
                <w:bCs/>
              </w:rPr>
              <w:t xml:space="preserve">La prochaine </w:t>
            </w:r>
            <w:r>
              <w:rPr>
                <w:rFonts w:ascii="Arial" w:hAnsi="Arial" w:cs="Arial"/>
                <w:bCs/>
              </w:rPr>
              <w:t>réunion plénière du GT aura lieu en visioconférence le mardi 7 octobre de 9h30 à 11h30.</w:t>
            </w:r>
          </w:p>
        </w:tc>
      </w:tr>
    </w:tbl>
    <w:p w14:paraId="466B9A09" w14:textId="77777777" w:rsidR="003958E3" w:rsidRDefault="003958E3" w:rsidP="003958E3"/>
    <w:p w14:paraId="505CE0DA" w14:textId="0CA80339" w:rsidR="00AC2AE5" w:rsidRPr="00A82548" w:rsidRDefault="003958E3" w:rsidP="00582277">
      <w:pPr>
        <w:pStyle w:val="Titre1"/>
        <w:jc w:val="both"/>
        <w:rPr>
          <w:rFonts w:ascii="Arial" w:hAnsi="Arial" w:cs="Arial"/>
        </w:rPr>
      </w:pPr>
      <w:r w:rsidRPr="003958E3">
        <w:rPr>
          <w:rFonts w:ascii="Arial" w:hAnsi="Arial" w:cs="Arial"/>
        </w:rPr>
        <w:t>Préparation des travaux sur la refonte du standard COVADIS TRI / Directive Inondation</w:t>
      </w:r>
    </w:p>
    <w:p w14:paraId="4E96EF77" w14:textId="1DF614FD" w:rsidR="003958E3" w:rsidRDefault="003958E3" w:rsidP="00582277">
      <w:pPr>
        <w:jc w:val="both"/>
        <w:rPr>
          <w:rFonts w:ascii="Arial" w:hAnsi="Arial" w:cs="Arial"/>
          <w:i/>
        </w:rPr>
      </w:pPr>
      <w:r>
        <w:rPr>
          <w:rFonts w:ascii="Arial" w:hAnsi="Arial" w:cs="Arial"/>
          <w:i/>
        </w:rPr>
        <w:t>(Diapositives #19 à #28)</w:t>
      </w:r>
    </w:p>
    <w:p w14:paraId="4DCE9EAB" w14:textId="70BADBF4" w:rsidR="00FA308F" w:rsidRDefault="00390444" w:rsidP="00FA308F">
      <w:r>
        <w:t xml:space="preserve">Sur le contexte (diapositive #21), il est précisé que le cycle 3 est en cours avec des moyens limités, même avec des productions limitées au scénario moyen issu des PPRI, les TRI produits ont du mal à passer la validation. Le processus de mise en œuvre et publication des TRI qui est montré en diapositive #21 correspond aux cycles 1 et 2 et a évolué sur le cycle 3 où </w:t>
      </w:r>
      <w:r w:rsidR="0014796E">
        <w:t xml:space="preserve">même si la responsabilité reste au niveau des DREALs, </w:t>
      </w:r>
      <w:r>
        <w:t>les DDTs sont mises à contribution dans le cadre de la mise à jour des PPRI utilisés pour réviser les TRI.</w:t>
      </w:r>
    </w:p>
    <w:p w14:paraId="7953038B" w14:textId="1116B3FF" w:rsidR="00FA308F" w:rsidRDefault="00F008A4" w:rsidP="00FA308F">
      <w:r>
        <w:t xml:space="preserve">Il est aussi suggéré d’élargir l’audience du GT, qui est majoritairement constitué de représentants de DDT, à des représentants de la sécurité civile, du ministère de l’intérieur, et aux DREALs. Une communication dans les lettres d’actualités du CNIG pourra être faite sur le démarrage des travaux sur la directive </w:t>
      </w:r>
      <w:r w:rsidR="0020799C">
        <w:t>inondation</w:t>
      </w:r>
      <w:r>
        <w:t>.</w:t>
      </w:r>
    </w:p>
    <w:p w14:paraId="11AEE0E1" w14:textId="77777777" w:rsidR="0020799C" w:rsidRDefault="00F008A4" w:rsidP="0020799C">
      <w:r>
        <w:t>Concernant les objectifs de la refonte</w:t>
      </w:r>
      <w:r w:rsidR="0020799C">
        <w:t xml:space="preserve"> (diapositive #26)</w:t>
      </w:r>
      <w:r>
        <w:t xml:space="preserve">, </w:t>
      </w:r>
      <w:r w:rsidR="0020799C">
        <w:t>enjeux</w:t>
      </w:r>
      <w:r>
        <w:t xml:space="preserve"> principaux</w:t>
      </w:r>
      <w:r w:rsidR="0020799C">
        <w:t xml:space="preserve"> qui ressortent des échanges sont :</w:t>
      </w:r>
    </w:p>
    <w:p w14:paraId="619CB59C" w14:textId="14D5F8AE" w:rsidR="0020799C" w:rsidRDefault="0020799C" w:rsidP="0020799C">
      <w:pPr>
        <w:pStyle w:val="Paragraphedeliste"/>
        <w:numPr>
          <w:ilvl w:val="0"/>
          <w:numId w:val="44"/>
        </w:numPr>
      </w:pPr>
      <w:r>
        <w:t>L’harmonisation avec le Standard PPRI notamment pour limiter les différences et de pouvoir réutiliser les données des PPR pour les TRI (en particulier sur les aléas et enjeux) et aligner les attentes de qualité entre les deux standards afin de ne pas avoir à retravailler les géométries pour passer de l’un à l’autre ;</w:t>
      </w:r>
    </w:p>
    <w:p w14:paraId="3DF87699" w14:textId="27225E8D" w:rsidR="0020799C" w:rsidRDefault="0020799C" w:rsidP="0020799C">
      <w:pPr>
        <w:pStyle w:val="Paragraphedeliste"/>
        <w:numPr>
          <w:ilvl w:val="0"/>
          <w:numId w:val="44"/>
        </w:numPr>
      </w:pPr>
      <w:r>
        <w:t>Sur l’implémentation, il sera important de bien préciser les éléments obligatoires et optionnels afin de savoir sur quels éléments l’attention devra être portée ;</w:t>
      </w:r>
    </w:p>
    <w:p w14:paraId="63DE1032" w14:textId="2EBB4288" w:rsidR="002A224E" w:rsidRDefault="002A224E" w:rsidP="0020799C">
      <w:pPr>
        <w:pStyle w:val="Paragraphedeliste"/>
        <w:numPr>
          <w:ilvl w:val="0"/>
          <w:numId w:val="44"/>
        </w:numPr>
      </w:pPr>
      <w:r>
        <w:t>Sur les autres aspects :</w:t>
      </w:r>
    </w:p>
    <w:p w14:paraId="6C921778" w14:textId="33384363" w:rsidR="0020799C" w:rsidRDefault="008169E7" w:rsidP="002A224E">
      <w:pPr>
        <w:pStyle w:val="Paragraphedeliste"/>
        <w:numPr>
          <w:ilvl w:val="1"/>
          <w:numId w:val="44"/>
        </w:numPr>
      </w:pPr>
      <w:r>
        <w:t>Il</w:t>
      </w:r>
      <w:r w:rsidR="00A462A2">
        <w:t xml:space="preserve"> y a un enjeu important au</w:t>
      </w:r>
      <w:r w:rsidR="0020799C">
        <w:t xml:space="preserve"> niveau de l’accompagnement pour faciliter la transition des anciens TRI vers les</w:t>
      </w:r>
      <w:r w:rsidR="00A462A2">
        <w:t xml:space="preserve"> le nouveau standard mais aussi </w:t>
      </w:r>
      <w:r w:rsidR="002A224E">
        <w:t>pour l’adaptation des outils qui exploitent les TRIs COVADIS (cf. plugin AgiRisk développé par le Cerema) ;</w:t>
      </w:r>
    </w:p>
    <w:p w14:paraId="10F9A29A" w14:textId="2603CF20" w:rsidR="002A224E" w:rsidRDefault="002A224E" w:rsidP="002A224E">
      <w:pPr>
        <w:pStyle w:val="Paragraphedeliste"/>
        <w:numPr>
          <w:ilvl w:val="1"/>
          <w:numId w:val="44"/>
        </w:numPr>
      </w:pPr>
      <w:r>
        <w:t>Un autre enjeu est de disposer d’un nouveau standard qui perme</w:t>
      </w:r>
      <w:r w:rsidR="00EF0FED">
        <w:t>t</w:t>
      </w:r>
      <w:r>
        <w:t>t</w:t>
      </w:r>
      <w:r w:rsidR="00EF0FED">
        <w:t>e</w:t>
      </w:r>
      <w:r>
        <w:t xml:space="preserve"> de produire des données qui s’y conforment (cf. les difficultés actuelles à produire des TRI conformes au standard actuel dans le cadre du cycle 3).</w:t>
      </w:r>
    </w:p>
    <w:p w14:paraId="29217E1F" w14:textId="7CDFDD4E" w:rsidR="0020799C" w:rsidRDefault="00EF0FED" w:rsidP="00FA308F">
      <w:r>
        <w:t xml:space="preserve">Concernant l’approche proposée pour la refonte (diapositive #27), le principe d’un questionnaire sur l’utilisation du standard et le retour d’expérience à diffuser auprès des DREALs est approuvé. Il sera </w:t>
      </w:r>
      <w:r>
        <w:lastRenderedPageBreak/>
        <w:t xml:space="preserve">fait en collaboration avec le </w:t>
      </w:r>
      <w:r w:rsidR="002A7360">
        <w:t>B</w:t>
      </w:r>
      <w:r w:rsidR="002A7360" w:rsidRPr="002A7360">
        <w:t xml:space="preserve">ureau des </w:t>
      </w:r>
      <w:r w:rsidR="002A7360">
        <w:t>R</w:t>
      </w:r>
      <w:r w:rsidR="002A7360" w:rsidRPr="002A7360">
        <w:t>isques d'</w:t>
      </w:r>
      <w:r w:rsidR="002A7360">
        <w:t>I</w:t>
      </w:r>
      <w:r w:rsidR="002A7360" w:rsidRPr="002A7360">
        <w:t xml:space="preserve">nondation et </w:t>
      </w:r>
      <w:r w:rsidR="002A7360">
        <w:t>L</w:t>
      </w:r>
      <w:r w:rsidR="002A7360" w:rsidRPr="002A7360">
        <w:t xml:space="preserve">ittoraux </w:t>
      </w:r>
      <w:r w:rsidR="002A7360">
        <w:t>(</w:t>
      </w:r>
      <w:r>
        <w:t>BRIL</w:t>
      </w:r>
      <w:r w:rsidR="002A7360">
        <w:t xml:space="preserve">) </w:t>
      </w:r>
      <w:r>
        <w:t>qui pourra mobiliser les DREALs pour y répondre.</w:t>
      </w:r>
    </w:p>
    <w:p w14:paraId="259F36B2" w14:textId="36595DEF" w:rsidR="00FF1748" w:rsidRDefault="00FF1748" w:rsidP="00FA308F">
      <w:r>
        <w:t>Il est aussi suggéré d’élargir le principe de sondage aux utilisateurs des TRI (bureaux d’études,</w:t>
      </w:r>
      <w:r w:rsidR="00CD117C">
        <w:t xml:space="preserve"> .</w:t>
      </w:r>
      <w:r>
        <w:t>..) pour avoir un retour autre que celui des producteurs.</w:t>
      </w:r>
    </w:p>
    <w:p w14:paraId="316F18A3" w14:textId="50BFA51F" w:rsidR="00FA308F" w:rsidRPr="00CD117C" w:rsidRDefault="001276F5" w:rsidP="00CD117C">
      <w:r>
        <w:t>Concernant le nom du standard et le dépôt Github associé, le nom « Directive Inondation (DI) » utilisé pour le standard COVADIS peut prêter à confusion car l</w:t>
      </w:r>
      <w:r w:rsidR="002A7360">
        <w:t>a</w:t>
      </w:r>
      <w:r>
        <w:t xml:space="preserve"> Directive Inondation couvre aussi d’autres données de rapportage que celles des Territoires à Risques d’Inondation.</w:t>
      </w:r>
      <w:r w:rsidR="004E4C1D">
        <w:t xml:space="preserve"> Il est convenu de changer de nom, le nom « TRI » pourrait aussi être trop réducteur si la refonte </w:t>
      </w:r>
      <w:r w:rsidR="00640416">
        <w:t xml:space="preserve">du standard </w:t>
      </w:r>
      <w:r w:rsidR="004E4C1D">
        <w:t>devait intégrer aussi les EAIP (Enveloppe Approchée des Inondations Potentielles)</w:t>
      </w:r>
      <w:r w:rsidR="00FD70EE">
        <w:t>, ce qui est une possibilité à confirmer. L</w:t>
      </w:r>
      <w:r w:rsidR="004E4C1D">
        <w:t xml:space="preserve">e nom « cartographie DI » est évoqué. </w:t>
      </w:r>
      <w:r w:rsidR="00640416">
        <w:t>Une consultation du groupe sera faite avant de choisir le nom du standard.</w:t>
      </w:r>
    </w:p>
    <w:p w14:paraId="1CBC0423" w14:textId="5F448C9C" w:rsidR="00FA308F" w:rsidRDefault="00FA308F" w:rsidP="00FA308F">
      <w:pPr>
        <w:rPr>
          <w:rFonts w:ascii="Arial" w:eastAsiaTheme="majorEastAsia" w:hAnsi="Arial" w:cs="Arial"/>
          <w:b/>
          <w:bCs/>
          <w:color w:val="365F91" w:themeColor="accent1" w:themeShade="BF"/>
          <w:sz w:val="28"/>
          <w:szCs w:val="28"/>
        </w:rPr>
      </w:pPr>
      <w:r w:rsidRPr="00FA308F">
        <w:rPr>
          <w:rFonts w:ascii="Arial" w:eastAsiaTheme="majorEastAsia" w:hAnsi="Arial" w:cs="Arial"/>
          <w:b/>
          <w:bCs/>
          <w:color w:val="365F91" w:themeColor="accent1" w:themeShade="BF"/>
          <w:sz w:val="28"/>
          <w:szCs w:val="28"/>
        </w:rPr>
        <w:t>Premiers retours et mise en œuvre du standard PPR</w:t>
      </w:r>
    </w:p>
    <w:p w14:paraId="63D3147C" w14:textId="6F893844" w:rsidR="00FA308F" w:rsidRDefault="00FA308F" w:rsidP="00FA308F">
      <w:pPr>
        <w:rPr>
          <w:rFonts w:ascii="Arial" w:eastAsiaTheme="majorEastAsia" w:hAnsi="Arial" w:cs="Arial"/>
          <w:b/>
          <w:bCs/>
          <w:color w:val="365F91" w:themeColor="accent1" w:themeShade="BF"/>
          <w:sz w:val="28"/>
          <w:szCs w:val="28"/>
        </w:rPr>
      </w:pPr>
      <w:r>
        <w:rPr>
          <w:rFonts w:ascii="Arial" w:hAnsi="Arial" w:cs="Arial"/>
          <w:i/>
        </w:rPr>
        <w:t>(Diapositives #4 à #17)</w:t>
      </w:r>
    </w:p>
    <w:p w14:paraId="299D98A7" w14:textId="5CC88D3F" w:rsidR="00FA308F" w:rsidRDefault="00E95D1F" w:rsidP="00FA308F">
      <w:r>
        <w:t>Concernant l’ajout des nomenclatures d’enjeux dans le registre du Geocatalogue (diapositive #6), l’utilisation de cet outil est questionnée dans la mesure où il est difficile d’avoir la main sur le contenu. La possibilité de définir un registre pour le CNIG, éventuellement géré avec Github, est évoquée et à discuter dans le cadre des travaux de la fabrique des standards.</w:t>
      </w:r>
    </w:p>
    <w:p w14:paraId="14DF87DA" w14:textId="2E212E91" w:rsidR="00E95D1F" w:rsidRDefault="00E95D1F" w:rsidP="00FA308F">
      <w:r>
        <w:t xml:space="preserve">Les modifications effectuées sur le standard depuis sa publication (diapositives #7 à #9) ainsi que la proposition de renommage du champ « desc » </w:t>
      </w:r>
      <w:r w:rsidR="00310939">
        <w:t>en</w:t>
      </w:r>
      <w:r>
        <w:t xml:space="preserve"> « descript » pour le format shapefile sont approuvées par le groupe. Une proposition de publication de version correctrice (1.0.1) sera faite au CNIG pour la commission des standards du 12 juin.</w:t>
      </w:r>
    </w:p>
    <w:p w14:paraId="111A12A0" w14:textId="41DC81F8" w:rsidR="00534B8C" w:rsidRDefault="00534B8C" w:rsidP="00FA308F">
      <w:r>
        <w:t xml:space="preserve">La proposition de réorganisation du dépôt github Geostandards-risques en plusieurs </w:t>
      </w:r>
      <w:r w:rsidR="002A7360">
        <w:t>dépôts</w:t>
      </w:r>
      <w:r>
        <w:t xml:space="preserve"> github associés chacun à un standard (diapositive #12) est acceptée par le groupe.</w:t>
      </w:r>
      <w:r w:rsidR="002A7360">
        <w:t xml:space="preserve"> Cette proposition a pour but de permettre le référencement des standards CNIG dans la plateforme data.gouv.fr.</w:t>
      </w:r>
    </w:p>
    <w:p w14:paraId="37DB1BEE" w14:textId="776FA501" w:rsidR="00580973" w:rsidRDefault="00580973" w:rsidP="00FA308F">
      <w:r>
        <w:t>L’effort de fourniture de gabarits GeoPackage pour le standard (diapositive #13) est salué.</w:t>
      </w:r>
    </w:p>
    <w:p w14:paraId="6AF4BC0C" w14:textId="68F4DC17" w:rsidR="00580973" w:rsidRDefault="00580973" w:rsidP="00FA308F">
      <w:r>
        <w:t>La possibilité de valider les données du nouveau standard PPR aux formats GeoPackage et Shapefile a été intégrée à l’interface de démonstration du validateur IGN</w:t>
      </w:r>
      <w:r w:rsidR="002A7360">
        <w:t xml:space="preserve"> : </w:t>
      </w:r>
      <w:hyperlink r:id="rId12" w:anchor="/" w:history="1">
        <w:r w:rsidR="002A7360" w:rsidRPr="00A40686">
          <w:rPr>
            <w:rStyle w:val="Lienhypertexte"/>
          </w:rPr>
          <w:t>https://demo-validator.ign.fr/#/</w:t>
        </w:r>
      </w:hyperlink>
      <w:r w:rsidR="002A7360">
        <w:t xml:space="preserve"> </w:t>
      </w:r>
      <w:r>
        <w:t>(#diapositive #15). Même s’il ne s’agit pas d’un outil de production, les DDT(M)s sont invitées à l’utiliser en beta testeur à l’occasion de la mise en œuvre de leurs PPR au nouveau standard et à faire part de leurs retours</w:t>
      </w:r>
      <w:r w:rsidR="00534B8C">
        <w:t>.</w:t>
      </w:r>
      <w:r w:rsidR="00DB4B6F">
        <w:t xml:space="preserve"> Il est précisé que le validateur ne traite pas les métadonnées associées aux </w:t>
      </w:r>
      <w:r w:rsidR="002A7360">
        <w:t>données</w:t>
      </w:r>
      <w:r w:rsidR="00DB4B6F">
        <w:t>.</w:t>
      </w:r>
    </w:p>
    <w:p w14:paraId="1BA2F2B2" w14:textId="52F18222" w:rsidR="00534B8C" w:rsidRDefault="00534B8C" w:rsidP="00FA308F">
      <w:r>
        <w:t xml:space="preserve">Il est indiqué que la fourniture d’un schema au formalisme attendu par schema.data.gouv.fr permet d’avoir aussi une fonctionnalité de validation associée à ce schéma. Ce n’est pas l’approche qui a été faite dans le cadre du standard PPR qui n’utilise pas ce formalisme. </w:t>
      </w:r>
      <w:r w:rsidR="00DB4B6F">
        <w:t>U</w:t>
      </w:r>
      <w:r>
        <w:t xml:space="preserve">n effort conséquent </w:t>
      </w:r>
      <w:r w:rsidR="00DB4B6F">
        <w:t xml:space="preserve">serait nécessaire pour le mettre en </w:t>
      </w:r>
      <w:r w:rsidR="002A7360">
        <w:t>œuvre</w:t>
      </w:r>
      <w:r w:rsidR="00DB4B6F">
        <w:t>.</w:t>
      </w:r>
    </w:p>
    <w:p w14:paraId="7C8ABCEB" w14:textId="717E8119" w:rsidR="002A7360" w:rsidRPr="00FA308F" w:rsidRDefault="00A33639" w:rsidP="00FA308F">
      <w:r>
        <w:t xml:space="preserve">Dans les autres sujets PPR (diapositive #17), il est rappelé le projet </w:t>
      </w:r>
      <w:r w:rsidR="002A7360">
        <w:t>« </w:t>
      </w:r>
      <w:r>
        <w:t>Sweet Pepper</w:t>
      </w:r>
      <w:r w:rsidR="002A7360">
        <w:t> »</w:t>
      </w:r>
      <w:r>
        <w:t xml:space="preserve"> en cours qui vise à harmoniser </w:t>
      </w:r>
      <w:r w:rsidR="0088094C">
        <w:t xml:space="preserve">à un niveau national </w:t>
      </w:r>
      <w:r>
        <w:t xml:space="preserve">les PPR </w:t>
      </w:r>
      <w:r w:rsidR="0088094C">
        <w:t xml:space="preserve">existants </w:t>
      </w:r>
      <w:r>
        <w:t xml:space="preserve">au standard COVADIS avec la perspective </w:t>
      </w:r>
      <w:r>
        <w:lastRenderedPageBreak/>
        <w:t xml:space="preserve">d’une transformation au nouveau standard. Les nouveaux dossiers en cours d’instruction </w:t>
      </w:r>
      <w:r w:rsidR="002A7DC6">
        <w:t xml:space="preserve">à la DDT 38 </w:t>
      </w:r>
      <w:r>
        <w:t xml:space="preserve">ont intégré </w:t>
      </w:r>
      <w:r w:rsidR="002A7DC6">
        <w:t>le nouveau standard dans leur cahier des charges.</w:t>
      </w:r>
    </w:p>
    <w:p w14:paraId="042683B6" w14:textId="1A0307A4" w:rsidR="0031484F" w:rsidRDefault="00FA308F" w:rsidP="008E0441">
      <w:pPr>
        <w:pStyle w:val="Titre1"/>
      </w:pPr>
      <w:r>
        <w:t>Prochaine plénière</w:t>
      </w:r>
    </w:p>
    <w:p w14:paraId="56C67B0D" w14:textId="02917C44" w:rsidR="0031484F" w:rsidRDefault="0031484F" w:rsidP="0031484F">
      <w:pPr>
        <w:widowControl w:val="0"/>
        <w:suppressAutoHyphens/>
        <w:spacing w:after="0" w:line="240" w:lineRule="auto"/>
        <w:jc w:val="both"/>
        <w:rPr>
          <w:rFonts w:ascii="Arial" w:hAnsi="Arial" w:cs="Arial"/>
          <w:kern w:val="2"/>
          <w:szCs w:val="24"/>
        </w:rPr>
      </w:pPr>
    </w:p>
    <w:p w14:paraId="36085DED" w14:textId="33E8C4BE" w:rsidR="00AD76E7" w:rsidRPr="00DB4B6F" w:rsidRDefault="008E0441" w:rsidP="00DB4B6F">
      <w:r>
        <w:t xml:space="preserve">La prochaine réunion plénière sera à programmer </w:t>
      </w:r>
      <w:r w:rsidR="00FA308F">
        <w:t>vers la fin de la première phase de consolidation du besoin de la refonte DI, fin septembre / début octobre 2025. Un sondage sera envoyé au groupe pour choisir la date. Il faudra solliciter la participation des DREALs qui participent actuellement à l’actualisation des TRI dans le cadre du cycle 3 de la directive.</w:t>
      </w:r>
    </w:p>
    <w:sectPr w:rsidR="00AD76E7" w:rsidRPr="00DB4B6F">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B77E2" w14:textId="77777777" w:rsidR="006A7A2F" w:rsidRDefault="006A7A2F" w:rsidP="00F34C76">
      <w:pPr>
        <w:spacing w:after="0" w:line="240" w:lineRule="auto"/>
      </w:pPr>
      <w:r>
        <w:separator/>
      </w:r>
    </w:p>
  </w:endnote>
  <w:endnote w:type="continuationSeparator" w:id="0">
    <w:p w14:paraId="7553F15F" w14:textId="77777777" w:rsidR="006A7A2F" w:rsidRDefault="006A7A2F" w:rsidP="00F3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90B1" w14:textId="77777777" w:rsidR="00593FC4" w:rsidRDefault="00593FC4">
    <w:pPr>
      <w:pStyle w:val="Pieddepage"/>
      <w:rPr>
        <w:rFonts w:ascii="Arial" w:hAnsi="Arial" w:cs="Arial"/>
      </w:rPr>
    </w:pPr>
  </w:p>
  <w:p w14:paraId="05DB9DDC" w14:textId="77777777" w:rsidR="00593FC4" w:rsidRDefault="00593FC4">
    <w:pPr>
      <w:pStyle w:val="Pieddepage"/>
      <w:rPr>
        <w:rFonts w:ascii="Arial" w:hAnsi="Arial" w:cs="Arial"/>
      </w:rPr>
    </w:pPr>
    <w:r>
      <w:rPr>
        <w:rFonts w:ascii="Arial" w:hAnsi="Arial" w:cs="Arial"/>
      </w:rPr>
      <w:t xml:space="preserve">SPP/ Compte-Rendu de la réunion plénière sur la refonte des géostandards </w:t>
    </w:r>
    <w:r w:rsidRPr="00F34C76">
      <w:rPr>
        <w:rFonts w:ascii="Arial" w:hAnsi="Arial" w:cs="Arial"/>
      </w:rPr>
      <w:fldChar w:fldCharType="begin"/>
    </w:r>
    <w:r w:rsidRPr="00F34C76">
      <w:rPr>
        <w:rFonts w:ascii="Arial" w:hAnsi="Arial" w:cs="Arial"/>
      </w:rPr>
      <w:instrText>PAGE   \* MERGEFORMAT</w:instrText>
    </w:r>
    <w:r w:rsidRPr="00F34C76">
      <w:rPr>
        <w:rFonts w:ascii="Arial" w:hAnsi="Arial" w:cs="Arial"/>
      </w:rPr>
      <w:fldChar w:fldCharType="separate"/>
    </w:r>
    <w:r w:rsidR="000B40E8">
      <w:rPr>
        <w:rFonts w:ascii="Arial" w:hAnsi="Arial" w:cs="Arial"/>
        <w:noProof/>
      </w:rPr>
      <w:t>7</w:t>
    </w:r>
    <w:r w:rsidRPr="00F34C76">
      <w:rPr>
        <w:rFonts w:ascii="Arial" w:hAnsi="Arial" w:cs="Arial"/>
      </w:rPr>
      <w:fldChar w:fldCharType="end"/>
    </w:r>
  </w:p>
  <w:p w14:paraId="5543C64E" w14:textId="77777777" w:rsidR="00593FC4" w:rsidRPr="00F34C76" w:rsidRDefault="00593FC4">
    <w:pPr>
      <w:pStyle w:val="Pieddepage"/>
      <w:rPr>
        <w:rFonts w:ascii="Arial" w:hAnsi="Arial" w:cs="Arial"/>
      </w:rPr>
    </w:pPr>
  </w:p>
  <w:p w14:paraId="241B7FD2" w14:textId="77777777" w:rsidR="00593FC4" w:rsidRDefault="00593FC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07EFB" w14:textId="77777777" w:rsidR="006A7A2F" w:rsidRDefault="006A7A2F" w:rsidP="00F34C76">
      <w:pPr>
        <w:spacing w:after="0" w:line="240" w:lineRule="auto"/>
      </w:pPr>
      <w:r>
        <w:separator/>
      </w:r>
    </w:p>
  </w:footnote>
  <w:footnote w:type="continuationSeparator" w:id="0">
    <w:p w14:paraId="5FC420FF" w14:textId="77777777" w:rsidR="006A7A2F" w:rsidRDefault="006A7A2F" w:rsidP="00F34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7238"/>
    <w:multiLevelType w:val="hybridMultilevel"/>
    <w:tmpl w:val="7226A394"/>
    <w:lvl w:ilvl="0" w:tplc="CD9447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3C757C"/>
    <w:multiLevelType w:val="hybridMultilevel"/>
    <w:tmpl w:val="ECEA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C7392"/>
    <w:multiLevelType w:val="hybridMultilevel"/>
    <w:tmpl w:val="F770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E4B1A"/>
    <w:multiLevelType w:val="hybridMultilevel"/>
    <w:tmpl w:val="3F1ECA38"/>
    <w:lvl w:ilvl="0" w:tplc="CD944738">
      <w:start w:val="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346BB"/>
    <w:multiLevelType w:val="hybridMultilevel"/>
    <w:tmpl w:val="B5262884"/>
    <w:lvl w:ilvl="0" w:tplc="938029F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EF5288"/>
    <w:multiLevelType w:val="hybridMultilevel"/>
    <w:tmpl w:val="A02417F8"/>
    <w:lvl w:ilvl="0" w:tplc="0626541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014EE9"/>
    <w:multiLevelType w:val="hybridMultilevel"/>
    <w:tmpl w:val="FC307366"/>
    <w:lvl w:ilvl="0" w:tplc="CD94473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393122"/>
    <w:multiLevelType w:val="hybridMultilevel"/>
    <w:tmpl w:val="FBE05BD6"/>
    <w:lvl w:ilvl="0" w:tplc="5C6866A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55384"/>
    <w:multiLevelType w:val="hybridMultilevel"/>
    <w:tmpl w:val="ACAE0710"/>
    <w:lvl w:ilvl="0" w:tplc="46744EC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1F9F5211"/>
    <w:multiLevelType w:val="hybridMultilevel"/>
    <w:tmpl w:val="E3F6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95A89"/>
    <w:multiLevelType w:val="hybridMultilevel"/>
    <w:tmpl w:val="4790DDB8"/>
    <w:lvl w:ilvl="0" w:tplc="8B62D20A">
      <w:numFmt w:val="bullet"/>
      <w:lvlText w:val="-"/>
      <w:lvlJc w:val="left"/>
      <w:pPr>
        <w:ind w:left="420" w:hanging="360"/>
      </w:pPr>
      <w:rPr>
        <w:rFonts w:ascii="Arial" w:eastAsiaTheme="minorHAnsi" w:hAnsi="Aria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1" w15:restartNumberingAfterBreak="0">
    <w:nsid w:val="2912404F"/>
    <w:multiLevelType w:val="hybridMultilevel"/>
    <w:tmpl w:val="EAAA34D4"/>
    <w:lvl w:ilvl="0" w:tplc="1E809F26">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B593D52"/>
    <w:multiLevelType w:val="hybridMultilevel"/>
    <w:tmpl w:val="86EE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F22B9"/>
    <w:multiLevelType w:val="hybridMultilevel"/>
    <w:tmpl w:val="63E4A1DC"/>
    <w:lvl w:ilvl="0" w:tplc="938029F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912D74"/>
    <w:multiLevelType w:val="hybridMultilevel"/>
    <w:tmpl w:val="B97C5D44"/>
    <w:lvl w:ilvl="0" w:tplc="938029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A36E55"/>
    <w:multiLevelType w:val="hybridMultilevel"/>
    <w:tmpl w:val="24B0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63636"/>
    <w:multiLevelType w:val="hybridMultilevel"/>
    <w:tmpl w:val="4F52751C"/>
    <w:lvl w:ilvl="0" w:tplc="87A658BA">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38D63BD0"/>
    <w:multiLevelType w:val="hybridMultilevel"/>
    <w:tmpl w:val="D1DC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E77C4"/>
    <w:multiLevelType w:val="hybridMultilevel"/>
    <w:tmpl w:val="39C0E75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F014B7"/>
    <w:multiLevelType w:val="hybridMultilevel"/>
    <w:tmpl w:val="B626550E"/>
    <w:lvl w:ilvl="0" w:tplc="CD944738">
      <w:start w:val="1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2667B09"/>
    <w:multiLevelType w:val="hybridMultilevel"/>
    <w:tmpl w:val="CE60A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2E20C6D"/>
    <w:multiLevelType w:val="hybridMultilevel"/>
    <w:tmpl w:val="B714EA2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2" w15:restartNumberingAfterBreak="0">
    <w:nsid w:val="45243738"/>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364418"/>
    <w:multiLevelType w:val="hybridMultilevel"/>
    <w:tmpl w:val="F69073E4"/>
    <w:lvl w:ilvl="0" w:tplc="938029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89A069C"/>
    <w:multiLevelType w:val="hybridMultilevel"/>
    <w:tmpl w:val="9914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615FA3"/>
    <w:multiLevelType w:val="hybridMultilevel"/>
    <w:tmpl w:val="90BABF26"/>
    <w:lvl w:ilvl="0" w:tplc="CD9447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B111156"/>
    <w:multiLevelType w:val="hybridMultilevel"/>
    <w:tmpl w:val="95D6E212"/>
    <w:lvl w:ilvl="0" w:tplc="1F5C4CB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F012AA2"/>
    <w:multiLevelType w:val="hybridMultilevel"/>
    <w:tmpl w:val="71509B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773D4"/>
    <w:multiLevelType w:val="hybridMultilevel"/>
    <w:tmpl w:val="D7520BD0"/>
    <w:lvl w:ilvl="0" w:tplc="5C6866A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7A4C52"/>
    <w:multiLevelType w:val="hybridMultilevel"/>
    <w:tmpl w:val="CC626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613FB2"/>
    <w:multiLevelType w:val="hybridMultilevel"/>
    <w:tmpl w:val="56DC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6A61ED"/>
    <w:multiLevelType w:val="hybridMultilevel"/>
    <w:tmpl w:val="6F64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930B33"/>
    <w:multiLevelType w:val="hybridMultilevel"/>
    <w:tmpl w:val="CA70EA1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7146D19"/>
    <w:multiLevelType w:val="hybridMultilevel"/>
    <w:tmpl w:val="F6083D82"/>
    <w:lvl w:ilvl="0" w:tplc="CAF0D4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5C0BDE"/>
    <w:multiLevelType w:val="hybridMultilevel"/>
    <w:tmpl w:val="22382EB8"/>
    <w:lvl w:ilvl="0" w:tplc="CD9447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8AF71F3"/>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393BD6"/>
    <w:multiLevelType w:val="hybridMultilevel"/>
    <w:tmpl w:val="FBF0BFD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D8B741C"/>
    <w:multiLevelType w:val="hybridMultilevel"/>
    <w:tmpl w:val="F6F0E47E"/>
    <w:lvl w:ilvl="0" w:tplc="CD94473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FD2510C"/>
    <w:multiLevelType w:val="hybridMultilevel"/>
    <w:tmpl w:val="AFC4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34461"/>
    <w:multiLevelType w:val="hybridMultilevel"/>
    <w:tmpl w:val="75DE356C"/>
    <w:lvl w:ilvl="0" w:tplc="E014E65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4460FF"/>
    <w:multiLevelType w:val="hybridMultilevel"/>
    <w:tmpl w:val="B33214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6043CAA"/>
    <w:multiLevelType w:val="hybridMultilevel"/>
    <w:tmpl w:val="2B2A5188"/>
    <w:lvl w:ilvl="0" w:tplc="764E31C8">
      <w:numFmt w:val="bullet"/>
      <w:lvlText w:val=""/>
      <w:lvlJc w:val="left"/>
      <w:pPr>
        <w:ind w:left="360" w:hanging="360"/>
      </w:pPr>
      <w:rPr>
        <w:rFonts w:ascii="Wingdings" w:eastAsiaTheme="minorHAnsi" w:hAnsi="Wingdings"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2" w15:restartNumberingAfterBreak="0">
    <w:nsid w:val="7AA71E2A"/>
    <w:multiLevelType w:val="hybridMultilevel"/>
    <w:tmpl w:val="E47E7172"/>
    <w:lvl w:ilvl="0" w:tplc="0409000F">
      <w:start w:val="1"/>
      <w:numFmt w:val="decimal"/>
      <w:lvlText w:val="%1."/>
      <w:lvlJc w:val="left"/>
      <w:pPr>
        <w:ind w:left="1569" w:hanging="360"/>
      </w:pPr>
    </w:lvl>
    <w:lvl w:ilvl="1" w:tplc="04090019" w:tentative="1">
      <w:start w:val="1"/>
      <w:numFmt w:val="lowerLetter"/>
      <w:lvlText w:val="%2."/>
      <w:lvlJc w:val="left"/>
      <w:pPr>
        <w:ind w:left="2289" w:hanging="360"/>
      </w:pPr>
    </w:lvl>
    <w:lvl w:ilvl="2" w:tplc="0409001B" w:tentative="1">
      <w:start w:val="1"/>
      <w:numFmt w:val="lowerRoman"/>
      <w:lvlText w:val="%3."/>
      <w:lvlJc w:val="right"/>
      <w:pPr>
        <w:ind w:left="3009" w:hanging="180"/>
      </w:pPr>
    </w:lvl>
    <w:lvl w:ilvl="3" w:tplc="0409000F" w:tentative="1">
      <w:start w:val="1"/>
      <w:numFmt w:val="decimal"/>
      <w:lvlText w:val="%4."/>
      <w:lvlJc w:val="left"/>
      <w:pPr>
        <w:ind w:left="3729" w:hanging="360"/>
      </w:pPr>
    </w:lvl>
    <w:lvl w:ilvl="4" w:tplc="04090019" w:tentative="1">
      <w:start w:val="1"/>
      <w:numFmt w:val="lowerLetter"/>
      <w:lvlText w:val="%5."/>
      <w:lvlJc w:val="left"/>
      <w:pPr>
        <w:ind w:left="4449" w:hanging="360"/>
      </w:pPr>
    </w:lvl>
    <w:lvl w:ilvl="5" w:tplc="0409001B" w:tentative="1">
      <w:start w:val="1"/>
      <w:numFmt w:val="lowerRoman"/>
      <w:lvlText w:val="%6."/>
      <w:lvlJc w:val="right"/>
      <w:pPr>
        <w:ind w:left="5169" w:hanging="180"/>
      </w:pPr>
    </w:lvl>
    <w:lvl w:ilvl="6" w:tplc="0409000F" w:tentative="1">
      <w:start w:val="1"/>
      <w:numFmt w:val="decimal"/>
      <w:lvlText w:val="%7."/>
      <w:lvlJc w:val="left"/>
      <w:pPr>
        <w:ind w:left="5889" w:hanging="360"/>
      </w:pPr>
    </w:lvl>
    <w:lvl w:ilvl="7" w:tplc="04090019" w:tentative="1">
      <w:start w:val="1"/>
      <w:numFmt w:val="lowerLetter"/>
      <w:lvlText w:val="%8."/>
      <w:lvlJc w:val="left"/>
      <w:pPr>
        <w:ind w:left="6609" w:hanging="360"/>
      </w:pPr>
    </w:lvl>
    <w:lvl w:ilvl="8" w:tplc="0409001B" w:tentative="1">
      <w:start w:val="1"/>
      <w:numFmt w:val="lowerRoman"/>
      <w:lvlText w:val="%9."/>
      <w:lvlJc w:val="right"/>
      <w:pPr>
        <w:ind w:left="7329" w:hanging="180"/>
      </w:pPr>
    </w:lvl>
  </w:abstractNum>
  <w:abstractNum w:abstractNumId="43" w15:restartNumberingAfterBreak="0">
    <w:nsid w:val="7F842DD9"/>
    <w:multiLevelType w:val="hybridMultilevel"/>
    <w:tmpl w:val="9EBE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9"/>
  </w:num>
  <w:num w:numId="3">
    <w:abstractNumId w:val="35"/>
  </w:num>
  <w:num w:numId="4">
    <w:abstractNumId w:val="21"/>
  </w:num>
  <w:num w:numId="5">
    <w:abstractNumId w:val="22"/>
  </w:num>
  <w:num w:numId="6">
    <w:abstractNumId w:val="23"/>
  </w:num>
  <w:num w:numId="7">
    <w:abstractNumId w:val="41"/>
  </w:num>
  <w:num w:numId="8">
    <w:abstractNumId w:val="16"/>
  </w:num>
  <w:num w:numId="9">
    <w:abstractNumId w:val="18"/>
  </w:num>
  <w:num w:numId="10">
    <w:abstractNumId w:val="17"/>
  </w:num>
  <w:num w:numId="11">
    <w:abstractNumId w:val="7"/>
  </w:num>
  <w:num w:numId="12">
    <w:abstractNumId w:val="28"/>
  </w:num>
  <w:num w:numId="13">
    <w:abstractNumId w:val="1"/>
  </w:num>
  <w:num w:numId="14">
    <w:abstractNumId w:val="12"/>
  </w:num>
  <w:num w:numId="15">
    <w:abstractNumId w:val="42"/>
  </w:num>
  <w:num w:numId="16">
    <w:abstractNumId w:val="14"/>
  </w:num>
  <w:num w:numId="17">
    <w:abstractNumId w:val="13"/>
  </w:num>
  <w:num w:numId="18">
    <w:abstractNumId w:val="4"/>
  </w:num>
  <w:num w:numId="19">
    <w:abstractNumId w:val="33"/>
  </w:num>
  <w:num w:numId="20">
    <w:abstractNumId w:val="2"/>
  </w:num>
  <w:num w:numId="21">
    <w:abstractNumId w:val="27"/>
  </w:num>
  <w:num w:numId="22">
    <w:abstractNumId w:val="9"/>
  </w:num>
  <w:num w:numId="23">
    <w:abstractNumId w:val="15"/>
  </w:num>
  <w:num w:numId="24">
    <w:abstractNumId w:val="43"/>
  </w:num>
  <w:num w:numId="25">
    <w:abstractNumId w:val="38"/>
  </w:num>
  <w:num w:numId="26">
    <w:abstractNumId w:val="3"/>
  </w:num>
  <w:num w:numId="27">
    <w:abstractNumId w:val="30"/>
  </w:num>
  <w:num w:numId="28">
    <w:abstractNumId w:val="37"/>
  </w:num>
  <w:num w:numId="29">
    <w:abstractNumId w:val="24"/>
  </w:num>
  <w:num w:numId="30">
    <w:abstractNumId w:val="6"/>
  </w:num>
  <w:num w:numId="31">
    <w:abstractNumId w:val="31"/>
  </w:num>
  <w:num w:numId="32">
    <w:abstractNumId w:val="25"/>
  </w:num>
  <w:num w:numId="33">
    <w:abstractNumId w:val="34"/>
  </w:num>
  <w:num w:numId="34">
    <w:abstractNumId w:val="0"/>
  </w:num>
  <w:num w:numId="35">
    <w:abstractNumId w:val="20"/>
  </w:num>
  <w:num w:numId="36">
    <w:abstractNumId w:val="36"/>
  </w:num>
  <w:num w:numId="37">
    <w:abstractNumId w:val="19"/>
  </w:num>
  <w:num w:numId="38">
    <w:abstractNumId w:val="32"/>
  </w:num>
  <w:num w:numId="39">
    <w:abstractNumId w:val="40"/>
  </w:num>
  <w:num w:numId="40">
    <w:abstractNumId w:val="26"/>
  </w:num>
  <w:num w:numId="41">
    <w:abstractNumId w:val="5"/>
  </w:num>
  <w:num w:numId="42">
    <w:abstractNumId w:val="10"/>
  </w:num>
  <w:num w:numId="43">
    <w:abstractNumId w:val="11"/>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A72"/>
    <w:rsid w:val="00013AFB"/>
    <w:rsid w:val="00020DF7"/>
    <w:rsid w:val="000218F9"/>
    <w:rsid w:val="000265C2"/>
    <w:rsid w:val="00027DCF"/>
    <w:rsid w:val="000336F5"/>
    <w:rsid w:val="00046741"/>
    <w:rsid w:val="00047381"/>
    <w:rsid w:val="0005222E"/>
    <w:rsid w:val="00053E84"/>
    <w:rsid w:val="00055726"/>
    <w:rsid w:val="00062785"/>
    <w:rsid w:val="000662B7"/>
    <w:rsid w:val="000707EC"/>
    <w:rsid w:val="0008517D"/>
    <w:rsid w:val="00093A20"/>
    <w:rsid w:val="000A0198"/>
    <w:rsid w:val="000A4745"/>
    <w:rsid w:val="000A4902"/>
    <w:rsid w:val="000A61DF"/>
    <w:rsid w:val="000B40E8"/>
    <w:rsid w:val="000B5D62"/>
    <w:rsid w:val="000B5FBD"/>
    <w:rsid w:val="000C0C88"/>
    <w:rsid w:val="000C1B99"/>
    <w:rsid w:val="000C5D88"/>
    <w:rsid w:val="000C66F7"/>
    <w:rsid w:val="000C7254"/>
    <w:rsid w:val="000D5AB8"/>
    <w:rsid w:val="000E0FE6"/>
    <w:rsid w:val="000E1567"/>
    <w:rsid w:val="000E32E7"/>
    <w:rsid w:val="000E5277"/>
    <w:rsid w:val="000E5D03"/>
    <w:rsid w:val="000F0CFE"/>
    <w:rsid w:val="000F59BA"/>
    <w:rsid w:val="00100274"/>
    <w:rsid w:val="001049DF"/>
    <w:rsid w:val="00105CDB"/>
    <w:rsid w:val="00107DF5"/>
    <w:rsid w:val="00112B5F"/>
    <w:rsid w:val="00115AFC"/>
    <w:rsid w:val="00122C2C"/>
    <w:rsid w:val="00123C0C"/>
    <w:rsid w:val="001241C9"/>
    <w:rsid w:val="001276F5"/>
    <w:rsid w:val="0013198B"/>
    <w:rsid w:val="00145527"/>
    <w:rsid w:val="0014603D"/>
    <w:rsid w:val="0014796E"/>
    <w:rsid w:val="00147E71"/>
    <w:rsid w:val="00152D00"/>
    <w:rsid w:val="0015395E"/>
    <w:rsid w:val="001669C9"/>
    <w:rsid w:val="0017070C"/>
    <w:rsid w:val="001763D3"/>
    <w:rsid w:val="00180FB4"/>
    <w:rsid w:val="001820F0"/>
    <w:rsid w:val="0018695C"/>
    <w:rsid w:val="00186B94"/>
    <w:rsid w:val="00187973"/>
    <w:rsid w:val="001A29D9"/>
    <w:rsid w:val="001A5605"/>
    <w:rsid w:val="001A6F5E"/>
    <w:rsid w:val="001A78ED"/>
    <w:rsid w:val="001B03A9"/>
    <w:rsid w:val="001B1B39"/>
    <w:rsid w:val="001B7EF1"/>
    <w:rsid w:val="001C6366"/>
    <w:rsid w:val="001C7EA3"/>
    <w:rsid w:val="001D0837"/>
    <w:rsid w:val="001E1E56"/>
    <w:rsid w:val="001E329F"/>
    <w:rsid w:val="001E422D"/>
    <w:rsid w:val="001E4F33"/>
    <w:rsid w:val="0020078F"/>
    <w:rsid w:val="00205E77"/>
    <w:rsid w:val="00206DDF"/>
    <w:rsid w:val="0020799C"/>
    <w:rsid w:val="002129A6"/>
    <w:rsid w:val="00215A12"/>
    <w:rsid w:val="00215E6D"/>
    <w:rsid w:val="00220481"/>
    <w:rsid w:val="00220685"/>
    <w:rsid w:val="00235EA2"/>
    <w:rsid w:val="00235EB1"/>
    <w:rsid w:val="0024137A"/>
    <w:rsid w:val="00256C44"/>
    <w:rsid w:val="002728E5"/>
    <w:rsid w:val="00277A9D"/>
    <w:rsid w:val="00280BDB"/>
    <w:rsid w:val="00293F89"/>
    <w:rsid w:val="00294692"/>
    <w:rsid w:val="00296539"/>
    <w:rsid w:val="002A0074"/>
    <w:rsid w:val="002A01AE"/>
    <w:rsid w:val="002A0BFA"/>
    <w:rsid w:val="002A224E"/>
    <w:rsid w:val="002A569F"/>
    <w:rsid w:val="002A70B9"/>
    <w:rsid w:val="002A7360"/>
    <w:rsid w:val="002A7DC6"/>
    <w:rsid w:val="002B367C"/>
    <w:rsid w:val="002B508B"/>
    <w:rsid w:val="002C2F24"/>
    <w:rsid w:val="002C5DD1"/>
    <w:rsid w:val="002D1BF8"/>
    <w:rsid w:val="002E32E4"/>
    <w:rsid w:val="002F3506"/>
    <w:rsid w:val="0030302F"/>
    <w:rsid w:val="00310939"/>
    <w:rsid w:val="0031484F"/>
    <w:rsid w:val="00314A72"/>
    <w:rsid w:val="00316CBD"/>
    <w:rsid w:val="00321C34"/>
    <w:rsid w:val="00323452"/>
    <w:rsid w:val="00325F4F"/>
    <w:rsid w:val="00326F83"/>
    <w:rsid w:val="003312BD"/>
    <w:rsid w:val="00334F4E"/>
    <w:rsid w:val="00337CCB"/>
    <w:rsid w:val="00341206"/>
    <w:rsid w:val="003416B7"/>
    <w:rsid w:val="0034367D"/>
    <w:rsid w:val="0034633B"/>
    <w:rsid w:val="0034662D"/>
    <w:rsid w:val="0034742D"/>
    <w:rsid w:val="003476BF"/>
    <w:rsid w:val="0035082E"/>
    <w:rsid w:val="0035170E"/>
    <w:rsid w:val="00352592"/>
    <w:rsid w:val="003608F3"/>
    <w:rsid w:val="00363F04"/>
    <w:rsid w:val="00364789"/>
    <w:rsid w:val="00381677"/>
    <w:rsid w:val="0038392A"/>
    <w:rsid w:val="00385A97"/>
    <w:rsid w:val="00390444"/>
    <w:rsid w:val="003958E3"/>
    <w:rsid w:val="003959B5"/>
    <w:rsid w:val="00396A2C"/>
    <w:rsid w:val="00396D33"/>
    <w:rsid w:val="00396E52"/>
    <w:rsid w:val="003A1645"/>
    <w:rsid w:val="003B6496"/>
    <w:rsid w:val="003C7F68"/>
    <w:rsid w:val="003D6C1F"/>
    <w:rsid w:val="003D7E4E"/>
    <w:rsid w:val="003E057D"/>
    <w:rsid w:val="003F0D2C"/>
    <w:rsid w:val="003F4290"/>
    <w:rsid w:val="003F4B80"/>
    <w:rsid w:val="00410490"/>
    <w:rsid w:val="004164AC"/>
    <w:rsid w:val="0042012B"/>
    <w:rsid w:val="0042032A"/>
    <w:rsid w:val="00425905"/>
    <w:rsid w:val="00432764"/>
    <w:rsid w:val="00433BBF"/>
    <w:rsid w:val="0043700A"/>
    <w:rsid w:val="004411A4"/>
    <w:rsid w:val="00442B84"/>
    <w:rsid w:val="00442D3E"/>
    <w:rsid w:val="0045367B"/>
    <w:rsid w:val="00453EFA"/>
    <w:rsid w:val="004576DD"/>
    <w:rsid w:val="0045784D"/>
    <w:rsid w:val="004602B2"/>
    <w:rsid w:val="00462532"/>
    <w:rsid w:val="004707A6"/>
    <w:rsid w:val="00474322"/>
    <w:rsid w:val="00475DB8"/>
    <w:rsid w:val="00482B54"/>
    <w:rsid w:val="004838D9"/>
    <w:rsid w:val="00487F28"/>
    <w:rsid w:val="00491F03"/>
    <w:rsid w:val="004943F2"/>
    <w:rsid w:val="004A0FDB"/>
    <w:rsid w:val="004B1A2D"/>
    <w:rsid w:val="004B1DC2"/>
    <w:rsid w:val="004B4FD4"/>
    <w:rsid w:val="004B5889"/>
    <w:rsid w:val="004C09E7"/>
    <w:rsid w:val="004C6E02"/>
    <w:rsid w:val="004D1C6E"/>
    <w:rsid w:val="004D241C"/>
    <w:rsid w:val="004D4940"/>
    <w:rsid w:val="004E3D02"/>
    <w:rsid w:val="004E4C1D"/>
    <w:rsid w:val="005027A9"/>
    <w:rsid w:val="00514B69"/>
    <w:rsid w:val="005176E5"/>
    <w:rsid w:val="005230ED"/>
    <w:rsid w:val="00534B8C"/>
    <w:rsid w:val="00542A41"/>
    <w:rsid w:val="00543955"/>
    <w:rsid w:val="005458DD"/>
    <w:rsid w:val="00547BE9"/>
    <w:rsid w:val="0055074B"/>
    <w:rsid w:val="0055356F"/>
    <w:rsid w:val="0055547B"/>
    <w:rsid w:val="005620CA"/>
    <w:rsid w:val="00566F1D"/>
    <w:rsid w:val="005733C3"/>
    <w:rsid w:val="005808FF"/>
    <w:rsid w:val="00580973"/>
    <w:rsid w:val="00582277"/>
    <w:rsid w:val="005865D2"/>
    <w:rsid w:val="00587D64"/>
    <w:rsid w:val="005923D4"/>
    <w:rsid w:val="00593FC4"/>
    <w:rsid w:val="005945D6"/>
    <w:rsid w:val="005A5858"/>
    <w:rsid w:val="005A6A1B"/>
    <w:rsid w:val="005B39B3"/>
    <w:rsid w:val="005B73CB"/>
    <w:rsid w:val="005C081E"/>
    <w:rsid w:val="005C29B7"/>
    <w:rsid w:val="005C347C"/>
    <w:rsid w:val="005C398D"/>
    <w:rsid w:val="005D14F1"/>
    <w:rsid w:val="005D45CA"/>
    <w:rsid w:val="005E062A"/>
    <w:rsid w:val="005E42BC"/>
    <w:rsid w:val="005F155E"/>
    <w:rsid w:val="005F37C9"/>
    <w:rsid w:val="005F6071"/>
    <w:rsid w:val="00601383"/>
    <w:rsid w:val="00604FE3"/>
    <w:rsid w:val="00607E84"/>
    <w:rsid w:val="00610A92"/>
    <w:rsid w:val="00610D21"/>
    <w:rsid w:val="0061180F"/>
    <w:rsid w:val="00612947"/>
    <w:rsid w:val="00612AC5"/>
    <w:rsid w:val="00614DF2"/>
    <w:rsid w:val="00615588"/>
    <w:rsid w:val="006207B1"/>
    <w:rsid w:val="0062312A"/>
    <w:rsid w:val="00631920"/>
    <w:rsid w:val="00640416"/>
    <w:rsid w:val="00643398"/>
    <w:rsid w:val="0064789B"/>
    <w:rsid w:val="00650F91"/>
    <w:rsid w:val="006575D6"/>
    <w:rsid w:val="00664975"/>
    <w:rsid w:val="00674D81"/>
    <w:rsid w:val="00675D03"/>
    <w:rsid w:val="00677395"/>
    <w:rsid w:val="00685E68"/>
    <w:rsid w:val="00690E47"/>
    <w:rsid w:val="00695BF1"/>
    <w:rsid w:val="006964BE"/>
    <w:rsid w:val="00697898"/>
    <w:rsid w:val="006A0B22"/>
    <w:rsid w:val="006A11BF"/>
    <w:rsid w:val="006A667D"/>
    <w:rsid w:val="006A7A2F"/>
    <w:rsid w:val="006A7AA9"/>
    <w:rsid w:val="006B0595"/>
    <w:rsid w:val="006B25B4"/>
    <w:rsid w:val="006C06A1"/>
    <w:rsid w:val="006C2387"/>
    <w:rsid w:val="006D1087"/>
    <w:rsid w:val="006D7AE5"/>
    <w:rsid w:val="006F1C69"/>
    <w:rsid w:val="007053BE"/>
    <w:rsid w:val="007066DF"/>
    <w:rsid w:val="00706E70"/>
    <w:rsid w:val="00710D6D"/>
    <w:rsid w:val="0071126E"/>
    <w:rsid w:val="00717EB6"/>
    <w:rsid w:val="00727586"/>
    <w:rsid w:val="00731B05"/>
    <w:rsid w:val="0073681C"/>
    <w:rsid w:val="007442EF"/>
    <w:rsid w:val="007442FB"/>
    <w:rsid w:val="0074517A"/>
    <w:rsid w:val="00746150"/>
    <w:rsid w:val="007473C6"/>
    <w:rsid w:val="00754841"/>
    <w:rsid w:val="0077642C"/>
    <w:rsid w:val="0078070A"/>
    <w:rsid w:val="00781098"/>
    <w:rsid w:val="007811C8"/>
    <w:rsid w:val="0078188C"/>
    <w:rsid w:val="00782128"/>
    <w:rsid w:val="007838AD"/>
    <w:rsid w:val="0079017D"/>
    <w:rsid w:val="00794E34"/>
    <w:rsid w:val="007B2770"/>
    <w:rsid w:val="007C35EE"/>
    <w:rsid w:val="007C534B"/>
    <w:rsid w:val="007E2300"/>
    <w:rsid w:val="007F7820"/>
    <w:rsid w:val="00805025"/>
    <w:rsid w:val="00813CB0"/>
    <w:rsid w:val="00815289"/>
    <w:rsid w:val="008169E7"/>
    <w:rsid w:val="0082145F"/>
    <w:rsid w:val="00826083"/>
    <w:rsid w:val="00826E06"/>
    <w:rsid w:val="00827ADE"/>
    <w:rsid w:val="008311DC"/>
    <w:rsid w:val="00833AB8"/>
    <w:rsid w:val="00842BCA"/>
    <w:rsid w:val="0084592F"/>
    <w:rsid w:val="00860E8D"/>
    <w:rsid w:val="00862598"/>
    <w:rsid w:val="00862D23"/>
    <w:rsid w:val="008652AE"/>
    <w:rsid w:val="00866429"/>
    <w:rsid w:val="0088094C"/>
    <w:rsid w:val="00883AA3"/>
    <w:rsid w:val="008840FA"/>
    <w:rsid w:val="00884123"/>
    <w:rsid w:val="008858A2"/>
    <w:rsid w:val="00892C04"/>
    <w:rsid w:val="008A0069"/>
    <w:rsid w:val="008C037A"/>
    <w:rsid w:val="008C0732"/>
    <w:rsid w:val="008C4CF4"/>
    <w:rsid w:val="008C4F3A"/>
    <w:rsid w:val="008C73EC"/>
    <w:rsid w:val="008D4993"/>
    <w:rsid w:val="008D5F6C"/>
    <w:rsid w:val="008E0441"/>
    <w:rsid w:val="008F7D47"/>
    <w:rsid w:val="0090010E"/>
    <w:rsid w:val="009133D0"/>
    <w:rsid w:val="00913A5F"/>
    <w:rsid w:val="0091799D"/>
    <w:rsid w:val="00921B55"/>
    <w:rsid w:val="00923EFE"/>
    <w:rsid w:val="00926E43"/>
    <w:rsid w:val="009327C9"/>
    <w:rsid w:val="009370A0"/>
    <w:rsid w:val="00942DB0"/>
    <w:rsid w:val="00954561"/>
    <w:rsid w:val="0096222E"/>
    <w:rsid w:val="0097549F"/>
    <w:rsid w:val="009818F8"/>
    <w:rsid w:val="009A55A6"/>
    <w:rsid w:val="009B59CB"/>
    <w:rsid w:val="009C388A"/>
    <w:rsid w:val="009D405C"/>
    <w:rsid w:val="009D68CC"/>
    <w:rsid w:val="009E13C1"/>
    <w:rsid w:val="009E1ACF"/>
    <w:rsid w:val="009E58A8"/>
    <w:rsid w:val="009E7F65"/>
    <w:rsid w:val="009F2E64"/>
    <w:rsid w:val="00A00D9E"/>
    <w:rsid w:val="00A072A6"/>
    <w:rsid w:val="00A10CE2"/>
    <w:rsid w:val="00A12838"/>
    <w:rsid w:val="00A1368B"/>
    <w:rsid w:val="00A14167"/>
    <w:rsid w:val="00A23050"/>
    <w:rsid w:val="00A244C7"/>
    <w:rsid w:val="00A33639"/>
    <w:rsid w:val="00A34349"/>
    <w:rsid w:val="00A462A2"/>
    <w:rsid w:val="00A55B7C"/>
    <w:rsid w:val="00A615F2"/>
    <w:rsid w:val="00A6461F"/>
    <w:rsid w:val="00A64B2C"/>
    <w:rsid w:val="00A668DE"/>
    <w:rsid w:val="00A67FAB"/>
    <w:rsid w:val="00A71693"/>
    <w:rsid w:val="00A74520"/>
    <w:rsid w:val="00A760B6"/>
    <w:rsid w:val="00A8123F"/>
    <w:rsid w:val="00A82548"/>
    <w:rsid w:val="00A85675"/>
    <w:rsid w:val="00A858F2"/>
    <w:rsid w:val="00A90E6C"/>
    <w:rsid w:val="00AA1003"/>
    <w:rsid w:val="00AB0AD3"/>
    <w:rsid w:val="00AB230B"/>
    <w:rsid w:val="00AC071B"/>
    <w:rsid w:val="00AC2AE5"/>
    <w:rsid w:val="00AC5435"/>
    <w:rsid w:val="00AC633D"/>
    <w:rsid w:val="00AC6986"/>
    <w:rsid w:val="00AD273D"/>
    <w:rsid w:val="00AD3D0D"/>
    <w:rsid w:val="00AD3D4A"/>
    <w:rsid w:val="00AD76E7"/>
    <w:rsid w:val="00AE0038"/>
    <w:rsid w:val="00AE0D24"/>
    <w:rsid w:val="00AE1DA4"/>
    <w:rsid w:val="00AE5111"/>
    <w:rsid w:val="00AF154C"/>
    <w:rsid w:val="00B01B41"/>
    <w:rsid w:val="00B10959"/>
    <w:rsid w:val="00B11B9E"/>
    <w:rsid w:val="00B145F9"/>
    <w:rsid w:val="00B15634"/>
    <w:rsid w:val="00B17015"/>
    <w:rsid w:val="00B1793D"/>
    <w:rsid w:val="00B17966"/>
    <w:rsid w:val="00B25038"/>
    <w:rsid w:val="00B273B8"/>
    <w:rsid w:val="00B35F38"/>
    <w:rsid w:val="00B4026B"/>
    <w:rsid w:val="00B446B9"/>
    <w:rsid w:val="00B45F01"/>
    <w:rsid w:val="00B46469"/>
    <w:rsid w:val="00B528DB"/>
    <w:rsid w:val="00B54F7D"/>
    <w:rsid w:val="00B61390"/>
    <w:rsid w:val="00B72C6E"/>
    <w:rsid w:val="00B74708"/>
    <w:rsid w:val="00B77A1D"/>
    <w:rsid w:val="00B8067B"/>
    <w:rsid w:val="00B81E2E"/>
    <w:rsid w:val="00B8264B"/>
    <w:rsid w:val="00B86763"/>
    <w:rsid w:val="00B9490E"/>
    <w:rsid w:val="00B94DD6"/>
    <w:rsid w:val="00B952AC"/>
    <w:rsid w:val="00BA0B49"/>
    <w:rsid w:val="00BA0FD7"/>
    <w:rsid w:val="00BB2354"/>
    <w:rsid w:val="00BC2D1B"/>
    <w:rsid w:val="00BC2E19"/>
    <w:rsid w:val="00BC2E60"/>
    <w:rsid w:val="00BC6536"/>
    <w:rsid w:val="00BC705C"/>
    <w:rsid w:val="00BD034A"/>
    <w:rsid w:val="00BD18F2"/>
    <w:rsid w:val="00BD3C8E"/>
    <w:rsid w:val="00BD5CAD"/>
    <w:rsid w:val="00BE0BE3"/>
    <w:rsid w:val="00BE6D73"/>
    <w:rsid w:val="00BF27C0"/>
    <w:rsid w:val="00BF61C8"/>
    <w:rsid w:val="00BF6340"/>
    <w:rsid w:val="00C01197"/>
    <w:rsid w:val="00C02565"/>
    <w:rsid w:val="00C0725E"/>
    <w:rsid w:val="00C1138D"/>
    <w:rsid w:val="00C1148D"/>
    <w:rsid w:val="00C224B9"/>
    <w:rsid w:val="00C32E56"/>
    <w:rsid w:val="00C34ADA"/>
    <w:rsid w:val="00C44627"/>
    <w:rsid w:val="00C46276"/>
    <w:rsid w:val="00C549A7"/>
    <w:rsid w:val="00C56869"/>
    <w:rsid w:val="00C609C6"/>
    <w:rsid w:val="00C63119"/>
    <w:rsid w:val="00C63601"/>
    <w:rsid w:val="00C64128"/>
    <w:rsid w:val="00C64DBE"/>
    <w:rsid w:val="00C64E97"/>
    <w:rsid w:val="00C770C0"/>
    <w:rsid w:val="00C811D1"/>
    <w:rsid w:val="00C82547"/>
    <w:rsid w:val="00C8571B"/>
    <w:rsid w:val="00C87C44"/>
    <w:rsid w:val="00C91635"/>
    <w:rsid w:val="00C9519C"/>
    <w:rsid w:val="00CA0A63"/>
    <w:rsid w:val="00CA0EF8"/>
    <w:rsid w:val="00CA1879"/>
    <w:rsid w:val="00CB1973"/>
    <w:rsid w:val="00CB6026"/>
    <w:rsid w:val="00CC3316"/>
    <w:rsid w:val="00CC61CC"/>
    <w:rsid w:val="00CD117C"/>
    <w:rsid w:val="00CE4974"/>
    <w:rsid w:val="00CE7A19"/>
    <w:rsid w:val="00CF37A0"/>
    <w:rsid w:val="00CF7AD1"/>
    <w:rsid w:val="00D00448"/>
    <w:rsid w:val="00D01319"/>
    <w:rsid w:val="00D06713"/>
    <w:rsid w:val="00D12735"/>
    <w:rsid w:val="00D1619D"/>
    <w:rsid w:val="00D163FB"/>
    <w:rsid w:val="00D20351"/>
    <w:rsid w:val="00D21D50"/>
    <w:rsid w:val="00D233C2"/>
    <w:rsid w:val="00D2362D"/>
    <w:rsid w:val="00D23AA6"/>
    <w:rsid w:val="00D23CC6"/>
    <w:rsid w:val="00D243DE"/>
    <w:rsid w:val="00D26465"/>
    <w:rsid w:val="00D31B70"/>
    <w:rsid w:val="00D45ADB"/>
    <w:rsid w:val="00D56D83"/>
    <w:rsid w:val="00D60FA0"/>
    <w:rsid w:val="00D71179"/>
    <w:rsid w:val="00D71BB3"/>
    <w:rsid w:val="00D726CD"/>
    <w:rsid w:val="00D74CFF"/>
    <w:rsid w:val="00D82A5E"/>
    <w:rsid w:val="00D8673B"/>
    <w:rsid w:val="00D869D9"/>
    <w:rsid w:val="00DA46CA"/>
    <w:rsid w:val="00DB0BF9"/>
    <w:rsid w:val="00DB4B6F"/>
    <w:rsid w:val="00DC0565"/>
    <w:rsid w:val="00DD3AA0"/>
    <w:rsid w:val="00DD45D5"/>
    <w:rsid w:val="00DF15C0"/>
    <w:rsid w:val="00DF56E2"/>
    <w:rsid w:val="00E03C1C"/>
    <w:rsid w:val="00E0631B"/>
    <w:rsid w:val="00E128ED"/>
    <w:rsid w:val="00E171EB"/>
    <w:rsid w:val="00E265A3"/>
    <w:rsid w:val="00E358CF"/>
    <w:rsid w:val="00E43A83"/>
    <w:rsid w:val="00E44228"/>
    <w:rsid w:val="00E46C29"/>
    <w:rsid w:val="00E47E45"/>
    <w:rsid w:val="00E56CE1"/>
    <w:rsid w:val="00E5773E"/>
    <w:rsid w:val="00E64F5C"/>
    <w:rsid w:val="00E66F3F"/>
    <w:rsid w:val="00E70B08"/>
    <w:rsid w:val="00E7378E"/>
    <w:rsid w:val="00E77422"/>
    <w:rsid w:val="00E8592A"/>
    <w:rsid w:val="00E87883"/>
    <w:rsid w:val="00E95D1F"/>
    <w:rsid w:val="00E9649F"/>
    <w:rsid w:val="00E96D40"/>
    <w:rsid w:val="00EA2D92"/>
    <w:rsid w:val="00EA4503"/>
    <w:rsid w:val="00EA71E8"/>
    <w:rsid w:val="00EB0120"/>
    <w:rsid w:val="00EB0D8E"/>
    <w:rsid w:val="00EB62D8"/>
    <w:rsid w:val="00EB7BB7"/>
    <w:rsid w:val="00EC052D"/>
    <w:rsid w:val="00EC0BFF"/>
    <w:rsid w:val="00EC71F4"/>
    <w:rsid w:val="00EC7A9E"/>
    <w:rsid w:val="00ED1FA4"/>
    <w:rsid w:val="00EE4A7A"/>
    <w:rsid w:val="00EF0FED"/>
    <w:rsid w:val="00EF1637"/>
    <w:rsid w:val="00EF255D"/>
    <w:rsid w:val="00F008A4"/>
    <w:rsid w:val="00F0345E"/>
    <w:rsid w:val="00F07E6A"/>
    <w:rsid w:val="00F11037"/>
    <w:rsid w:val="00F117F5"/>
    <w:rsid w:val="00F13FE7"/>
    <w:rsid w:val="00F206E5"/>
    <w:rsid w:val="00F2169C"/>
    <w:rsid w:val="00F252D8"/>
    <w:rsid w:val="00F27B2E"/>
    <w:rsid w:val="00F27DE9"/>
    <w:rsid w:val="00F34947"/>
    <w:rsid w:val="00F34C76"/>
    <w:rsid w:val="00F37CC2"/>
    <w:rsid w:val="00F51509"/>
    <w:rsid w:val="00F55667"/>
    <w:rsid w:val="00F569F2"/>
    <w:rsid w:val="00F6427A"/>
    <w:rsid w:val="00F67A24"/>
    <w:rsid w:val="00F81B88"/>
    <w:rsid w:val="00F8224E"/>
    <w:rsid w:val="00F83C0A"/>
    <w:rsid w:val="00F86234"/>
    <w:rsid w:val="00F86559"/>
    <w:rsid w:val="00F91956"/>
    <w:rsid w:val="00F93C3D"/>
    <w:rsid w:val="00FA07EE"/>
    <w:rsid w:val="00FA308F"/>
    <w:rsid w:val="00FA749F"/>
    <w:rsid w:val="00FB05B8"/>
    <w:rsid w:val="00FB7D9D"/>
    <w:rsid w:val="00FC3958"/>
    <w:rsid w:val="00FD0B22"/>
    <w:rsid w:val="00FD0F70"/>
    <w:rsid w:val="00FD70EE"/>
    <w:rsid w:val="00FE447E"/>
    <w:rsid w:val="00FF1748"/>
    <w:rsid w:val="00FF7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1563A"/>
  <w15:docId w15:val="{63933F4C-DE5D-46CA-9E67-0EB45F165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56F"/>
  </w:style>
  <w:style w:type="paragraph" w:styleId="Titre1">
    <w:name w:val="heading 1"/>
    <w:basedOn w:val="Normal"/>
    <w:next w:val="Normal"/>
    <w:link w:val="Titre1Car"/>
    <w:uiPriority w:val="9"/>
    <w:qFormat/>
    <w:rsid w:val="0031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4A7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4A72"/>
    <w:pPr>
      <w:ind w:left="720"/>
      <w:contextualSpacing/>
    </w:pPr>
  </w:style>
  <w:style w:type="character" w:customStyle="1" w:styleId="normaltextrun">
    <w:name w:val="normaltextrun"/>
    <w:basedOn w:val="Policepardfaut"/>
    <w:rsid w:val="008C0732"/>
  </w:style>
  <w:style w:type="character" w:customStyle="1" w:styleId="eop">
    <w:name w:val="eop"/>
    <w:basedOn w:val="Policepardfaut"/>
    <w:rsid w:val="008C0732"/>
  </w:style>
  <w:style w:type="character" w:styleId="Lienhypertexte">
    <w:name w:val="Hyperlink"/>
    <w:basedOn w:val="Policepardfaut"/>
    <w:uiPriority w:val="99"/>
    <w:unhideWhenUsed/>
    <w:rsid w:val="00180FB4"/>
    <w:rPr>
      <w:color w:val="0000FF" w:themeColor="hyperlink"/>
      <w:u w:val="single"/>
    </w:rPr>
  </w:style>
  <w:style w:type="paragraph" w:styleId="En-tte">
    <w:name w:val="header"/>
    <w:basedOn w:val="Normal"/>
    <w:link w:val="En-tteCar"/>
    <w:uiPriority w:val="99"/>
    <w:unhideWhenUsed/>
    <w:rsid w:val="00F34C76"/>
    <w:pPr>
      <w:tabs>
        <w:tab w:val="center" w:pos="4703"/>
        <w:tab w:val="right" w:pos="9406"/>
      </w:tabs>
      <w:spacing w:after="0" w:line="240" w:lineRule="auto"/>
    </w:pPr>
  </w:style>
  <w:style w:type="character" w:customStyle="1" w:styleId="En-tteCar">
    <w:name w:val="En-tête Car"/>
    <w:basedOn w:val="Policepardfaut"/>
    <w:link w:val="En-tte"/>
    <w:uiPriority w:val="99"/>
    <w:rsid w:val="00F34C76"/>
  </w:style>
  <w:style w:type="paragraph" w:styleId="Pieddepage">
    <w:name w:val="footer"/>
    <w:basedOn w:val="Normal"/>
    <w:link w:val="PieddepageCar"/>
    <w:uiPriority w:val="99"/>
    <w:unhideWhenUsed/>
    <w:rsid w:val="00F34C7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34C76"/>
  </w:style>
  <w:style w:type="paragraph" w:styleId="Textedebulles">
    <w:name w:val="Balloon Text"/>
    <w:basedOn w:val="Normal"/>
    <w:link w:val="TextedebullesCar"/>
    <w:uiPriority w:val="99"/>
    <w:semiHidden/>
    <w:unhideWhenUsed/>
    <w:rsid w:val="00F34C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4C76"/>
    <w:rPr>
      <w:rFonts w:ascii="Tahoma" w:hAnsi="Tahoma" w:cs="Tahoma"/>
      <w:sz w:val="16"/>
      <w:szCs w:val="16"/>
    </w:rPr>
  </w:style>
  <w:style w:type="paragraph" w:styleId="Sansinterligne">
    <w:name w:val="No Spacing"/>
    <w:link w:val="SansinterligneCar"/>
    <w:uiPriority w:val="1"/>
    <w:qFormat/>
    <w:rsid w:val="00F34C76"/>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34C76"/>
    <w:rPr>
      <w:rFonts w:eastAsiaTheme="minorEastAsia"/>
      <w:lang w:val="en-US"/>
    </w:rPr>
  </w:style>
  <w:style w:type="character" w:styleId="Marquedecommentaire">
    <w:name w:val="annotation reference"/>
    <w:basedOn w:val="Policepardfaut"/>
    <w:uiPriority w:val="99"/>
    <w:semiHidden/>
    <w:unhideWhenUsed/>
    <w:rsid w:val="00A1368B"/>
    <w:rPr>
      <w:sz w:val="16"/>
      <w:szCs w:val="16"/>
    </w:rPr>
  </w:style>
  <w:style w:type="paragraph" w:styleId="Commentaire">
    <w:name w:val="annotation text"/>
    <w:basedOn w:val="Normal"/>
    <w:link w:val="CommentaireCar"/>
    <w:uiPriority w:val="99"/>
    <w:semiHidden/>
    <w:unhideWhenUsed/>
    <w:rsid w:val="00A1368B"/>
    <w:pPr>
      <w:spacing w:line="240" w:lineRule="auto"/>
    </w:pPr>
    <w:rPr>
      <w:sz w:val="20"/>
      <w:szCs w:val="20"/>
    </w:rPr>
  </w:style>
  <w:style w:type="character" w:customStyle="1" w:styleId="CommentaireCar">
    <w:name w:val="Commentaire Car"/>
    <w:basedOn w:val="Policepardfaut"/>
    <w:link w:val="Commentaire"/>
    <w:uiPriority w:val="99"/>
    <w:semiHidden/>
    <w:rsid w:val="00A1368B"/>
    <w:rPr>
      <w:sz w:val="20"/>
      <w:szCs w:val="20"/>
    </w:rPr>
  </w:style>
  <w:style w:type="paragraph" w:styleId="Objetducommentaire">
    <w:name w:val="annotation subject"/>
    <w:basedOn w:val="Commentaire"/>
    <w:next w:val="Commentaire"/>
    <w:link w:val="ObjetducommentaireCar"/>
    <w:uiPriority w:val="99"/>
    <w:semiHidden/>
    <w:unhideWhenUsed/>
    <w:rsid w:val="00A1368B"/>
    <w:rPr>
      <w:b/>
      <w:bCs/>
    </w:rPr>
  </w:style>
  <w:style w:type="character" w:customStyle="1" w:styleId="ObjetducommentaireCar">
    <w:name w:val="Objet du commentaire Car"/>
    <w:basedOn w:val="CommentaireCar"/>
    <w:link w:val="Objetducommentaire"/>
    <w:uiPriority w:val="99"/>
    <w:semiHidden/>
    <w:rsid w:val="00A1368B"/>
    <w:rPr>
      <w:b/>
      <w:bCs/>
      <w:sz w:val="20"/>
      <w:szCs w:val="20"/>
    </w:rPr>
  </w:style>
  <w:style w:type="character" w:styleId="Lienhypertextesuivivisit">
    <w:name w:val="FollowedHyperlink"/>
    <w:basedOn w:val="Policepardfaut"/>
    <w:uiPriority w:val="99"/>
    <w:semiHidden/>
    <w:unhideWhenUsed/>
    <w:rsid w:val="00A1368B"/>
    <w:rPr>
      <w:color w:val="800080" w:themeColor="followedHyperlink"/>
      <w:u w:val="single"/>
    </w:rPr>
  </w:style>
  <w:style w:type="paragraph" w:styleId="Rvision">
    <w:name w:val="Revision"/>
    <w:hidden/>
    <w:uiPriority w:val="99"/>
    <w:semiHidden/>
    <w:rsid w:val="002728E5"/>
    <w:pPr>
      <w:spacing w:after="0" w:line="240" w:lineRule="auto"/>
    </w:pPr>
  </w:style>
  <w:style w:type="character" w:customStyle="1" w:styleId="ui-provider">
    <w:name w:val="ui-provider"/>
    <w:basedOn w:val="Policepardfaut"/>
    <w:rsid w:val="005E062A"/>
  </w:style>
  <w:style w:type="character" w:styleId="Mentionnonrsolue">
    <w:name w:val="Unresolved Mention"/>
    <w:basedOn w:val="Policepardfaut"/>
    <w:uiPriority w:val="99"/>
    <w:semiHidden/>
    <w:unhideWhenUsed/>
    <w:rsid w:val="00296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3291">
      <w:bodyDiv w:val="1"/>
      <w:marLeft w:val="0"/>
      <w:marRight w:val="0"/>
      <w:marTop w:val="0"/>
      <w:marBottom w:val="0"/>
      <w:divBdr>
        <w:top w:val="none" w:sz="0" w:space="0" w:color="auto"/>
        <w:left w:val="none" w:sz="0" w:space="0" w:color="auto"/>
        <w:bottom w:val="none" w:sz="0" w:space="0" w:color="auto"/>
        <w:right w:val="none" w:sz="0" w:space="0" w:color="auto"/>
      </w:divBdr>
      <w:divsChild>
        <w:div w:id="249975557">
          <w:marLeft w:val="1267"/>
          <w:marRight w:val="0"/>
          <w:marTop w:val="0"/>
          <w:marBottom w:val="0"/>
          <w:divBdr>
            <w:top w:val="none" w:sz="0" w:space="0" w:color="auto"/>
            <w:left w:val="none" w:sz="0" w:space="0" w:color="auto"/>
            <w:bottom w:val="none" w:sz="0" w:space="0" w:color="auto"/>
            <w:right w:val="none" w:sz="0" w:space="0" w:color="auto"/>
          </w:divBdr>
        </w:div>
      </w:divsChild>
    </w:div>
    <w:div w:id="160856813">
      <w:bodyDiv w:val="1"/>
      <w:marLeft w:val="0"/>
      <w:marRight w:val="0"/>
      <w:marTop w:val="0"/>
      <w:marBottom w:val="0"/>
      <w:divBdr>
        <w:top w:val="none" w:sz="0" w:space="0" w:color="auto"/>
        <w:left w:val="none" w:sz="0" w:space="0" w:color="auto"/>
        <w:bottom w:val="none" w:sz="0" w:space="0" w:color="auto"/>
        <w:right w:val="none" w:sz="0" w:space="0" w:color="auto"/>
      </w:divBdr>
      <w:divsChild>
        <w:div w:id="1627467606">
          <w:marLeft w:val="1267"/>
          <w:marRight w:val="0"/>
          <w:marTop w:val="0"/>
          <w:marBottom w:val="0"/>
          <w:divBdr>
            <w:top w:val="none" w:sz="0" w:space="0" w:color="auto"/>
            <w:left w:val="none" w:sz="0" w:space="0" w:color="auto"/>
            <w:bottom w:val="none" w:sz="0" w:space="0" w:color="auto"/>
            <w:right w:val="none" w:sz="0" w:space="0" w:color="auto"/>
          </w:divBdr>
        </w:div>
      </w:divsChild>
    </w:div>
    <w:div w:id="239994352">
      <w:bodyDiv w:val="1"/>
      <w:marLeft w:val="0"/>
      <w:marRight w:val="0"/>
      <w:marTop w:val="0"/>
      <w:marBottom w:val="0"/>
      <w:divBdr>
        <w:top w:val="none" w:sz="0" w:space="0" w:color="auto"/>
        <w:left w:val="none" w:sz="0" w:space="0" w:color="auto"/>
        <w:bottom w:val="none" w:sz="0" w:space="0" w:color="auto"/>
        <w:right w:val="none" w:sz="0" w:space="0" w:color="auto"/>
      </w:divBdr>
    </w:div>
    <w:div w:id="252511811">
      <w:bodyDiv w:val="1"/>
      <w:marLeft w:val="0"/>
      <w:marRight w:val="0"/>
      <w:marTop w:val="0"/>
      <w:marBottom w:val="0"/>
      <w:divBdr>
        <w:top w:val="none" w:sz="0" w:space="0" w:color="auto"/>
        <w:left w:val="none" w:sz="0" w:space="0" w:color="auto"/>
        <w:bottom w:val="none" w:sz="0" w:space="0" w:color="auto"/>
        <w:right w:val="none" w:sz="0" w:space="0" w:color="auto"/>
      </w:divBdr>
    </w:div>
    <w:div w:id="278337404">
      <w:bodyDiv w:val="1"/>
      <w:marLeft w:val="0"/>
      <w:marRight w:val="0"/>
      <w:marTop w:val="0"/>
      <w:marBottom w:val="0"/>
      <w:divBdr>
        <w:top w:val="none" w:sz="0" w:space="0" w:color="auto"/>
        <w:left w:val="none" w:sz="0" w:space="0" w:color="auto"/>
        <w:bottom w:val="none" w:sz="0" w:space="0" w:color="auto"/>
        <w:right w:val="none" w:sz="0" w:space="0" w:color="auto"/>
      </w:divBdr>
    </w:div>
    <w:div w:id="279578970">
      <w:bodyDiv w:val="1"/>
      <w:marLeft w:val="0"/>
      <w:marRight w:val="0"/>
      <w:marTop w:val="0"/>
      <w:marBottom w:val="0"/>
      <w:divBdr>
        <w:top w:val="none" w:sz="0" w:space="0" w:color="auto"/>
        <w:left w:val="none" w:sz="0" w:space="0" w:color="auto"/>
        <w:bottom w:val="none" w:sz="0" w:space="0" w:color="auto"/>
        <w:right w:val="none" w:sz="0" w:space="0" w:color="auto"/>
      </w:divBdr>
      <w:divsChild>
        <w:div w:id="170611162">
          <w:marLeft w:val="446"/>
          <w:marRight w:val="0"/>
          <w:marTop w:val="0"/>
          <w:marBottom w:val="0"/>
          <w:divBdr>
            <w:top w:val="none" w:sz="0" w:space="0" w:color="auto"/>
            <w:left w:val="none" w:sz="0" w:space="0" w:color="auto"/>
            <w:bottom w:val="none" w:sz="0" w:space="0" w:color="auto"/>
            <w:right w:val="none" w:sz="0" w:space="0" w:color="auto"/>
          </w:divBdr>
        </w:div>
        <w:div w:id="1713654423">
          <w:marLeft w:val="446"/>
          <w:marRight w:val="0"/>
          <w:marTop w:val="0"/>
          <w:marBottom w:val="0"/>
          <w:divBdr>
            <w:top w:val="none" w:sz="0" w:space="0" w:color="auto"/>
            <w:left w:val="none" w:sz="0" w:space="0" w:color="auto"/>
            <w:bottom w:val="none" w:sz="0" w:space="0" w:color="auto"/>
            <w:right w:val="none" w:sz="0" w:space="0" w:color="auto"/>
          </w:divBdr>
        </w:div>
        <w:div w:id="1284574810">
          <w:marLeft w:val="446"/>
          <w:marRight w:val="0"/>
          <w:marTop w:val="0"/>
          <w:marBottom w:val="0"/>
          <w:divBdr>
            <w:top w:val="none" w:sz="0" w:space="0" w:color="auto"/>
            <w:left w:val="none" w:sz="0" w:space="0" w:color="auto"/>
            <w:bottom w:val="none" w:sz="0" w:space="0" w:color="auto"/>
            <w:right w:val="none" w:sz="0" w:space="0" w:color="auto"/>
          </w:divBdr>
        </w:div>
      </w:divsChild>
    </w:div>
    <w:div w:id="611790633">
      <w:bodyDiv w:val="1"/>
      <w:marLeft w:val="0"/>
      <w:marRight w:val="0"/>
      <w:marTop w:val="0"/>
      <w:marBottom w:val="0"/>
      <w:divBdr>
        <w:top w:val="none" w:sz="0" w:space="0" w:color="auto"/>
        <w:left w:val="none" w:sz="0" w:space="0" w:color="auto"/>
        <w:bottom w:val="none" w:sz="0" w:space="0" w:color="auto"/>
        <w:right w:val="none" w:sz="0" w:space="0" w:color="auto"/>
      </w:divBdr>
    </w:div>
    <w:div w:id="647899181">
      <w:bodyDiv w:val="1"/>
      <w:marLeft w:val="0"/>
      <w:marRight w:val="0"/>
      <w:marTop w:val="0"/>
      <w:marBottom w:val="0"/>
      <w:divBdr>
        <w:top w:val="none" w:sz="0" w:space="0" w:color="auto"/>
        <w:left w:val="none" w:sz="0" w:space="0" w:color="auto"/>
        <w:bottom w:val="none" w:sz="0" w:space="0" w:color="auto"/>
        <w:right w:val="none" w:sz="0" w:space="0" w:color="auto"/>
      </w:divBdr>
    </w:div>
    <w:div w:id="743604013">
      <w:bodyDiv w:val="1"/>
      <w:marLeft w:val="0"/>
      <w:marRight w:val="0"/>
      <w:marTop w:val="0"/>
      <w:marBottom w:val="0"/>
      <w:divBdr>
        <w:top w:val="none" w:sz="0" w:space="0" w:color="auto"/>
        <w:left w:val="none" w:sz="0" w:space="0" w:color="auto"/>
        <w:bottom w:val="none" w:sz="0" w:space="0" w:color="auto"/>
        <w:right w:val="none" w:sz="0" w:space="0" w:color="auto"/>
      </w:divBdr>
      <w:divsChild>
        <w:div w:id="534586912">
          <w:marLeft w:val="1267"/>
          <w:marRight w:val="0"/>
          <w:marTop w:val="0"/>
          <w:marBottom w:val="0"/>
          <w:divBdr>
            <w:top w:val="none" w:sz="0" w:space="0" w:color="auto"/>
            <w:left w:val="none" w:sz="0" w:space="0" w:color="auto"/>
            <w:bottom w:val="none" w:sz="0" w:space="0" w:color="auto"/>
            <w:right w:val="none" w:sz="0" w:space="0" w:color="auto"/>
          </w:divBdr>
        </w:div>
      </w:divsChild>
    </w:div>
    <w:div w:id="825437808">
      <w:bodyDiv w:val="1"/>
      <w:marLeft w:val="0"/>
      <w:marRight w:val="0"/>
      <w:marTop w:val="0"/>
      <w:marBottom w:val="0"/>
      <w:divBdr>
        <w:top w:val="none" w:sz="0" w:space="0" w:color="auto"/>
        <w:left w:val="none" w:sz="0" w:space="0" w:color="auto"/>
        <w:bottom w:val="none" w:sz="0" w:space="0" w:color="auto"/>
        <w:right w:val="none" w:sz="0" w:space="0" w:color="auto"/>
      </w:divBdr>
    </w:div>
    <w:div w:id="841892765">
      <w:bodyDiv w:val="1"/>
      <w:marLeft w:val="0"/>
      <w:marRight w:val="0"/>
      <w:marTop w:val="0"/>
      <w:marBottom w:val="0"/>
      <w:divBdr>
        <w:top w:val="none" w:sz="0" w:space="0" w:color="auto"/>
        <w:left w:val="none" w:sz="0" w:space="0" w:color="auto"/>
        <w:bottom w:val="none" w:sz="0" w:space="0" w:color="auto"/>
        <w:right w:val="none" w:sz="0" w:space="0" w:color="auto"/>
      </w:divBdr>
      <w:divsChild>
        <w:div w:id="1731684847">
          <w:marLeft w:val="446"/>
          <w:marRight w:val="0"/>
          <w:marTop w:val="0"/>
          <w:marBottom w:val="0"/>
          <w:divBdr>
            <w:top w:val="none" w:sz="0" w:space="0" w:color="auto"/>
            <w:left w:val="none" w:sz="0" w:space="0" w:color="auto"/>
            <w:bottom w:val="none" w:sz="0" w:space="0" w:color="auto"/>
            <w:right w:val="none" w:sz="0" w:space="0" w:color="auto"/>
          </w:divBdr>
        </w:div>
        <w:div w:id="10956467">
          <w:marLeft w:val="446"/>
          <w:marRight w:val="0"/>
          <w:marTop w:val="0"/>
          <w:marBottom w:val="0"/>
          <w:divBdr>
            <w:top w:val="none" w:sz="0" w:space="0" w:color="auto"/>
            <w:left w:val="none" w:sz="0" w:space="0" w:color="auto"/>
            <w:bottom w:val="none" w:sz="0" w:space="0" w:color="auto"/>
            <w:right w:val="none" w:sz="0" w:space="0" w:color="auto"/>
          </w:divBdr>
        </w:div>
        <w:div w:id="571236564">
          <w:marLeft w:val="446"/>
          <w:marRight w:val="0"/>
          <w:marTop w:val="0"/>
          <w:marBottom w:val="0"/>
          <w:divBdr>
            <w:top w:val="none" w:sz="0" w:space="0" w:color="auto"/>
            <w:left w:val="none" w:sz="0" w:space="0" w:color="auto"/>
            <w:bottom w:val="none" w:sz="0" w:space="0" w:color="auto"/>
            <w:right w:val="none" w:sz="0" w:space="0" w:color="auto"/>
          </w:divBdr>
        </w:div>
        <w:div w:id="985553889">
          <w:marLeft w:val="446"/>
          <w:marRight w:val="0"/>
          <w:marTop w:val="0"/>
          <w:marBottom w:val="0"/>
          <w:divBdr>
            <w:top w:val="none" w:sz="0" w:space="0" w:color="auto"/>
            <w:left w:val="none" w:sz="0" w:space="0" w:color="auto"/>
            <w:bottom w:val="none" w:sz="0" w:space="0" w:color="auto"/>
            <w:right w:val="none" w:sz="0" w:space="0" w:color="auto"/>
          </w:divBdr>
        </w:div>
        <w:div w:id="100953731">
          <w:marLeft w:val="446"/>
          <w:marRight w:val="0"/>
          <w:marTop w:val="0"/>
          <w:marBottom w:val="0"/>
          <w:divBdr>
            <w:top w:val="none" w:sz="0" w:space="0" w:color="auto"/>
            <w:left w:val="none" w:sz="0" w:space="0" w:color="auto"/>
            <w:bottom w:val="none" w:sz="0" w:space="0" w:color="auto"/>
            <w:right w:val="none" w:sz="0" w:space="0" w:color="auto"/>
          </w:divBdr>
        </w:div>
      </w:divsChild>
    </w:div>
    <w:div w:id="909655015">
      <w:bodyDiv w:val="1"/>
      <w:marLeft w:val="0"/>
      <w:marRight w:val="0"/>
      <w:marTop w:val="0"/>
      <w:marBottom w:val="0"/>
      <w:divBdr>
        <w:top w:val="none" w:sz="0" w:space="0" w:color="auto"/>
        <w:left w:val="none" w:sz="0" w:space="0" w:color="auto"/>
        <w:bottom w:val="none" w:sz="0" w:space="0" w:color="auto"/>
        <w:right w:val="none" w:sz="0" w:space="0" w:color="auto"/>
      </w:divBdr>
      <w:divsChild>
        <w:div w:id="425228444">
          <w:marLeft w:val="1267"/>
          <w:marRight w:val="0"/>
          <w:marTop w:val="0"/>
          <w:marBottom w:val="0"/>
          <w:divBdr>
            <w:top w:val="none" w:sz="0" w:space="0" w:color="auto"/>
            <w:left w:val="none" w:sz="0" w:space="0" w:color="auto"/>
            <w:bottom w:val="none" w:sz="0" w:space="0" w:color="auto"/>
            <w:right w:val="none" w:sz="0" w:space="0" w:color="auto"/>
          </w:divBdr>
        </w:div>
      </w:divsChild>
    </w:div>
    <w:div w:id="1091051299">
      <w:bodyDiv w:val="1"/>
      <w:marLeft w:val="0"/>
      <w:marRight w:val="0"/>
      <w:marTop w:val="0"/>
      <w:marBottom w:val="0"/>
      <w:divBdr>
        <w:top w:val="none" w:sz="0" w:space="0" w:color="auto"/>
        <w:left w:val="none" w:sz="0" w:space="0" w:color="auto"/>
        <w:bottom w:val="none" w:sz="0" w:space="0" w:color="auto"/>
        <w:right w:val="none" w:sz="0" w:space="0" w:color="auto"/>
      </w:divBdr>
    </w:div>
    <w:div w:id="1142770082">
      <w:bodyDiv w:val="1"/>
      <w:marLeft w:val="0"/>
      <w:marRight w:val="0"/>
      <w:marTop w:val="0"/>
      <w:marBottom w:val="0"/>
      <w:divBdr>
        <w:top w:val="none" w:sz="0" w:space="0" w:color="auto"/>
        <w:left w:val="none" w:sz="0" w:space="0" w:color="auto"/>
        <w:bottom w:val="none" w:sz="0" w:space="0" w:color="auto"/>
        <w:right w:val="none" w:sz="0" w:space="0" w:color="auto"/>
      </w:divBdr>
    </w:div>
    <w:div w:id="1153445952">
      <w:bodyDiv w:val="1"/>
      <w:marLeft w:val="0"/>
      <w:marRight w:val="0"/>
      <w:marTop w:val="0"/>
      <w:marBottom w:val="0"/>
      <w:divBdr>
        <w:top w:val="none" w:sz="0" w:space="0" w:color="auto"/>
        <w:left w:val="none" w:sz="0" w:space="0" w:color="auto"/>
        <w:bottom w:val="none" w:sz="0" w:space="0" w:color="auto"/>
        <w:right w:val="none" w:sz="0" w:space="0" w:color="auto"/>
      </w:divBdr>
    </w:div>
    <w:div w:id="1180584005">
      <w:bodyDiv w:val="1"/>
      <w:marLeft w:val="0"/>
      <w:marRight w:val="0"/>
      <w:marTop w:val="0"/>
      <w:marBottom w:val="0"/>
      <w:divBdr>
        <w:top w:val="none" w:sz="0" w:space="0" w:color="auto"/>
        <w:left w:val="none" w:sz="0" w:space="0" w:color="auto"/>
        <w:bottom w:val="none" w:sz="0" w:space="0" w:color="auto"/>
        <w:right w:val="none" w:sz="0" w:space="0" w:color="auto"/>
      </w:divBdr>
      <w:divsChild>
        <w:div w:id="1211921097">
          <w:marLeft w:val="1267"/>
          <w:marRight w:val="0"/>
          <w:marTop w:val="0"/>
          <w:marBottom w:val="0"/>
          <w:divBdr>
            <w:top w:val="none" w:sz="0" w:space="0" w:color="auto"/>
            <w:left w:val="none" w:sz="0" w:space="0" w:color="auto"/>
            <w:bottom w:val="none" w:sz="0" w:space="0" w:color="auto"/>
            <w:right w:val="none" w:sz="0" w:space="0" w:color="auto"/>
          </w:divBdr>
        </w:div>
      </w:divsChild>
    </w:div>
    <w:div w:id="1236432601">
      <w:bodyDiv w:val="1"/>
      <w:marLeft w:val="0"/>
      <w:marRight w:val="0"/>
      <w:marTop w:val="0"/>
      <w:marBottom w:val="0"/>
      <w:divBdr>
        <w:top w:val="none" w:sz="0" w:space="0" w:color="auto"/>
        <w:left w:val="none" w:sz="0" w:space="0" w:color="auto"/>
        <w:bottom w:val="none" w:sz="0" w:space="0" w:color="auto"/>
        <w:right w:val="none" w:sz="0" w:space="0" w:color="auto"/>
      </w:divBdr>
    </w:div>
    <w:div w:id="1287468699">
      <w:bodyDiv w:val="1"/>
      <w:marLeft w:val="0"/>
      <w:marRight w:val="0"/>
      <w:marTop w:val="0"/>
      <w:marBottom w:val="0"/>
      <w:divBdr>
        <w:top w:val="none" w:sz="0" w:space="0" w:color="auto"/>
        <w:left w:val="none" w:sz="0" w:space="0" w:color="auto"/>
        <w:bottom w:val="none" w:sz="0" w:space="0" w:color="auto"/>
        <w:right w:val="none" w:sz="0" w:space="0" w:color="auto"/>
      </w:divBdr>
    </w:div>
    <w:div w:id="1357851043">
      <w:bodyDiv w:val="1"/>
      <w:marLeft w:val="0"/>
      <w:marRight w:val="0"/>
      <w:marTop w:val="0"/>
      <w:marBottom w:val="0"/>
      <w:divBdr>
        <w:top w:val="none" w:sz="0" w:space="0" w:color="auto"/>
        <w:left w:val="none" w:sz="0" w:space="0" w:color="auto"/>
        <w:bottom w:val="none" w:sz="0" w:space="0" w:color="auto"/>
        <w:right w:val="none" w:sz="0" w:space="0" w:color="auto"/>
      </w:divBdr>
      <w:divsChild>
        <w:div w:id="416756700">
          <w:marLeft w:val="1267"/>
          <w:marRight w:val="0"/>
          <w:marTop w:val="0"/>
          <w:marBottom w:val="0"/>
          <w:divBdr>
            <w:top w:val="none" w:sz="0" w:space="0" w:color="auto"/>
            <w:left w:val="none" w:sz="0" w:space="0" w:color="auto"/>
            <w:bottom w:val="none" w:sz="0" w:space="0" w:color="auto"/>
            <w:right w:val="none" w:sz="0" w:space="0" w:color="auto"/>
          </w:divBdr>
        </w:div>
        <w:div w:id="1920288853">
          <w:marLeft w:val="1267"/>
          <w:marRight w:val="0"/>
          <w:marTop w:val="0"/>
          <w:marBottom w:val="0"/>
          <w:divBdr>
            <w:top w:val="none" w:sz="0" w:space="0" w:color="auto"/>
            <w:left w:val="none" w:sz="0" w:space="0" w:color="auto"/>
            <w:bottom w:val="none" w:sz="0" w:space="0" w:color="auto"/>
            <w:right w:val="none" w:sz="0" w:space="0" w:color="auto"/>
          </w:divBdr>
        </w:div>
        <w:div w:id="1339120416">
          <w:marLeft w:val="1267"/>
          <w:marRight w:val="0"/>
          <w:marTop w:val="0"/>
          <w:marBottom w:val="0"/>
          <w:divBdr>
            <w:top w:val="none" w:sz="0" w:space="0" w:color="auto"/>
            <w:left w:val="none" w:sz="0" w:space="0" w:color="auto"/>
            <w:bottom w:val="none" w:sz="0" w:space="0" w:color="auto"/>
            <w:right w:val="none" w:sz="0" w:space="0" w:color="auto"/>
          </w:divBdr>
        </w:div>
        <w:div w:id="382408119">
          <w:marLeft w:val="1267"/>
          <w:marRight w:val="0"/>
          <w:marTop w:val="0"/>
          <w:marBottom w:val="0"/>
          <w:divBdr>
            <w:top w:val="none" w:sz="0" w:space="0" w:color="auto"/>
            <w:left w:val="none" w:sz="0" w:space="0" w:color="auto"/>
            <w:bottom w:val="none" w:sz="0" w:space="0" w:color="auto"/>
            <w:right w:val="none" w:sz="0" w:space="0" w:color="auto"/>
          </w:divBdr>
        </w:div>
        <w:div w:id="1476140146">
          <w:marLeft w:val="1267"/>
          <w:marRight w:val="0"/>
          <w:marTop w:val="0"/>
          <w:marBottom w:val="0"/>
          <w:divBdr>
            <w:top w:val="none" w:sz="0" w:space="0" w:color="auto"/>
            <w:left w:val="none" w:sz="0" w:space="0" w:color="auto"/>
            <w:bottom w:val="none" w:sz="0" w:space="0" w:color="auto"/>
            <w:right w:val="none" w:sz="0" w:space="0" w:color="auto"/>
          </w:divBdr>
        </w:div>
        <w:div w:id="1452282369">
          <w:marLeft w:val="1267"/>
          <w:marRight w:val="0"/>
          <w:marTop w:val="0"/>
          <w:marBottom w:val="0"/>
          <w:divBdr>
            <w:top w:val="none" w:sz="0" w:space="0" w:color="auto"/>
            <w:left w:val="none" w:sz="0" w:space="0" w:color="auto"/>
            <w:bottom w:val="none" w:sz="0" w:space="0" w:color="auto"/>
            <w:right w:val="none" w:sz="0" w:space="0" w:color="auto"/>
          </w:divBdr>
        </w:div>
        <w:div w:id="1552156224">
          <w:marLeft w:val="1267"/>
          <w:marRight w:val="0"/>
          <w:marTop w:val="0"/>
          <w:marBottom w:val="0"/>
          <w:divBdr>
            <w:top w:val="none" w:sz="0" w:space="0" w:color="auto"/>
            <w:left w:val="none" w:sz="0" w:space="0" w:color="auto"/>
            <w:bottom w:val="none" w:sz="0" w:space="0" w:color="auto"/>
            <w:right w:val="none" w:sz="0" w:space="0" w:color="auto"/>
          </w:divBdr>
        </w:div>
      </w:divsChild>
    </w:div>
    <w:div w:id="1447777405">
      <w:bodyDiv w:val="1"/>
      <w:marLeft w:val="0"/>
      <w:marRight w:val="0"/>
      <w:marTop w:val="0"/>
      <w:marBottom w:val="0"/>
      <w:divBdr>
        <w:top w:val="none" w:sz="0" w:space="0" w:color="auto"/>
        <w:left w:val="none" w:sz="0" w:space="0" w:color="auto"/>
        <w:bottom w:val="none" w:sz="0" w:space="0" w:color="auto"/>
        <w:right w:val="none" w:sz="0" w:space="0" w:color="auto"/>
      </w:divBdr>
      <w:divsChild>
        <w:div w:id="416051757">
          <w:marLeft w:val="547"/>
          <w:marRight w:val="0"/>
          <w:marTop w:val="0"/>
          <w:marBottom w:val="0"/>
          <w:divBdr>
            <w:top w:val="none" w:sz="0" w:space="0" w:color="auto"/>
            <w:left w:val="none" w:sz="0" w:space="0" w:color="auto"/>
            <w:bottom w:val="none" w:sz="0" w:space="0" w:color="auto"/>
            <w:right w:val="none" w:sz="0" w:space="0" w:color="auto"/>
          </w:divBdr>
        </w:div>
      </w:divsChild>
    </w:div>
    <w:div w:id="1491291903">
      <w:bodyDiv w:val="1"/>
      <w:marLeft w:val="0"/>
      <w:marRight w:val="0"/>
      <w:marTop w:val="0"/>
      <w:marBottom w:val="0"/>
      <w:divBdr>
        <w:top w:val="none" w:sz="0" w:space="0" w:color="auto"/>
        <w:left w:val="none" w:sz="0" w:space="0" w:color="auto"/>
        <w:bottom w:val="none" w:sz="0" w:space="0" w:color="auto"/>
        <w:right w:val="none" w:sz="0" w:space="0" w:color="auto"/>
      </w:divBdr>
    </w:div>
    <w:div w:id="1517035595">
      <w:bodyDiv w:val="1"/>
      <w:marLeft w:val="0"/>
      <w:marRight w:val="0"/>
      <w:marTop w:val="0"/>
      <w:marBottom w:val="0"/>
      <w:divBdr>
        <w:top w:val="none" w:sz="0" w:space="0" w:color="auto"/>
        <w:left w:val="none" w:sz="0" w:space="0" w:color="auto"/>
        <w:bottom w:val="none" w:sz="0" w:space="0" w:color="auto"/>
        <w:right w:val="none" w:sz="0" w:space="0" w:color="auto"/>
      </w:divBdr>
    </w:div>
    <w:div w:id="1541937509">
      <w:bodyDiv w:val="1"/>
      <w:marLeft w:val="0"/>
      <w:marRight w:val="0"/>
      <w:marTop w:val="0"/>
      <w:marBottom w:val="0"/>
      <w:divBdr>
        <w:top w:val="none" w:sz="0" w:space="0" w:color="auto"/>
        <w:left w:val="none" w:sz="0" w:space="0" w:color="auto"/>
        <w:bottom w:val="none" w:sz="0" w:space="0" w:color="auto"/>
        <w:right w:val="none" w:sz="0" w:space="0" w:color="auto"/>
      </w:divBdr>
    </w:div>
    <w:div w:id="1575699539">
      <w:bodyDiv w:val="1"/>
      <w:marLeft w:val="0"/>
      <w:marRight w:val="0"/>
      <w:marTop w:val="0"/>
      <w:marBottom w:val="0"/>
      <w:divBdr>
        <w:top w:val="none" w:sz="0" w:space="0" w:color="auto"/>
        <w:left w:val="none" w:sz="0" w:space="0" w:color="auto"/>
        <w:bottom w:val="none" w:sz="0" w:space="0" w:color="auto"/>
        <w:right w:val="none" w:sz="0" w:space="0" w:color="auto"/>
      </w:divBdr>
    </w:div>
    <w:div w:id="1607035235">
      <w:bodyDiv w:val="1"/>
      <w:marLeft w:val="0"/>
      <w:marRight w:val="0"/>
      <w:marTop w:val="0"/>
      <w:marBottom w:val="0"/>
      <w:divBdr>
        <w:top w:val="none" w:sz="0" w:space="0" w:color="auto"/>
        <w:left w:val="none" w:sz="0" w:space="0" w:color="auto"/>
        <w:bottom w:val="none" w:sz="0" w:space="0" w:color="auto"/>
        <w:right w:val="none" w:sz="0" w:space="0" w:color="auto"/>
      </w:divBdr>
      <w:divsChild>
        <w:div w:id="2145080111">
          <w:marLeft w:val="446"/>
          <w:marRight w:val="0"/>
          <w:marTop w:val="0"/>
          <w:marBottom w:val="0"/>
          <w:divBdr>
            <w:top w:val="none" w:sz="0" w:space="0" w:color="auto"/>
            <w:left w:val="none" w:sz="0" w:space="0" w:color="auto"/>
            <w:bottom w:val="none" w:sz="0" w:space="0" w:color="auto"/>
            <w:right w:val="none" w:sz="0" w:space="0" w:color="auto"/>
          </w:divBdr>
        </w:div>
      </w:divsChild>
    </w:div>
    <w:div w:id="1631204873">
      <w:bodyDiv w:val="1"/>
      <w:marLeft w:val="0"/>
      <w:marRight w:val="0"/>
      <w:marTop w:val="0"/>
      <w:marBottom w:val="0"/>
      <w:divBdr>
        <w:top w:val="none" w:sz="0" w:space="0" w:color="auto"/>
        <w:left w:val="none" w:sz="0" w:space="0" w:color="auto"/>
        <w:bottom w:val="none" w:sz="0" w:space="0" w:color="auto"/>
        <w:right w:val="none" w:sz="0" w:space="0" w:color="auto"/>
      </w:divBdr>
    </w:div>
    <w:div w:id="1759986908">
      <w:bodyDiv w:val="1"/>
      <w:marLeft w:val="0"/>
      <w:marRight w:val="0"/>
      <w:marTop w:val="0"/>
      <w:marBottom w:val="0"/>
      <w:divBdr>
        <w:top w:val="none" w:sz="0" w:space="0" w:color="auto"/>
        <w:left w:val="none" w:sz="0" w:space="0" w:color="auto"/>
        <w:bottom w:val="none" w:sz="0" w:space="0" w:color="auto"/>
        <w:right w:val="none" w:sz="0" w:space="0" w:color="auto"/>
      </w:divBdr>
    </w:div>
    <w:div w:id="1822889557">
      <w:bodyDiv w:val="1"/>
      <w:marLeft w:val="0"/>
      <w:marRight w:val="0"/>
      <w:marTop w:val="0"/>
      <w:marBottom w:val="0"/>
      <w:divBdr>
        <w:top w:val="none" w:sz="0" w:space="0" w:color="auto"/>
        <w:left w:val="none" w:sz="0" w:space="0" w:color="auto"/>
        <w:bottom w:val="none" w:sz="0" w:space="0" w:color="auto"/>
        <w:right w:val="none" w:sz="0" w:space="0" w:color="auto"/>
      </w:divBdr>
    </w:div>
    <w:div w:id="1845584301">
      <w:bodyDiv w:val="1"/>
      <w:marLeft w:val="0"/>
      <w:marRight w:val="0"/>
      <w:marTop w:val="0"/>
      <w:marBottom w:val="0"/>
      <w:divBdr>
        <w:top w:val="none" w:sz="0" w:space="0" w:color="auto"/>
        <w:left w:val="none" w:sz="0" w:space="0" w:color="auto"/>
        <w:bottom w:val="none" w:sz="0" w:space="0" w:color="auto"/>
        <w:right w:val="none" w:sz="0" w:space="0" w:color="auto"/>
      </w:divBdr>
      <w:divsChild>
        <w:div w:id="620957973">
          <w:marLeft w:val="446"/>
          <w:marRight w:val="0"/>
          <w:marTop w:val="0"/>
          <w:marBottom w:val="0"/>
          <w:divBdr>
            <w:top w:val="none" w:sz="0" w:space="0" w:color="auto"/>
            <w:left w:val="none" w:sz="0" w:space="0" w:color="auto"/>
            <w:bottom w:val="none" w:sz="0" w:space="0" w:color="auto"/>
            <w:right w:val="none" w:sz="0" w:space="0" w:color="auto"/>
          </w:divBdr>
        </w:div>
      </w:divsChild>
    </w:div>
    <w:div w:id="1845707337">
      <w:bodyDiv w:val="1"/>
      <w:marLeft w:val="0"/>
      <w:marRight w:val="0"/>
      <w:marTop w:val="0"/>
      <w:marBottom w:val="0"/>
      <w:divBdr>
        <w:top w:val="none" w:sz="0" w:space="0" w:color="auto"/>
        <w:left w:val="none" w:sz="0" w:space="0" w:color="auto"/>
        <w:bottom w:val="none" w:sz="0" w:space="0" w:color="auto"/>
        <w:right w:val="none" w:sz="0" w:space="0" w:color="auto"/>
      </w:divBdr>
    </w:div>
    <w:div w:id="1855336161">
      <w:bodyDiv w:val="1"/>
      <w:marLeft w:val="0"/>
      <w:marRight w:val="0"/>
      <w:marTop w:val="0"/>
      <w:marBottom w:val="0"/>
      <w:divBdr>
        <w:top w:val="none" w:sz="0" w:space="0" w:color="auto"/>
        <w:left w:val="none" w:sz="0" w:space="0" w:color="auto"/>
        <w:bottom w:val="none" w:sz="0" w:space="0" w:color="auto"/>
        <w:right w:val="none" w:sz="0" w:space="0" w:color="auto"/>
      </w:divBdr>
    </w:div>
    <w:div w:id="1997033262">
      <w:bodyDiv w:val="1"/>
      <w:marLeft w:val="0"/>
      <w:marRight w:val="0"/>
      <w:marTop w:val="0"/>
      <w:marBottom w:val="0"/>
      <w:divBdr>
        <w:top w:val="none" w:sz="0" w:space="0" w:color="auto"/>
        <w:left w:val="none" w:sz="0" w:space="0" w:color="auto"/>
        <w:bottom w:val="none" w:sz="0" w:space="0" w:color="auto"/>
        <w:right w:val="none" w:sz="0" w:space="0" w:color="auto"/>
      </w:divBdr>
    </w:div>
    <w:div w:id="204003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mo-validator.ign.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nigfr/Geostandards-Risques/blob/main/suivi/2025-06-05-Pleniere-GT-Risques/2025-06-05-Pleniere-GT-Risques-SPP-25-0061.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3ACB6-1679-4CF4-A542-A0296DD7A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4</Pages>
  <Words>1131</Words>
  <Characters>6225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Alison Lenain</dc:creator>
  <cp:lastModifiedBy>Gilles Cebelieu</cp:lastModifiedBy>
  <cp:revision>32</cp:revision>
  <dcterms:created xsi:type="dcterms:W3CDTF">2024-09-27T07:54:00Z</dcterms:created>
  <dcterms:modified xsi:type="dcterms:W3CDTF">2025-07-17T07:14:00Z</dcterms:modified>
</cp:coreProperties>
</file>