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Master Tourism Dataset</w:t>
      </w:r>
    </w:p>
    <w:p>
      <w:pPr>
        <w:spacing w:after="60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Documentation &amp; Column Reference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Viral Tourism Resilience Project  ·  DTU 42578  ·  April 2026</w:t>
      </w:r>
    </w:p>
    <w:p>
      <w:pPr>
        <w:pBdr>
          <w:bottom w:val="single" w:color="AECDE8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Dataset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master dataset is the single source of truth for the group's empirical analysis. It combines Google Trends digital attention signals with Eurostat official tourism statistics across 6 European countries and 30 cities, covering January 2020 to March 2026.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data/processed/master_tourism_dataset.csv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Rows</w:t>
            </w:r>
          </w:p>
        </w:tc>
        <w:tc>
          <w:tcPr>
            <w:tcW w:type="dxa" w:w="6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2,250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Columns</w:t>
            </w:r>
          </w:p>
        </w:tc>
        <w:tc>
          <w:tcPr>
            <w:tcW w:type="dxa" w:w="6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Countries</w:t>
            </w:r>
          </w:p>
        </w:tc>
        <w:tc>
          <w:tcPr>
            <w:tcW w:type="dxa" w:w="6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 (Spain, Croatia, Italy, Albania, Malta, Greece)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Cities</w:t>
            </w:r>
          </w:p>
        </w:tc>
        <w:tc>
          <w:tcPr>
            <w:tcW w:type="dxa" w:w="6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(5–6 per country)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Time range</w:t>
            </w:r>
          </w:p>
        </w:tc>
        <w:tc>
          <w:tcPr>
            <w:tcW w:type="dxa" w:w="6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January 2020 – March 2026 (75 months per city)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Frequency</w:t>
            </w:r>
          </w:p>
        </w:tc>
        <w:tc>
          <w:tcPr>
            <w:tcW w:type="dxa" w:w="6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Git branch</w:t>
            </w:r>
          </w:p>
        </w:tc>
        <w:tc>
          <w:tcPr>
            <w:tcW w:type="dxa" w:w="6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main &amp; alex-working-branch</w:t>
            </w:r>
          </w:p>
        </w:tc>
      </w:tr>
    </w:tbl>
    <w:p>
      <w:pPr>
        <w:spacing w:after="240"/>
      </w:pPr>
    </w:p>
    <w:p>
      <w:pPr>
        <w:pBdr>
          <w:bottom w:val="single" w:color="AECDE8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Column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Geographic Identifiers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</w:t>
            </w:r>
          </w:p>
        </w:tc>
        <w:tc>
          <w:tcPr>
            <w:tcW w:type="dxa" w:w="5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day of the month (YYYY-MM-DD). One row per city per month.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Country name: Spain, Croatia, Italy, Albania, Malta, Greece.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region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NUTS2 region name (e.g. Cataluña, Adriatic Croatia, Crete).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county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Sub-regional administrative unit (e.g. Barcelona Province, Heraklion Regional Unit).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city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City key used as row identifier (e.g. barcelona, dubrovnik, athens). Lowercase, no spaces.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Google Trends Signals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All GT values are on a 0–100 relative scale where 100 = peak search interest within the series for that country and time window. Collected via pytrends, geo-filtered per country (e.g. ES for Spain, GR for Greece), timeframe 2020-01-01 to 2026-03-31. See Section 3 for the exact query strings per city.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rPr>
          <w:tblHeader/>
        </w:trP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gt_airbnb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 0–100</w:t>
            </w:r>
          </w:p>
        </w:tc>
        <w:tc>
          <w:tcPr>
            <w:tcW w:type="dxa" w:w="5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interest for '[City] airbnb'. Proxy for short-term rental demand intent.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gt_hotel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 0–100</w:t>
            </w:r>
          </w:p>
        </w:tc>
        <w:tc>
          <w:tcPr>
            <w:tcW w:type="dxa" w:w="5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interest for '[City] hotel'. Proxy for traditional accommodation demand.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gt_flights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 0–100</w:t>
            </w:r>
          </w:p>
        </w:tc>
        <w:tc>
          <w:tcPr>
            <w:tcW w:type="dxa" w:w="5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interest for '[City] flights'. Proxy for travel intent upstream of booking.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gt_attraction_1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 0–100</w:t>
            </w:r>
          </w:p>
        </w:tc>
        <w:tc>
          <w:tcPr>
            <w:tcW w:type="dxa" w:w="5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interest for the city's top attraction (see legend).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gt_attraction_2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 0–100</w:t>
            </w:r>
          </w:p>
        </w:tc>
        <w:tc>
          <w:tcPr>
            <w:tcW w:type="dxa" w:w="5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interest for the city's second attraction (see legend).</w:t>
            </w:r>
          </w:p>
        </w:tc>
      </w:tr>
      <w:tr>
        <w:tc>
          <w:tcPr>
            <w:tcW w:type="dxa" w:w="2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gt_attraction_3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integer 0–100</w:t>
            </w:r>
          </w:p>
        </w:tc>
        <w:tc>
          <w:tcPr>
            <w:tcW w:type="dxa" w:w="51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Search interest for the city's third attraction. Zero for 6 cities where Google Trends returned no data regardless of retries (genuine zero volume).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7F7F7F"/>
          <w:sz w:val="19"/>
          <w:szCs w:val="19"/>
        </w:rPr>
        <w:t xml:space="preserve">⚠ GT signals are country-level — all cities within the same country share the same Google geo scope. A spike in 'Barcelona hotel' reflects interest across Spain, not Barcelona exclusively.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7F7F7F"/>
          <w:sz w:val="19"/>
          <w:szCs w:val="19"/>
        </w:rPr>
        <w:t xml:space="preserve">⚠ Zero values in gt_attraction_3 for Varazdin, Tirana, Sarande, Gjirokastra, Valletta, Rhodes, and Thessaloniki represent true absence of search data, not missing values.</w:t>
      </w:r>
    </w:p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Eurostat — Monthly Accommodation Statistics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Source: Eurostat tour_occ_nim and tour_occ_arm. Filter applied: unit=NR (number), c_resid=TOTAL (residents + foreign), nace_r2=I551-I553 (all accommodation types). Country-level figures — same value for all cities within a country for a given month.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dataset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nights_spent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tour_occ_nim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nights spent at tourist accommodation in the country that month. Key dependent variable for the study.</w:t>
            </w:r>
          </w:p>
        </w:tc>
      </w:tr>
      <w:tr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arrivals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tour_occ_arm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tourist arrivals (check-ins) at accommodation in the country that month. ~3.6% NaN (Albania has reporting gaps).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Eurostat — Annual Capacity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Source: Eurostat tour_cap_nat. Filter: unit=NR, accomunit=BEDPL (bed-places), nace_r2=I551-I553. Annual country-level figure repeated across all 12 months of that year.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dataset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bed_places</w:t>
            </w:r>
          </w:p>
        </w:tc>
        <w:tc>
          <w:tcPr>
            <w:tcW w:type="dxa" w:w="1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tour_cap_nat</w:t>
            </w:r>
          </w:p>
        </w:tc>
        <w:tc>
          <w:tcPr>
            <w:tcW w:type="dxa" w:w="5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Total bed-places (accommodation capacity) in the country. Annual figure; NaN for Albania (not in Eurostat) and 2025–2026 rows (not yet published).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Derived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avg_length_of_stay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nights_spent / arrivals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Average days per tourist visit. Clipped to 1–30 days. A proxy for trip depth — drops when a destination attracts more short 'Instagram trips'.</w:t>
            </w:r>
          </w:p>
        </w:tc>
      </w:tr>
      <w:tr>
        <w:tc>
          <w:tcPr>
            <w:tcW w:type="dxa" w:w="24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occupancy_rate</w:t>
            </w:r>
          </w:p>
        </w:tc>
        <w:tc>
          <w:tcPr>
            <w:tcW w:type="dxa" w:w="30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nights_spent / (bed_places × days_in_month) × 100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Percentage of accommodation capacity used. Clipped 0–100%. Best measure of whether a destination is actually overwhelmed. NaN where bed_places is NaN.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i/>
          <w:iCs/>
          <w:color w:val="7F7F7F"/>
          <w:sz w:val="19"/>
          <w:szCs w:val="19"/>
        </w:rPr>
        <w:t xml:space="preserve">⚠ occupancy_rate uses country-level bed_places as denominator, so it underestimates pressure in specific hotspot cities (e.g. Dubrovnik in peak summer). Use as a national stress indicator, not a city-level one.</w:t>
      </w:r>
    </w:p>
    <w:p>
      <w:pPr>
        <w:spacing w:after="240"/>
      </w:pPr>
    </w:p>
    <w:p>
      <w:pPr>
        <w:pBdr>
          <w:bottom w:val="single" w:color="AECDE8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Google Trends Attraction Query Legend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table below maps each city's gt_attraction_1/2/3 column to the exact Google Trends query string used during data collection.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820"/>
        <w:gridCol w:w="1820"/>
        <w:gridCol w:w="2820"/>
      </w:tblGrid>
      <w:tr>
        <w:trPr>
          <w:tblHeader/>
        </w:trP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Country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gt_attraction_1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gt_attraction_2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gt_attraction_3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barcelona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Spain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Sagrada Familia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Park Guell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Barcelona festival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madrid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Spain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Prado Museum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Retiro Park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Madrid festival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valencia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Spain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City of Arts and Sciences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Valencia Cathedral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Las Fallas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balearics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Spain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Palma de Mallorca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Formentera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Ibiza festival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andalusia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Spain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Alhambra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Seville Cathedral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Feria de Abril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canary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Spain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Teide volcano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Gran Canaria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Canary Islands festival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split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Croatia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Diocletian Palace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Marjan Hill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Split Riva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dubrovnik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Croatia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Dubrovnik Old Town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Walls of Dubrovnik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Lokrum Island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osijek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Croatia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Tvrda Osijek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Kopacki Rit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Drava River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varazdin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Croatia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Varazdin Castle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Spancirfest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Varazdin Cemetery ⁰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zagreb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Croatia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Zagreb Cathedral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Ban Jelacic Square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Maksimir Park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milan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Italy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Duomo di Milano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Galleria Vittorio Emanuele II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Teatro alla Scala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venice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Italy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St. Mark's Basilica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Grand Canal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Doge's Palace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rome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Italy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Colosseum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Trevi Fountain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Pantheon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naples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Italy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Mount Vesuvius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Pompeii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Amalfi Coast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palermo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Italy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Valley of the Temples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Mount Etna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Palermo Cathedral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tirana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Albania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Skanderbeg Square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Bunk Art Museum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Et hem Bey Mosque ⁰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sarande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Albania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Ksamil Beach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Butrint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Blue Eye Spring ⁰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berat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Albania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Berat Castle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Onufri Museum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Gorica Bridge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shkoder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Albania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Shkoder Castle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Lake Shkoder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Marubi Museum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gjirokastra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Albania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Gjirokaster Castle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Old Bazaar Gjirokaster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Ali Pasha Tower ⁰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valletta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Malta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Three Cities Malta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Grand Harbour Malta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Fort Saint Elmo Malta ⁰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st_julians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Malta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 John Co-Cathedral Malta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Spinola Bay Malta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Rotunda of Mosta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st_pauls_bay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Malta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Ghadira Bay Malta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Popeye Village Malta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Golden Bay Malta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victoria_gozo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Malta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Citadella Gozo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Dwejra Gozo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Blue Lagoon Malta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athens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Greece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Acropolis Athens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Parthenon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Cape Sounion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rhodes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Greece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Medieval City of Rhodes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Santorini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Delos archaeological site ⁰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heraklion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Greece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Palace of Knossos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Samaria Gorge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Elafonissi Beach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thessaloniki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Greece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White Tower Thessaloniki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Mount Olympus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7"/>
                <w:szCs w:val="17"/>
              </w:rPr>
              <w:t xml:space="preserve">Vergina archaeological site ⁰</w:t>
            </w:r>
          </w:p>
        </w:tc>
      </w:tr>
      <w:tr>
        <w:tc>
          <w:tcPr>
            <w:tcW w:type="dxa" w:w="16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corfu</w:t>
            </w:r>
          </w:p>
        </w:tc>
        <w:tc>
          <w:tcPr>
            <w:tcW w:type="dxa" w:w="13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5B6"/>
                <w:sz w:val="19"/>
                <w:szCs w:val="19"/>
              </w:rPr>
              <w:t xml:space="preserve">Greece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Old Town of Corfu</w:t>
            </w:r>
          </w:p>
        </w:tc>
        <w:tc>
          <w:tcPr>
            <w:tcW w:type="dxa" w:w="1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Navagio Beach Zakynthos</w:t>
            </w:r>
          </w:p>
        </w:tc>
        <w:tc>
          <w:tcPr>
            <w:tcW w:type="dxa" w:w="282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Melissani Cave Kefalonia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⁰ Zero search volume — Google Trends returned no data for this query regardless of retries. gt_attraction_3 stored as 0 (not NaN).</w:t>
      </w:r>
    </w:p>
    <w:p>
      <w:pPr>
        <w:spacing w:after="240"/>
      </w:pPr>
    </w:p>
    <w:p>
      <w:pPr>
        <w:pBdr>
          <w:bottom w:val="single" w:color="AECDE8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Known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Affected columns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GT signals are country-level (geo=ES/HR/IT/AL/MT/GR), not city-level.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gt_* columns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Cannot distinguish demand for Barcelona vs. Seville from the signal alone. Use city fixed-effects in models.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Eurostat figures are country-level, not city-level.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nights_spent, arrivals, bed_places, avg_length_of_stay, occupancy_rate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cities in the same country share identical Eurostat values for a given month.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bed_places is annual, repeated across monthly rows.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bed_places, occupancy_rate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occupancy_rate is an approximation. Seasonal capacity changes (e.g. hotels closing in winter) are not captured.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Albania has no bed_places data in Eurostat.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bed_places, occupancy_rate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Both columns are NaN for all Albanian cities. Cannot compute occupancy-based shock detection for Albania.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2025-2026 rows have NaN in nights_spent, arrivals, and bed_places for some countries.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nights_spent, arrivals, bed_places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Eurostat publication lag. Most countries have data through late 2024 or early 2025.</w:t>
            </w:r>
          </w:p>
        </w:tc>
      </w:tr>
      <w:tr>
        <w:tc>
          <w:tcPr>
            <w:tcW w:type="dxa" w:w="3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gt_attraction_3 = 0 for 7 cities.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gt_attraction_3</w:t>
            </w:r>
          </w:p>
        </w:tc>
        <w:tc>
          <w:tcPr>
            <w:tcW w:type="dxa" w:w="39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is accurate (no search volume), not missing data. Safe to include in models.</w:t>
            </w:r>
          </w:p>
        </w:tc>
      </w:tr>
    </w:tbl>
    <w:p>
      <w:pPr>
        <w:spacing w:after="240"/>
      </w:pPr>
    </w:p>
    <w:p>
      <w:pPr>
        <w:pBdr>
          <w:bottom w:val="single" w:color="AECDE8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Data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 code</w:t>
            </w:r>
          </w:p>
        </w:tc>
        <w:tc>
          <w:tcPr>
            <w:tcW w:type="dxa" w:w="4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Trends (via pytrends)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Relative search interest, monthly, 2020–2026. Collected April 2026.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Eurostat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tour_occ_nim</w:t>
            </w:r>
          </w:p>
        </w:tc>
        <w:tc>
          <w:tcPr>
            <w:tcW w:type="dxa" w:w="4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nights spent at tourist accommodation, country level.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Eurostat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tour_occ_arm</w:t>
            </w:r>
          </w:p>
        </w:tc>
        <w:tc>
          <w:tcPr>
            <w:tcW w:type="dxa" w:w="4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 tourist arrivals at accommodation, country level.</w:t>
            </w:r>
          </w:p>
        </w:tc>
      </w:tr>
      <w:tr>
        <w:tc>
          <w:tcPr>
            <w:tcW w:type="dxa" w:w="28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Eurostat</w:t>
            </w:r>
          </w:p>
        </w:tc>
        <w:tc>
          <w:tcPr>
            <w:tcW w:type="dxa" w:w="220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tour_cap_nat</w:t>
            </w:r>
          </w:p>
        </w:tc>
        <w:tc>
          <w:tcPr>
            <w:tcW w:type="dxa" w:w="4360"/>
            <w:tcBorders>
              <w:top w:val="single" w:color="AECDE8" w:sz="1"/>
              <w:left w:val="single" w:color="AECDE8" w:sz="1"/>
              <w:bottom w:val="single" w:color="AECDE8" w:sz="1"/>
              <w:right w:val="single" w:color="AECDE8" w:sz="1"/>
            </w:tcBorders>
            <w:shd w:fill="F2F7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Annual bed-places capacity, country level.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ECDE8" w:sz="4" w:space="4"/>
      </w:pBdr>
      <w:jc w:val="center"/>
    </w:pPr>
    <w:r>
      <w:rPr>
        <w:rFonts w:ascii="Arial" w:cs="Arial" w:eastAsia="Arial" w:hAnsi="Arial"/>
        <w:color w:val="7F7F7F"/>
        <w:sz w:val="18"/>
        <w:szCs w:val="18"/>
      </w:rPr>
      <w:t xml:space="preserve">Page </w:t>
    </w:r>
    <w:r>
      <w:rPr>
        <w:rFonts w:ascii="Arial" w:cs="Arial" w:eastAsia="Arial" w:hAnsi="Arial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8"/>
        <w:szCs w:val="18"/>
      </w:rPr>
      <w:t xml:space="preserve">  |  42578 Advanced Business Analytics · DTU · Spring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ECDE8" w:sz="4" w:space="4"/>
      </w:pBdr>
      <w:jc w:val="right"/>
    </w:pPr>
    <w:r>
      <w:rPr>
        <w:rFonts w:ascii="Arial" w:cs="Arial" w:eastAsia="Arial" w:hAnsi="Arial"/>
        <w:color w:val="7F7F7F"/>
        <w:sz w:val="18"/>
        <w:szCs w:val="18"/>
      </w:rPr>
      <w:t xml:space="preserve">Viral Tourism Resilience — Master Dataset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2026-04-22T20:10:30.310Z</dcterms:created>
  <dcterms:modified xsi:type="dcterms:W3CDTF">2026-04-22T20:10:30.312Z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