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Mary Gates Hall, Ste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Pr="006C7905" w:rsidRDefault="006C7905" w:rsidP="006A25D8">
      <w:pPr>
        <w:spacing w:after="0" w:line="240" w:lineRule="auto"/>
      </w:pPr>
      <w:r>
        <w:t>We are investigating the successes and failures of non-physical</w:t>
      </w:r>
      <w:bookmarkStart w:id="0" w:name="_GoBack"/>
      <w:bookmarkEnd w:id="0"/>
    </w:p>
    <w:p w:rsidR="006A25D8" w:rsidRPr="003C085A" w:rsidRDefault="006A25D8" w:rsidP="006A25D8">
      <w:pPr>
        <w:spacing w:after="0" w:line="240" w:lineRule="auto"/>
        <w:rPr>
          <w:b/>
          <w:smallCaps/>
          <w:sz w:val="24"/>
        </w:rPr>
      </w:pPr>
      <w:r w:rsidRPr="003C085A">
        <w:rPr>
          <w:b/>
          <w:smallCaps/>
          <w:sz w:val="24"/>
        </w:rPr>
        <w:t>An Overview of Bubble Keyboard</w:t>
      </w:r>
    </w:p>
    <w:p w:rsidR="006A25D8" w:rsidRPr="003C085A" w:rsidRDefault="006A25D8" w:rsidP="006A25D8">
      <w:pPr>
        <w:spacing w:after="0" w:line="240" w:lineRule="auto"/>
        <w:rPr>
          <w:b/>
          <w:smallCaps/>
          <w:sz w:val="24"/>
        </w:rPr>
      </w:pPr>
      <w:r w:rsidRPr="003C085A">
        <w:rPr>
          <w:b/>
          <w:smallCaps/>
          <w:sz w:val="24"/>
        </w:rPr>
        <w:t>Related Work</w:t>
      </w:r>
    </w:p>
    <w:p w:rsidR="003C085A" w:rsidRDefault="003C085A" w:rsidP="006A25D8">
      <w:pPr>
        <w:spacing w:after="0" w:line="240" w:lineRule="auto"/>
        <w:rPr>
          <w:b/>
          <w:smallCaps/>
          <w:sz w:val="24"/>
        </w:rPr>
      </w:pPr>
    </w:p>
    <w:p w:rsidR="00312D13" w:rsidRPr="003C085A" w:rsidRDefault="00312D13" w:rsidP="006A25D8">
      <w:pPr>
        <w:spacing w:after="0" w:line="240" w:lineRule="auto"/>
        <w:rPr>
          <w:b/>
          <w:smallCaps/>
          <w:sz w:val="24"/>
        </w:rPr>
      </w:pP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t>
      </w:r>
      <w:r w:rsidR="00B64E0A">
        <w:lastRenderedPageBreak/>
        <w:t>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for the first letter of the word is based on trigram prediction</w:t>
      </w:r>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rsidR="0045540F" w:rsidRDefault="0045540F" w:rsidP="008B5F9F">
      <w:pPr>
        <w:spacing w:after="0" w:line="240" w:lineRule="auto"/>
      </w:pPr>
    </w:p>
    <w:p w:rsidR="0045540F" w:rsidRDefault="00A95201" w:rsidP="008B5F9F">
      <w:pPr>
        <w:spacing w:after="0" w:line="240" w:lineRule="auto"/>
      </w:pPr>
      <w:r>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 xml:space="preserve">tree dictionary is traversed according to the string currently typed. The tree dictionary data with probability of word occurrence and </w:t>
      </w:r>
      <w:r w:rsidR="00D00093">
        <w:lastRenderedPageBreak/>
        <w:t>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8741D0" w:rsidP="008B5F9F">
      <w:pPr>
        <w:spacing w:after="0" w:line="240" w:lineRule="auto"/>
      </w:pPr>
      <w:r>
        <w:rPr>
          <w:noProof/>
        </w:rPr>
        <w:drawing>
          <wp:anchor distT="0" distB="0" distL="114300" distR="114300" simplePos="0" relativeHeight="251658240" behindDoc="0" locked="0" layoutInCell="1" allowOverlap="1" wp14:anchorId="0F6134AD" wp14:editId="1F2E7CAF">
            <wp:simplePos x="0" y="0"/>
            <wp:positionH relativeFrom="column">
              <wp:posOffset>3152775</wp:posOffset>
            </wp:positionH>
            <wp:positionV relativeFrom="paragraph">
              <wp:posOffset>-6873875</wp:posOffset>
            </wp:positionV>
            <wp:extent cx="305498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ram_Demonstration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4985" cy="2072005"/>
                    </a:xfrm>
                    <a:prstGeom prst="rect">
                      <a:avLst/>
                    </a:prstGeom>
                  </pic:spPr>
                </pic:pic>
              </a:graphicData>
            </a:graphic>
            <wp14:sizeRelH relativeFrom="page">
              <wp14:pctWidth>0</wp14:pctWidth>
            </wp14:sizeRelH>
            <wp14:sizeRelV relativeFrom="page">
              <wp14:pctHeight>0</wp14:pctHeight>
            </wp14:sizeRelV>
          </wp:anchor>
        </w:drawing>
      </w:r>
      <w:r w:rsidR="00574B90">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rsidR="00574B90">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For example, the trigram trio “across the pond” would be represented by the indices 3</w:t>
      </w:r>
      <w:proofErr w:type="gramStart"/>
      <w:r>
        <w:t>,  16687</w:t>
      </w:r>
      <w:proofErr w:type="gramEnd"/>
      <w:r>
        <w:t>,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Pr>
          <w:noProof/>
        </w:rPr>
        <w:lastRenderedPageBreak/>
        <w:drawing>
          <wp:inline distT="0" distB="0" distL="0" distR="0" wp14:anchorId="55C05C40" wp14:editId="4F9FEB06">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53E4"/>
    <w:rsid w:val="00225067"/>
    <w:rsid w:val="00230922"/>
    <w:rsid w:val="00230DFD"/>
    <w:rsid w:val="002349B6"/>
    <w:rsid w:val="00237DC0"/>
    <w:rsid w:val="00247C8A"/>
    <w:rsid w:val="00250B33"/>
    <w:rsid w:val="00266BA0"/>
    <w:rsid w:val="002844AD"/>
    <w:rsid w:val="002A5355"/>
    <w:rsid w:val="002D3026"/>
    <w:rsid w:val="002E51F8"/>
    <w:rsid w:val="002E7AA9"/>
    <w:rsid w:val="002F0264"/>
    <w:rsid w:val="002F08A4"/>
    <w:rsid w:val="002F190C"/>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67692"/>
    <w:rsid w:val="00A71330"/>
    <w:rsid w:val="00A80CB6"/>
    <w:rsid w:val="00A95201"/>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A2535"/>
    <w:rsid w:val="00BB1BA8"/>
    <w:rsid w:val="00BB22B3"/>
    <w:rsid w:val="00BB4DE4"/>
    <w:rsid w:val="00BB659B"/>
    <w:rsid w:val="00BD2DE9"/>
    <w:rsid w:val="00BE4137"/>
    <w:rsid w:val="00BE6BD2"/>
    <w:rsid w:val="00BF5AAF"/>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3502"/>
    <w:rsid w:val="00CE545E"/>
    <w:rsid w:val="00CE554F"/>
    <w:rsid w:val="00CF0763"/>
    <w:rsid w:val="00D00093"/>
    <w:rsid w:val="00D05510"/>
    <w:rsid w:val="00D12E93"/>
    <w:rsid w:val="00D264FF"/>
    <w:rsid w:val="00D34CD4"/>
    <w:rsid w:val="00D41951"/>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8A48A-61A7-4531-BB23-17D82904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5788</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11</cp:revision>
  <dcterms:created xsi:type="dcterms:W3CDTF">2012-07-03T03:44:00Z</dcterms:created>
  <dcterms:modified xsi:type="dcterms:W3CDTF">2012-07-13T06:32:00Z</dcterms:modified>
</cp:coreProperties>
</file>