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ascii="Microsoft YaHei UI" w:hAnsi="Microsoft YaHei UI" w:eastAsia="Microsoft YaHei UI" w:cs="Microsoft YaHei UI"/>
          <w:b w:val="0"/>
          <w:i w:val="0"/>
          <w:caps w:val="0"/>
          <w:color w:val="333333"/>
          <w:spacing w:val="8"/>
          <w:sz w:val="25"/>
          <w:szCs w:val="25"/>
        </w:rPr>
      </w:pPr>
      <w:r>
        <w:rPr>
          <w:rFonts w:ascii="黑体" w:hAnsi="宋体" w:eastAsia="黑体" w:cs="黑体"/>
          <w:b w:val="0"/>
          <w:i w:val="0"/>
          <w:caps w:val="0"/>
          <w:color w:val="333333"/>
          <w:spacing w:val="8"/>
          <w:sz w:val="21"/>
          <w:szCs w:val="21"/>
          <w:bdr w:val="none" w:color="auto" w:sz="0" w:space="0"/>
          <w:shd w:val="clear" w:fill="FFFFFF"/>
        </w:rPr>
        <w:t>2019年5月12日真题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初级（实务）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1、下列各项中，影响企业利润表“利润总额”项目的是（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A.收到投资者超过注册资本份</w:t>
      </w:r>
      <w:bookmarkStart w:id="0" w:name="_GoBack"/>
      <w:bookmarkEnd w:id="0"/>
      <w:r>
        <w:rPr>
          <w:rFonts w:hint="eastAsia" w:ascii="黑体" w:hAnsi="宋体" w:eastAsia="黑体" w:cs="黑体"/>
          <w:b w:val="0"/>
          <w:i w:val="0"/>
          <w:caps w:val="0"/>
          <w:color w:val="333333"/>
          <w:spacing w:val="8"/>
          <w:sz w:val="21"/>
          <w:szCs w:val="21"/>
          <w:bdr w:val="none" w:color="auto" w:sz="0" w:space="0"/>
          <w:shd w:val="clear" w:fill="FFFFFF"/>
        </w:rPr>
        <w:t>额的出资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B.向投资者分配的现金股利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C.向灾区捐款发生的支出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D.确认的所得税费用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【解析】选项A计入实收资本(股本；选项B计入利润分配；选项C计入营业外支出 ；选项D计入所得税费用，答案ABD不会影响利润总额，答案选C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2、下列各项中，年终结转后“利润分配—未分配利润”科目借方余额反映的是（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A.本年发生的净亏损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B.本年实现的净利润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C.历年累积未弥补的亏损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D.历年累积未分配的利润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【解析】借方是已分配的利润或转入的亏损，贷方是转入的净利润。年末结转后的“利润分配——未分配利润”账户的贷方期末余额反映累计的未分配利润，借方期末余额反映累计的未弥补亏损。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2018年12月1日，某企业“交易性金融资产——A上市公司股票”借方余额为1000000元，12月31日，A上市公司除股票的公允价值1050000元。不考虑其他因素，下列各项中，该企业关干持有A上市公司股票相关会计科目处理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A.贷记“营业外收入”科目50000元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B.贷记“资本公积”科目50000元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C.贷记“公允价值变动损益”科目50000元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D.贷记“投资收益”科目50000元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【解析】交易性金融资产持有期间增值，借：交易性金融资产-公允价值变动50000贷：公允价值变动损益50000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4、甲公司购入乙公司股票并划分为交易性金融资产，共支付价款3 600 000元（其中包含已宜告但未发放的现金股利100 000元），另支付相关交易费用10 000元，取得并经税务机关认证的增值税专用发票上注明的增值税税额为600元。不考虑其他因素，甲公司取得乙公司股票时应借记“交易性金融资产”科目的金额为（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A、3610000   B、3510000   C、3600000   D、3500000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【解析】支付价款3600000元，其中包含已宜告但未发放的现金股利100000元单独计入应收股利，不再计入成本。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5、某家电生产企业，2019年1月以其生产的每台成本为800元的微波炉作为非货币性福利发放给职工，发放数量为100台，该型号的微波炉不含增值税的市场售价为1000元，适用的增值税率为16%。不考虑其他因素，该企业确认职工薪酬的金额应该（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A、92800   B、80000   C、100000   D、116000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【解析】企业将自产的货物给员工发放福利视同销售，会计分录 借：应付职工薪酬116000 贷：主营业务收入100000 应交税费-应交增值税（销项税）16000同时结转成本 借：主营业务成本80000 贷：库存商品80000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6、下列各项中,应计入销售费用的是（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A.销售商品发生的商业折扣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B.销售商品发生的现金折扣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C.销售商品发生的销售折让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D.委托代销商品支付的手续费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【解析】选项AC冲减销售收入，选项B计入财务费用，答案选D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7、下列各项中,应计入销售费用的是（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A.销售商品发生的商业折扣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B.销售商品发生的现金折扣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C.销售商品发生的销售折让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D.委托代销商品支付的手续费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【解析】选项AC冲减销售收入，选项B计入财务费用，答案选D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8、下列各项中,不属于让渡资产使用权收入的是（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A.债券投资获得的利息收入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B.出租周转材料收取的租金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C.出租固定资产收取的保证金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D.股权投资获得的现金股利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【解析】出租固定资产收取的保证金，应计入其他应付款，属于企业的负债，不属于收入。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9、A公司2017年12月31日的股本是500万股,每股面值1元,资本公积(股本溢价) 1 000万元,盈余公积800万元,经股东大会批准, A公司以现金回购本公司股份500万股,如果按每股4元回购,则应冲减的盈余公积是（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B.500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C.1500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D.2000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【解析】企业回购股票(4-1）*500-1000=500（万），冲减盈余公积。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10、下列各项中，增值税一般纳税人当期发生（增值税专用发票已经税务机关认证）准予以后期间抵扣的进项税额，应计入的会计科目是（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A.应交税费——待转销项税额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B.应交税费——未交增值税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C.应交税费——待抵扣进项税额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D.应交税费——应交增值税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11、某事业单位年末按规定结转某项目财政拨款结余资金50 0000元，会计处理正确的是（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 借：财政拨款结转            50 000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贷：专用结余                 50 000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 借：财政拨款结转            50 000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贷：财政拨款结余              50 000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C借：财政拨款结转             50 000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贷：其他结余                 50 000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 借：财政拨款结转            50 000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贷：非财政拨款结余           50 000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1、下列各项中，关于制造业企业预提短期借款利息的会计科目处理正确的有（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A.借记“制造费用”科目       B.借记“财务费用”科目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C.贷记“应付账款”科目       D.贷记“应付利息”科目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解析；借记“财务费用”科目，贷记“应付利息”科目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2、下列项中，应通过“利润分配”科目核算的有（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A.用盈余公积弥补亏损     B.用可供分配利润分配现金殷利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C.提取法定盈余公积       D.用盈余公积转增资本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选项A 借：盈余公积 贷：利润分配；选项B借;利润分配 贷;应付股利；选项C借：利润分配 贷：盈余公积；选项D借：盈余公积 贷：实收资本（股本）答案D不选。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3、下列各项中，企业应通过“其他货币资金”科目核算的有（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A.用银行本票采购办公用品的款项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B.存入证券公司指定账户的款项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C.汇往异地银行开立采购专户的款项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D.存入银行信用证保证金专户的款项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4、属于企业流动负债的有（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A.收取客户的购货订金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B.本期从银行借入3年期借款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C.赊购材料应支付的货款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D.销售应税消费品应缴纳的消费税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【解析】选项A计入预收账款，选项B计入长期借款属于非流动负债，选项C计入应付账款，选项D计入应交税费。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5、某公司年初“利润分配——未分配利润”科目贷方全额700 000 元，本年实现净利润 5 000 000元。本年提取盈余公积500 000元，宣告分配现金股利2 000 000元，不考虑其他因素，该公司当年结转本年利润及其分配的会计处理正确的有（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A.结转本年实现的净利润时：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借：本年利润                   5 000 000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贷：利润分配——未分配利润      5 000 000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B.结转本年实现的净利润时：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借：利润分配——未分配利润     5 000 000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贷：本年利润                    5 000 000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C.结转“利润分配”科目所属明细科目余额时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借：利润分配一一未分配利润            2 500 000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贷：利润分配——提前法定盈余公积      500 000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利润分配——应付现金股利          2 000 000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D.结转“利润分配”科目所属明细科目余额时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借：利润分配——提前法定盈余公积      500 000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利润分配——应付现金股利          2 000 000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贷：利润分配一一未分配利              2 500 000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【解析】结转本年实现的净利润时：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借：本年利润                      5 000 000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贷：利润分配——未分配利润         5 000 000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结转”利润分配“科目所属明细科目余额时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借：利润分配一一未分配利润        2 500 000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贷：利润分配——提前法定盈余公积   500 000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利润分配——应付现金股利       2 000 000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6、下列各项中，企业摊销管理用的无形资产应计入的会计科目有（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A.管理费用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B.制造费用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C.其他业务成本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D.累计摊销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【解析】管理用的无形资产摊销会计分录；借：管理费用 贷：累计摊销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7、下列各项中，企业应当在所有者权益变动表单独列示反映的信总有（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A.向所有者（或股东）分配利润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B.综合收益总额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C.提取的盈余公积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D.所有者投入的资本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三、不定项选择题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（一）甲公司为增值税一般纳税人,存货按实际成本进行日常核算。2018 年 12 月初“应收账款”科目借方余额 800 000 元(各明细科目无贷方余额)，“应收票据”科目借方余额 300 000 元,“坏账准备—应收账款”科目贷方余额 80 000。2018 年 12 月甲公司发生如下经济业务：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(1)10 日,采用委托收款方式向乙公司销售一批商品,发出的商品满足收入确认条件,开具的增值税专用发票上注明价款为 500 000,增值税税额为 80 000 元，用银行存款为乙公司垫付运费 40 000 元，增值税税额为 4 000 元。上述全部款项至月末尚未收到。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(2)18 日,购入一批原材料,取得并经税务机关认证的增值税专用发票上注明的价款为 260 000 元,增值税税额为 41 600 元,材料验收入库。甲公司背书转让面值 300 000元、不带息的银行承兑汇票结算材料款，不足部分以银行存款补付。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（3）25 日，因丙公司破产，应收丙公司账款 400 000 元不能收回，经批准确认为坏账并予以核销。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（4）31 日，经评估计算，甲公司“坏账准备—应收账款”科目保持的贷方余额为 102400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1.根据资料(1),下列各项中,甲公司销售商品确认的应收账款（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A.624000   B.620000   C.540000   D.580000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【解析】500 000+80 000+40 000+4 000=624 000元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2.根据资料(2),下列各项中,甲公司采购材料相关会计科目处理正确的有（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【解析】赊销总应付金额=260 000+41 600=301 600元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背书转让票据300 000，支付银行存款1 600元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3.根据资料（3），下列各项中，甲公司核销坏账的会计处理正确的是（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A.借：信用减值损失—计提的坏账准备   400 000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贷：应收账款—丙公司                400 000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B.借：坏账准备—应收账款             400 000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贷：信用减值损失—计提的坏账准备    400 000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C.借：信用减值损失一计提的坏账准备   400 000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贷：坏账准备—应收账款              400 000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D.借：坏账准备—应收账款             400 000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贷：应收账款—丙公司                400 000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【解析】核销坏账准备就是实际（确认）发生的坏账损失，因此应当冲减“坏账准备”及“应收账款”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4、根据期初资料、资料（1）至（4），下列项中关于甲公司 12 月未坏账准备会计处理表述正确的是（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A.计提坏账准备前“坏账准备—应收账款”科目为贷方余额 80000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B.年末应计提坏账准备的金额为 422 400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C.计提坏账准备前“坏账准备—应收账款”科目为借方余额 320 000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D.本年未应计提坏账准备的金额为 102 400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【解析】期初坏账准备贷方余额“80000元”，核销借方“400 000元”，期末贷方余额应为“102 400元”，则102 400=80000-400 000+X，X的422 400 元B正确，C正确。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二）某企业为增值税一般纳税人，基本生产车间只生产M产品，采用品种法计算生产成本。原材料在生产开始时一次性投入，其他加工费用均衡发生，采用约当产量比例法计算完工产品成本与月末在产品成本。2018年12月，该企业产品生产的成本费用资科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（1）月初在产品200件，成本242000元，其中：耗用的直接材料费用为200000元，直接人工费用为24000元，制造费用为18000元，本月新投入800件，月末完工产品数量900件，月末在产品100件。期末在产品的完工程度为50%。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（2）本月生产产品耗用直接材料费用为750 000元，车间管理部门耗用材料费用为6 000元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（3）本月直接归集的产品生产工人薪酬共计为118500元；车间管理人员薪酬共计为47500元。本月计提车间固定资产折旧费为23500元。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1、根据资料1，月末计算产品其他加工费用时，在产品约当产量是（   ）件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A.50   B.400   C.100   D.200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【解析】月末在产品100件，期末在产品的完工程度为50%，相当于完工100*50%=50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2、根据资料1和资料2，下列各项中，关于直接材料费用在M在产品和完工产品之间分配结果表述正确的是（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A在产品95600元，完工产品860400元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B在产品95000元，完工产品855000元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C在产品50000元，完工产品900000元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D.在产品75600元，完工产品680400元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【解析】材料成本=200000+750000=950000，950000÷（900+100）=950，950*900=855000，100*950=95000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3、根据资料1和3，下列各项中，关于直接人工费用在完工产品和在产品之间分配结果正确的是（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A.在产品应负担的直接人工费用为10000元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B.完工产品应负担的直接人工费用为135000元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C.在产品应负担的直接人工费用为7500元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D.完工产品应负担的直接人工费用为128250元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【解析】直接人工=118500+24000=142500，142500÷（900+100x50%）=150，150*900=135000，150*50=7500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（三）某企业为增值税一般纳税人，2018年12月发生的有关经济业务如下，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2日，企业自行开发的一项行政部门管理用M非专利技术的研发活动结束，达到预期用途，其中，研究阶段自本年1月1日开始至6月30日结束，其发生支出600 000元，不符合资本化确认条件：开发阶段自本年7月1日开始至12月2日结束，共发生支出300 000元，全部符合资本化确认条件；企业预计M非专利技术的受益年限为5年，残值为零，采用直线法进行摊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（2）10日，购入一台不需要安装的N生产设备，取得经税务机关认证的增值税专用发票注明的价款为800 000元，增值税税额为128 000元，款项尚未支付。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（3）12日，N生产设备运达并交付使用，以银行存款支付N设备运输费，取得经税务机关认证的增值税专用发票注明的运输费为3 000，增值税税额300元。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根据上述材料，不考虑其他因素，分析回答下列小题。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1.根据资料（1），下列各项中，关于M非专利技术研发支出的会计科目处理表述正确的是（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A.6月30日之前发生的研发支出在发生时记入“研发支出一—费用化支出”科目共计600 000元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B.12月2日一次性将“研发支出一一资本化支出”科目归集金额300 000元转入“无形资产”科目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C.7月至12月发生的研发支出在发生时记入“研发支出一一资本化支出”科目共计300 000元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D.12月2日一次性将“研发支出一—费用化支出”科目归集金额600 000元转入“管理费用”科目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研究阶段发生的费用应当费用化，通过“研发支出一一费用化支出”科目归集，期末转入“管理费用”。开发阶段符合资本化支出通过“研究开发一—资本化支出”科目核算，待到无形资产达到预定可使用状态形成无形资产，将其余额转入“无形资产”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2.根据资料（1），下列各项中，关于M专利技术摊销的会计处理表述正确的是（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A.应自2019年1月起开始计提摊销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B.计提的摊销额应计入管理费用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C.2018年12月M非专利技术的摊销金额为5000元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D.应自2018年12月起开始计提摊销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【解析】对于使用寿命有限的无形资产应进行摊销，应当自可供使用（达到预定用途）当月起开始摊销。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3.根据资料（2）和（3），下列各项中，关于N设备的会计科目处理表述正确的是（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A.支付运输费3000元记入“在建工程”科目借方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B.购进设备价款800 000元记入“固定资产”科目借方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C.月末将“在建工程”科目借方金额3 000元转入“固定资产”科目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D支付运输费3 000元记入“固定资产”科目借方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【解析】购入一台不需要安装的N生产设备，所以已经达到可使用状态，不放在建工程，AC错误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4.根据资料（2）和（3），下列各项中，关于购进N设备的增值税会计科目处理正确的是（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A借记“应交税费一待抵扣进项税额”科目51，320元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B借记“应交税费一应交增值税（进项税额）”科目128 300元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C.借记“固定资产”科目128 000元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D.借记“应交税费一应交增值税（进项税额）”科目76 980元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【解析】【解析】因购买的是生产设备，是动产不用借记“应交税费一待抵扣进项税额，A错误，应借记固定资产803000，所以C错误，借记“应交税费一应交增值税（进项税额）”科目128，300元，所以D错误。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5.根据资料（1）和（3），该企业2018年12月31日资产负债表中“固定资产”项目和“无形资产”项目“期末余额”增加的金额分（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A.800000元和300000元      B.800000元和295000元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C.803000元和295000元      D.803000元和300000元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【解析】固定资产=803 000元（无需折旧）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无形资产=300 000-300 000÷5年÷12个月=295 000元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2019年5月12日真题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初级（经济法）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甲企业为增值税一般纳税人，2018年8月销售空调取得含增值税价款626.4万元，另收取包装物押金5.8万元，约定3个月返还；当月确认逾期不予退还的包装物押金为11.6万元。已知增值税税率为16%，计算甲企业当月上述业务增值税销项税额的下列算式中，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A.（626.4+5.8+11.6）×16%=103.008万元。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B.（626.4+11.6）÷（1+16%）×16%=88万元。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C.（626.4+5.8+11.6）÷（1+16%）×16%=88.8万元。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D.（626.4+11.6）×16%=102.08万元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【解析】一般货物的包装押金在逾期或满1年时确认收入，计算缴纳增值税。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2、根据税收征收管理法律制度的规定，纳税人申请税务行政复议的法定期限是（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A.在税务机关作出.具体行政行为之日起60日内。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B.在税务机关作出 具体行政行为之日起3个月内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C.在知道税务机关 作出具体行政行为之日起3个月内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D.在知道税务机关 作出具体行政行为之日起60日内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【解析】申请人可以在知道税务机关作出具体行政行为之日起60日内提出行政复议申请。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3、根据支付结算法律制度的规定，下列关于票据权利时效的表述中，正确的是（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A.持票人对前手的追索权自被拒绝承兑或拒绝付款之日起2年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B.持票人对商业汇票承兑人的权利自到期日起1年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C.持票人对银行汇票出票人的权利自出票日起2年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D.持票人对支票出票人的权利自出票日起1年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【解析】持票人对票据的出票人和承兑人的权利自票据到期日起2年。见票即付的汇票、本票自出票日起2年。持票人对支票出票人的权利，自出票日起6个月。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4、根据企业所得税法律制度的规定，下列固定资产中，在计算企业所得税应纳税所得额时，准予计算折旧扣除的是（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A.已足额提取折旧仍继续使用的机器设备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B.以经营租赁方式租入的机器设备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C.以融资租赁方式租入的机器设备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D.未投入使用的及其设备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在计算企业所得税应纳所得额时，不得扣除的有1.除房屋，建筑屋以外的未投入使用的资产，2.已足额提取折旧仍继续使用的固定资产，3.以经营租赁方式租入的固定资产4.以融资租赁方式租出的固定资产，5单独计价入账的土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1、根据增值税法律制度的规定，下列各项中，应按照“交通运输服务”税目计缴增值税的有（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A.道路通行服务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B.程租业务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C.湿租业务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D.期租业务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【解析】道路通行服务按照不动产租赁服务缴纳增值税。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2、根据会计法律制度的规定，下列各项中，属于会计报表的有（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A.利润表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B.资产负债表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C.审计报告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D.现金流量表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【解析】会计报表包括：资产负债表、利润表、现金流量表、所有者权益变动表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3、根据个人所得税法律的规定，下列各项中，属于专项附加扣除的有（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A.子女教育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B.继续教育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C.赡养老人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D.子女抚养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【解析】专项附加扣除包括1.子女教育2.继续教育3.大病医疗4.首套住房贷款利息5.租房租金6.赡养老人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4、根据支付结算法律制度的规定，下列事项中，签发汇兑凭证必须记载的有（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A.确定的金额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B.收款人名称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C.委托日期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D.汇款人签章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【解析】ABCD都属于必须记载的事项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5、根据劳动合同法律制度的规定，下列关于用人单位违法解除劳动合同法律后果的表述中正确的有（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A.用人单位支付了赔偿金的，不再支付经济补偿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B.违法解除劳动合同赔偿金的计算年限自用工之日起计算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C.劳动者要求继续履行且劳动合同可以继续履行的，用人单位应当继续履行的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D.劳动者不要求继续履行劳动合同的，用人单位应当按经济补偿标准的2倍向劳动者支付补偿金赔偿金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三、不定项选择题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（一）2017 年 7 月 31 日，甲公司录用周某担任出纳，双方口头约定了 2 年期劳动合同，约定周某试用期 2 个月，月工资 3500 元，公司在试用期间可随时解除合同：试用期满考核合格，月工资提高至 4000 元，如考核不合格，再延长试用期 1 个月。2017 年 9 月 15 日，双方签订了书面劳动合同。2017 年 9 月 30 日，因未通过公司考核，周某试用期延长 1 个月。因甲公司连续 2 个月无故拖欠劳动报酬，2018 年 6 月 1 日，周某单方面解除了劳动合同并向当地劳动争议仲机构申请仲裁，该机构作出终局裁决。已知，甲公司实行标准工时制，当地月最低工资标准为 2000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要求：根现上述资料，不考虑其他因素，分析回答下列小题：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 甲公司与周某对试用期的下列的约定中，符合法律规定的是（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A.试用期满周某考核不合格，再延长 1 个月试用期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B.试用期 2 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C.试用期内甲公司可随时解除劳动合同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D.试用期月工资 3500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劳动合同期限在1年以上不满三年的，使用期限不得超过2个月A错误B正确，劳动者在试用期间被证明不符合录用条件的可随时通知劳动者解除劳动关系C错误，试用期工资不得低于当地最低工资标准，且不得低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 因甲公司无故拖久劳动报，周某单方面解除劳动合同采取的方式是（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A.应提前 30 日书面通知甲公司而解除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B.可随时通知甲公司而解除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C.不需通知甲公司即可解除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D.应提前 3 日通知甲公司而解出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【解析】用人单位未及时足额支付劳动报酬的劳动者可随时通知解除劳动关系。选项AD协议解除，选项C即时解除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 周某申请劳动仲裁要求甲公司支付的下列各项中符合法律现定的是（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A.拖欠的劳动报酬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B.解除劳动合同的经济补偿金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C.试用期后违约金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D.未及时签订书面劳动合同的 2 倍工资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【解析】C违约金只有服务期和竞业限制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4.对劳动争议终局裁决的下列表述中，正确的是（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A.对该终局裁决不服，周某有权提起诉讼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B.对该终局裁决不服，甲公司和周某均不得提起诉讼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C.对该终局裁决自作出之日起生效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D.对该终局裁决不服，甲公司有权提起诉讼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【解析】劳动仲裁不服，劳动者可以再提起诉讼，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终局裁决被人民法院裁定撤销的，当事人可以自收到裁定书之日起 15 日内就该劳动争议事项向人民法院提起诉讼。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（二）中国公民陈某为国内某大学教授。2019 年 1-4 月有关收支情况如下：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(1)1 月转让一套住房，取得含增值税销售收入 945 000 元。该套住房原值 840 000 元，系陈某 2018 年 8 月购入，本次转让过程中，发生合理费用 5 000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(2)2 月获得当地教育部门颁发的区（县）级教育方面的奖金 10000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(3)3 月转让从公开发行市场购入的上市公司股票 6000 股，取得股票转让所得 120000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(4)4 月在甲电信公司购话费获赠价值 390 元的手机一部；获得乙保险公司给付的保险赔款30000。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假设陈某 2019 年其他收入及相关情況如下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（1）工资、薪金所得 190000 元，专项扣除 4000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 劳务报所得 8000 元，稿酬所得 5000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已知：财产转让所得个人所得税税率为 20%，个人将购买不足 2 年的住房对外销售的，按照 5%的征收率全额纳增值税。综合所得，每一纳税年度减除费用 60000 元；劳务报酬所得、稿所得以收入减除 20%的费用后的余额为收入额：稿酬所得的收入减按 70%计算。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个人所得税税率表（节选）</w:t>
      </w:r>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65"/>
        <w:gridCol w:w="3097"/>
        <w:gridCol w:w="2089"/>
        <w:gridCol w:w="2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40" w:hRule="atLeast"/>
        </w:trPr>
        <w:tc>
          <w:tcPr>
            <w:tcW w:w="1065" w:type="dxa"/>
            <w:tcBorders>
              <w:top w:val="single" w:color="000000" w:sz="6" w:space="0"/>
              <w:left w:val="single" w:color="000000" w:sz="6" w:space="0"/>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jc w:val="both"/>
            </w:pPr>
            <w:r>
              <w:rPr>
                <w:rFonts w:hint="eastAsia" w:ascii="黑体" w:hAnsi="宋体" w:eastAsia="黑体" w:cs="黑体"/>
                <w:b w:val="0"/>
                <w:i w:val="0"/>
                <w:caps w:val="0"/>
                <w:color w:val="333333"/>
                <w:spacing w:val="8"/>
                <w:sz w:val="21"/>
                <w:szCs w:val="21"/>
                <w:bdr w:val="none" w:color="auto" w:sz="0" w:space="0"/>
              </w:rPr>
              <w:t>级数</w:t>
            </w:r>
          </w:p>
        </w:tc>
        <w:tc>
          <w:tcPr>
            <w:tcW w:w="3097" w:type="dxa"/>
            <w:tcBorders>
              <w:top w:val="single" w:color="000000" w:sz="6" w:space="0"/>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jc w:val="both"/>
            </w:pPr>
            <w:r>
              <w:rPr>
                <w:rFonts w:hint="eastAsia" w:ascii="黑体" w:hAnsi="宋体" w:eastAsia="黑体" w:cs="黑体"/>
                <w:b w:val="0"/>
                <w:i w:val="0"/>
                <w:caps w:val="0"/>
                <w:color w:val="333333"/>
                <w:spacing w:val="8"/>
                <w:sz w:val="21"/>
                <w:szCs w:val="21"/>
                <w:bdr w:val="none" w:color="auto" w:sz="0" w:space="0"/>
              </w:rPr>
              <w:t>应纳税所得额</w:t>
            </w:r>
          </w:p>
        </w:tc>
        <w:tc>
          <w:tcPr>
            <w:tcW w:w="2089" w:type="dxa"/>
            <w:tcBorders>
              <w:top w:val="single" w:color="000000" w:sz="6" w:space="0"/>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jc w:val="both"/>
            </w:pPr>
            <w:r>
              <w:rPr>
                <w:rFonts w:hint="eastAsia" w:ascii="黑体" w:hAnsi="宋体" w:eastAsia="黑体" w:cs="黑体"/>
                <w:b w:val="0"/>
                <w:i w:val="0"/>
                <w:caps w:val="0"/>
                <w:color w:val="333333"/>
                <w:spacing w:val="8"/>
                <w:sz w:val="21"/>
                <w:szCs w:val="21"/>
                <w:bdr w:val="none" w:color="auto" w:sz="0" w:space="0"/>
              </w:rPr>
              <w:t>税率</w:t>
            </w:r>
          </w:p>
        </w:tc>
        <w:tc>
          <w:tcPr>
            <w:tcW w:w="2089" w:type="dxa"/>
            <w:tcBorders>
              <w:top w:val="single" w:color="000000" w:sz="6" w:space="0"/>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jc w:val="both"/>
            </w:pPr>
            <w:r>
              <w:rPr>
                <w:rFonts w:hint="eastAsia" w:ascii="黑体" w:hAnsi="宋体" w:eastAsia="黑体" w:cs="黑体"/>
                <w:b w:val="0"/>
                <w:i w:val="0"/>
                <w:caps w:val="0"/>
                <w:color w:val="333333"/>
                <w:spacing w:val="8"/>
                <w:sz w:val="21"/>
                <w:szCs w:val="21"/>
                <w:bdr w:val="none" w:color="auto" w:sz="0" w:space="0"/>
              </w:rPr>
              <w:t>速算扣除数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065" w:type="dxa"/>
            <w:tcBorders>
              <w:top w:val="nil"/>
              <w:left w:val="single" w:color="000000" w:sz="6" w:space="0"/>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jc w:val="both"/>
            </w:pPr>
            <w:r>
              <w:rPr>
                <w:rFonts w:hint="eastAsia" w:ascii="黑体" w:hAnsi="宋体" w:eastAsia="黑体" w:cs="黑体"/>
                <w:b w:val="0"/>
                <w:i w:val="0"/>
                <w:caps w:val="0"/>
                <w:color w:val="333333"/>
                <w:spacing w:val="8"/>
                <w:sz w:val="21"/>
                <w:szCs w:val="21"/>
                <w:bdr w:val="none" w:color="auto" w:sz="0" w:space="0"/>
              </w:rPr>
              <w:t>1</w:t>
            </w:r>
          </w:p>
        </w:tc>
        <w:tc>
          <w:tcPr>
            <w:tcW w:w="3097" w:type="dxa"/>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jc w:val="both"/>
            </w:pPr>
            <w:r>
              <w:rPr>
                <w:rFonts w:hint="eastAsia" w:ascii="黑体" w:hAnsi="宋体" w:eastAsia="黑体" w:cs="黑体"/>
                <w:b w:val="0"/>
                <w:i w:val="0"/>
                <w:caps w:val="0"/>
                <w:color w:val="333333"/>
                <w:spacing w:val="8"/>
                <w:sz w:val="21"/>
                <w:szCs w:val="21"/>
                <w:bdr w:val="none" w:color="auto" w:sz="0" w:space="0"/>
              </w:rPr>
              <w:t>不超过36000元</w:t>
            </w:r>
          </w:p>
        </w:tc>
        <w:tc>
          <w:tcPr>
            <w:tcW w:w="2089" w:type="dxa"/>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jc w:val="both"/>
            </w:pPr>
            <w:r>
              <w:rPr>
                <w:rFonts w:hint="eastAsia" w:ascii="黑体" w:hAnsi="宋体" w:eastAsia="黑体" w:cs="黑体"/>
                <w:b w:val="0"/>
                <w:i w:val="0"/>
                <w:caps w:val="0"/>
                <w:color w:val="333333"/>
                <w:spacing w:val="8"/>
                <w:sz w:val="21"/>
                <w:szCs w:val="21"/>
                <w:bdr w:val="none" w:color="auto" w:sz="0" w:space="0"/>
              </w:rPr>
              <w:t>3%</w:t>
            </w:r>
          </w:p>
        </w:tc>
        <w:tc>
          <w:tcPr>
            <w:tcW w:w="2089" w:type="dxa"/>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jc w:val="both"/>
            </w:pPr>
            <w:r>
              <w:rPr>
                <w:rFonts w:hint="eastAsia" w:ascii="黑体" w:hAnsi="宋体" w:eastAsia="黑体" w:cs="黑体"/>
                <w:b w:val="0"/>
                <w:i w:val="0"/>
                <w:caps w:val="0"/>
                <w:color w:val="333333"/>
                <w:spacing w:val="8"/>
                <w:sz w:val="21"/>
                <w:szCs w:val="21"/>
                <w:bdr w:val="none" w:color="auto" w:sz="0" w:space="0"/>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40" w:hRule="atLeast"/>
        </w:trPr>
        <w:tc>
          <w:tcPr>
            <w:tcW w:w="1065" w:type="dxa"/>
            <w:tcBorders>
              <w:top w:val="nil"/>
              <w:left w:val="single" w:color="000000" w:sz="6" w:space="0"/>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jc w:val="both"/>
            </w:pPr>
            <w:r>
              <w:rPr>
                <w:rFonts w:hint="eastAsia" w:ascii="黑体" w:hAnsi="宋体" w:eastAsia="黑体" w:cs="黑体"/>
                <w:b w:val="0"/>
                <w:i w:val="0"/>
                <w:caps w:val="0"/>
                <w:color w:val="333333"/>
                <w:spacing w:val="8"/>
                <w:sz w:val="21"/>
                <w:szCs w:val="21"/>
                <w:bdr w:val="none" w:color="auto" w:sz="0" w:space="0"/>
              </w:rPr>
              <w:t>2</w:t>
            </w:r>
          </w:p>
        </w:tc>
        <w:tc>
          <w:tcPr>
            <w:tcW w:w="3097" w:type="dxa"/>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jc w:val="both"/>
            </w:pPr>
            <w:r>
              <w:rPr>
                <w:rFonts w:hint="eastAsia" w:ascii="黑体" w:hAnsi="宋体" w:eastAsia="黑体" w:cs="黑体"/>
                <w:b w:val="0"/>
                <w:i w:val="0"/>
                <w:caps w:val="0"/>
                <w:color w:val="333333"/>
                <w:spacing w:val="8"/>
                <w:sz w:val="21"/>
                <w:szCs w:val="21"/>
                <w:bdr w:val="none" w:color="auto" w:sz="0" w:space="0"/>
              </w:rPr>
              <w:t>超过36000-144000元</w:t>
            </w:r>
          </w:p>
        </w:tc>
        <w:tc>
          <w:tcPr>
            <w:tcW w:w="2089" w:type="dxa"/>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jc w:val="both"/>
            </w:pPr>
            <w:r>
              <w:rPr>
                <w:rFonts w:hint="eastAsia" w:ascii="黑体" w:hAnsi="宋体" w:eastAsia="黑体" w:cs="黑体"/>
                <w:b w:val="0"/>
                <w:i w:val="0"/>
                <w:caps w:val="0"/>
                <w:color w:val="333333"/>
                <w:spacing w:val="8"/>
                <w:sz w:val="21"/>
                <w:szCs w:val="21"/>
                <w:bdr w:val="none" w:color="auto" w:sz="0" w:space="0"/>
              </w:rPr>
              <w:t>10%</w:t>
            </w:r>
          </w:p>
        </w:tc>
        <w:tc>
          <w:tcPr>
            <w:tcW w:w="2089" w:type="dxa"/>
            <w:tcBorders>
              <w:top w:val="nil"/>
              <w:left w:val="nil"/>
              <w:bottom w:val="single" w:color="000000" w:sz="6" w:space="0"/>
              <w:right w:val="single" w:color="000000" w:sz="6" w:space="0"/>
            </w:tcBorders>
            <w:shd w:val="clear" w:color="auto" w:fill="FFFFFF"/>
            <w:tcMar>
              <w:top w:w="75" w:type="dxa"/>
              <w:left w:w="150" w:type="dxa"/>
              <w:bottom w:w="75" w:type="dxa"/>
              <w:right w:w="15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08" w:lineRule="atLeast"/>
              <w:ind w:left="0" w:right="0"/>
              <w:jc w:val="both"/>
            </w:pPr>
            <w:r>
              <w:rPr>
                <w:rFonts w:hint="eastAsia" w:ascii="黑体" w:hAnsi="宋体" w:eastAsia="黑体" w:cs="黑体"/>
                <w:b w:val="0"/>
                <w:i w:val="0"/>
                <w:caps w:val="0"/>
                <w:color w:val="333333"/>
                <w:spacing w:val="8"/>
                <w:sz w:val="21"/>
                <w:szCs w:val="21"/>
                <w:bdr w:val="none" w:color="auto" w:sz="0" w:space="0"/>
              </w:rPr>
              <w:t>2520</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要求：根据上述资料，不考虑其他因素，分析回答下列小题。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1 月转让住房应缴纳个人所得税税额的下列算式中，正确的是（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A.[945000÷ (1+5%) -840000-500]×20%=11000元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B.(945000-840000) ×20%=21000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C.(945000-840000-5000) ×20%=20000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D.[945000÷ (1+5%) -840000] ×20%=12000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【解析】财产转让应纳税额=应纳税所得额×适用税率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         =（收入总额-财产原值-合理税费）×20%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提示：收入总额=含税收入额÷（1+税率）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2. 计算陈某 1 月转让住房应纳增值税税额的下列式中，正确的是（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A.945000×5%=47250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B.[945000840000: (1+5%)] ×5%=5000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C.945000÷ (1+5%) ×5%=45000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D.(945000840000 X5%=5250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【解析】不含增值税销售额×税率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3.陈某的下列所得中，不纳个人所得税的是（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A.区（县）级教育方面的奖金 10000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B.获贈价值 390 元的手机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C.股票转让所得 120 000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D.获得的保险款 30 000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省级以上人民政府、国务院部委和人民解放军军以上单位，以及外国组织、国际组织颁发的奖金免税A错误，企业向个人销售商品和服务同时赠与品免税B正确，对于个人转让股票所得暂不征收个人所得税C正确,个人获得保险赔款免征个人所得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4.计算阵某 2019 年综含所得应缴纳个人所得税的下列算式中，正确的是（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A.[190000+8000×（1-20%）+5000×（1-20%）×70%-60000-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40000]×10%-2520=7400元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B.（190000-60000-40000）×10%-2520+8000×（1-20%）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×3%+5000×（1-20%）×70%×3%=6756元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C.（190000-60000-40000）×10%-2520+8000×（1-20%）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×3%+5000×70%×3%=6777元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D. (190000-8000-5000×70%-60000-40000)×10%-2520=7630 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【解析】[190000+8000×（1-20%）+5000×（1-20%）×70%-60000-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黑体" w:hAnsi="宋体" w:eastAsia="黑体" w:cs="黑体"/>
          <w:b w:val="0"/>
          <w:i w:val="0"/>
          <w:caps w:val="0"/>
          <w:color w:val="333333"/>
          <w:spacing w:val="8"/>
          <w:sz w:val="21"/>
          <w:szCs w:val="21"/>
          <w:bdr w:val="none" w:color="auto" w:sz="0" w:space="0"/>
          <w:shd w:val="clear" w:fill="FFFFFF"/>
        </w:rPr>
        <w:t>40000]×10%-2520=7400元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E5201"/>
    <w:rsid w:val="273E5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2019-05-15T06:10:00Z</dcterms:created>
  <dc:creator>bingo</dc:creator>
  <cp:lastModifiedBy>bingo</cp:lastModifiedBy>
  <dcterms:modified xsi:type="dcterms:W3CDTF">2019-05-15T06:12:47Z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