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 w:before="48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CONSELHO NACIONAL DE JUSTIÇA</w:t>
      </w:r>
    </w:p>
    <w:p>
      <w:pPr>
        <w:spacing w:after="4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Escola Nacional do Judiciário — ENAJU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Coordenação de Desenvolvimento Educacional, Pesquisa e Inovação — CODE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CODE_Evidências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i/>
          <w:iCs/>
          <w:color w:val="2E75B6"/>
          <w:sz w:val="26"/>
          <w:szCs w:val="26"/>
        </w:rPr>
        <w:t xml:space="preserve">Síntese, Capacidades e Agenda das Ações Formativas da ENAJU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C55A11"/>
          <w:sz w:val="24"/>
          <w:szCs w:val="24"/>
        </w:rPr>
        <w:t xml:space="preserve">Nº 001</w:t>
      </w:r>
    </w:p>
    <w:p>
      <w:pPr>
        <w:pBdr>
          <w:bottom w:val="single" w:color="1F4E79" w:sz="12" w:space="1"/>
        </w:pBdr>
        <w:spacing w:after="120"/>
      </w:pPr>
    </w:p>
    <w:p>
      <w:pPr>
        <w:spacing w:after="120" w:before="120"/>
        <w:jc w:val="center"/>
      </w:pPr>
      <w:r>
        <w:rPr>
          <w:rFonts w:ascii="Calibri" w:cs="Calibri" w:eastAsia="Calibri" w:hAnsi="Calibri"/>
          <w:b/>
          <w:bCs/>
          <w:color w:val="1A1A1A"/>
          <w:sz w:val="28"/>
          <w:szCs w:val="28"/>
        </w:rPr>
        <w:t xml:space="preserve">Webinário "Precisamos Falar de Cuidados e Pessoas Idosas"</w:t>
      </w:r>
    </w:p>
    <w:p>
      <w:pPr>
        <w:spacing w:after="480" w:before="0"/>
        <w:jc w:val="center"/>
      </w:pPr>
      <w:r>
        <w:rPr>
          <w:rFonts w:ascii="Calibri" w:cs="Calibri" w:eastAsia="Calibri" w:hAnsi="Calibri"/>
          <w:color w:val="2E75B6"/>
          <w:sz w:val="20"/>
          <w:szCs w:val="20"/>
        </w:rPr>
        <w:t xml:space="preserve">Brasília, junho de 2026</w:t>
      </w:r>
    </w:p>
    <w:p>
      <w:pPr>
        <w:spacing w:after="0"/>
      </w:pPr>
      <w:r>
        <w:br w:type="page"/>
      </w: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Preâmbulo: o que é o CODE_Evidências</w:t>
      </w:r>
    </w:p>
    <w:p>
      <w:pPr>
        <w:spacing w:after="100" w:before="100"/>
      </w:pPr>
      <w:r>
        <w:rPr>
          <w:rFonts w:ascii="Calibri" w:cs="Calibri" w:eastAsia="Calibri" w:hAnsi="Calibri"/>
          <w:b/>
          <w:bCs/>
          <w:color w:val="1A1A1A"/>
          <w:sz w:val="22"/>
          <w:szCs w:val="22"/>
        </w:rPr>
        <w:t xml:space="preserve">CODE_Evidências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é a série editorial da Coordenação de Desenvolvimento Educacional, Pesquisa e Inovação da ENAJU (CODE) destinada a transformar cada ação formativa realizada pela Escola em inteligência institucional sistemática, rastreável e reutilizável.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Cada edição da série registra, em formato sintético e padronizado, os elementos fundamentais de uma ação formativa: o problema público ou institucional abordado, os principais achados do debate, as capacidades desenvolvidas nos participantes, a conexão com as políticas judiciárias nacionais acompanhadas pelo CNJ e a agenda de continuidade que o evento projeta para a ENAJU e para o sistema de justiça.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produto nasce da convicção de que eventos, webinários, seminários e encontros promovidos pela ENAJU não se esgotam no momento em que ocorrem. Eles produzem diagnósticos, revelam demandas, articulam atores, desenvolvem competências e abrem agendas que precisam ser capturadas, formalizadas e disseminadas para que o Poder Judiciário aprenda coletivamente.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Quem produz: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a CODE, em cumprimento às competências do art. 19 da estrutura organizacional da ENAJU, especialmente os incisos I, II, IV, VII, VIII, IX, X, XI e XII.</w:t>
      </w: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Periodicidade: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uma edição por evento formativo relevante, a critério da CODE.</w:t>
      </w:r>
    </w:p>
    <w:p>
      <w:pPr>
        <w:spacing w:after="12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Como usar: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o relatório deve ser encaminhado aos destinatários institucionais indicados na Seção 2, arquivado no repositório da ENAJU, disponibilizado às escolas judiciais da Rede e utilizado como insumo para planejamento educacional, monitoramento de políticas judiciárias e produção de materiais formativos derivados.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1. Cabeçalho Temático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Evento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Webinário "Precisamos Falar de Cuidados e Pessoas Idosas"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Tema estruturante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Cuidado, envelhecimento, pessoas idosas, acesso à justiça, etarismo, violência intrafamiliar, ILPIs, redes de proteção e políticas públicas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Problema público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Insuficiência de redes públicas e institucionais de cuidado para pessoas idosas, com sobrecarga das famílias e das mulheres cuidadoras, risco de violência, abandono, institucionalização forçada e judicialização de conflitos familiares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Políticas CNJ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Política Judiciária sobre Pessoas Idosas (Res. CNJ nº 520/2023) · Política de Cuidados no Poder Judiciário (Portaria CNJ nº 379/2025) · Política Nacional de Cuidados (Lei nº 15.069/2024) · Políticas Judiciárias Nacionais Programáticas (IN CNJ nº 112/2026)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Competências CODE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Art. 19, incisos I, II, IV, V, VII, VIII, IX, X, XI e XII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Tipo de entrega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Relatório técnico · Síntese pedagógica · Diagnóstico de capacidades · Insumo de planejamento formativo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2. Destinatários Institucionais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CODE_Evidências deve ser encaminhado aos seguintes setores do CNJ após cada edição: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3000"/>
        <w:gridCol w:w="3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Destinatário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Setor / Unidade CNJ</w:t>
            </w:r>
          </w:p>
        </w:tc>
        <w:tc>
          <w:tcPr>
            <w:tcW w:type="dxa" w:w="3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Razão do encaminhamento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Presidência do CNJ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Gabinete da Presidência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Visibilidade estratégica e alinhamento com prioridades do Conselho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COPJ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Coordenadoria de Políticas Judiciárias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Registro de ação formativa como evidência de implementação de PJNP e alimentação de indicadores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ENAJU — Direção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Direção-Geral da ENAJU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Planejamento educacional, governança interna e gestão do conhecimento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Rede de Escolas Judiciais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 — Coordenação da Rede / RENEJUM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Disseminação de boas práticas, compartilhamento de conteúdo e cooperação técnica entre escolas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Gestão de Pessoas do CNJ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Secretaria de Gestão de Pessoas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Registro de ação de capacitação para fins de gestão por competências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COPJI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Coordenadoria de Políticas para Pessoas Idosas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Retroalimentação substantiva da Política Judiciária sobre Pessoas Idosas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Comunicação do CNJ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Secretaria de Comunicação Social</w:t>
            </w:r>
          </w:p>
        </w:tc>
        <w:tc>
          <w:tcPr>
            <w:tcW w:type="dxa" w:w="3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Subsídio para divulgação institucional, boletins e redes sociais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3. Ficha Institucional do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Título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Webinário "Precisamos Falar de Cuidados e Pessoas Idosas"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Formato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Webinário transmitido ao vivo pelo YouTube — CNJ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Duração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1h53min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Data de realização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2 de junho de 2026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Promoção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Conselho Nacional de Justiça — CNJ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Apoio institucional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ENAJU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Vinculação temática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Grupo de Trabalho sobre Política de Cuidados no Poder Judiciário (Portaria CNJ nº 379/2025)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Público prioritário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Magistrados, servidores, gestores do sistema de justiça, atores interinstitucionais e público técnico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Tipo de entrega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Evento formativo · Ação de sensibilização · Produto de conhecimento · Insumo para política judiciária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Acesso ao vídeo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https://www.youtube.com/watch?v=MKCh9LPkJT4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4. Realização, Apresentação e Participantes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4.1 Realização Institucional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Promoção: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Conselho Nacional de Justiça — CNJ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Apoio: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ENAJU — Escola Nacional do Judiciário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Vinculação: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Grupo de Trabalho sobre Política de Cuidados no Poder Judiciário</w:t>
      </w:r>
    </w:p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4.2 Mesa de Abertura e Condução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800"/>
        <w:gridCol w:w="39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Participante</w:t>
            </w:r>
          </w:p>
        </w:tc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Papel no evento</w:t>
            </w:r>
          </w:p>
        </w:tc>
        <w:tc>
          <w:tcPr>
            <w:tcW w:type="dxa" w:w="3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Vínculo institucional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Noêmia Porto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Abertura institucional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Conselheira do CNJ — responsável pela agenda de pessoas idosas no Conselho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Inês Virgínia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Condução / apresentação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Juíza Federal integrante do CNJ — contextualizou os três eixos do direito ao cuidado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Franciele Nascimento</w:t>
            </w:r>
          </w:p>
        </w:tc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Mediação e coordenação</w:t>
            </w:r>
          </w:p>
        </w:tc>
        <w:tc>
          <w:tcPr>
            <w:tcW w:type="dxa" w:w="3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Idealizadora do evento — conduziu a mesa e o debate</w:t>
            </w: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4.3 Palestrantes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Palestrante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Vínculo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Tema central</w:t>
            </w:r>
          </w:p>
        </w:tc>
        <w:tc>
          <w:tcPr>
            <w:tcW w:type="dxa" w:w="2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Contribuição principal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Guita Grin Debert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Professora Emérita da Unicamp — Antropologia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Judicialização e desjudicialização do cuidado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Pesquisa sobre MP, Defensoria e delegacias; análise crítica da conciliação como possível "harmonia coercitiva"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Mariana Dias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Promotora de Justiça — MP/Paraná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ILPIs, cuidado de longa duração e redes públicas</w:t>
            </w:r>
          </w:p>
        </w:tc>
        <w:tc>
          <w:tcPr>
            <w:tcW w:type="dxa" w:w="2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Dados sobre ILPIs no Paraná, déficit de serviços públicos, envelhecimento no território e interseccionalidade</w:t>
            </w:r>
          </w:p>
        </w:tc>
      </w:tr>
    </w:tbl>
    <w:p>
      <w:pPr>
        <w:spacing w:after="60"/>
      </w:pP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4.4 Participações no Debate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Epitácio Luiz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Representante do Ministério dos Direitos Humanos e da Cidadania. Defendeu o protagonismo das pessoas idosas nas decisões sobre seus direitos: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"Nada sobre nós sem nós."</w:t>
      </w:r>
    </w:p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5. Síntese Executiva</w:t>
      </w:r>
    </w:p>
    <w:p>
      <w:pPr>
        <w:pBdr>
          <w:top w:val="none"/>
          <w:bottom w:val="none"/>
          <w:left w:val="single" w:color="2E75B6" w:sz="18" w:space="4"/>
          <w:right w:val="none"/>
        </w:pBdr>
        <w:shd w:fill="F2F2F2" w:val="clear"/>
        <w:spacing w:after="100" w:before="100"/>
        <w:ind w:left="360" w:right="360"/>
      </w:pP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O webinário discutiu o cuidado de pessoas idosas como problema público de justiça, governança e direitos humanos — não como obrigação privada das famílias nem como questão resolvível apenas por conciliação ou proteção normativa abstrata.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atividade demonstrou que o envelhecimento populacional brasileiro é uma conquista civilizatória que revela, simultaneamente, a fragilidade da infraestrutura estatal para garantir cuidado digno. A responsabilidade recai de forma desproporcional sobre famílias e mulheres cuidadoras, em contexto de déficit de serviços públicos de longa duração.</w:t>
      </w:r>
    </w:p>
    <w:p>
      <w:pPr>
        <w:spacing w:after="12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evento articulou três frentes: a agenda normativa e regulatória do cuidado; a crítica institucional à judicialização de conflitos sem suporte estatal; e a necessidade de redes concretas, intersetoriais e territorialmente ancoradas para o envelhecimento digno.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6. Problema Público Identificado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000"/>
        <w:gridCol w:w="2960"/>
      </w:tblGrid>
      <w:tr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Problema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9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Dimensão institucional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Envelhecimento acelerado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Crescimento da demanda por cuidado de longa duração sem estrutura pública correspondente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Política pública, planejamento e financiamento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Feminização do cuidado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Sobrecarga de mulheres com renúncia profissional, invisibilidade econômica e esgotamento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Gênero, trabalho e direitos sociais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Judicialização sem suporte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Conflitos familiares levados ao Judiciário em contexto de ausência estatal e assimetrias de poder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Acesso à justiça e tratamento adequado de conflitos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Déficit de serviços públicos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Insuficiência de centros-dia, cuidado domiciliar, SUAS e apoio às famílias cuidadoras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Assistência social e saúde pública</w:t>
            </w:r>
          </w:p>
        </w:tc>
      </w:tr>
      <w:tr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Institucionalização compulsória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Crescimento de ILPIs privadas por falta de alternativa; risco de afastamento territorial e perda de autonomia</w:t>
            </w:r>
          </w:p>
        </w:tc>
        <w:tc>
          <w:tcPr>
            <w:tcW w:type="dxa" w:w="29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Direitos humanos e política de ILPIs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7. Principais Achados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Achado 1 — O cuidado saiu do campo privado para o campo dos direitos</w:t>
      </w:r>
    </w:p>
    <w:p>
      <w:pPr>
        <w:spacing w:after="8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cuidado foi reposicionado como dimensão da proteção social, tema de justiça social, igualdade de gênero e direito fundamental — não como favor, destino individual ou obrigação exclusivamente familiar.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Achado 2 — A sobrecarga do cuidado tem gênero, raça e classe</w:t>
      </w:r>
    </w:p>
    <w:p>
      <w:pPr>
        <w:spacing w:after="8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ausência de serviços públicos desloca a responsabilidade para as famílias, especialmente para mulheres. O evento destacou renúncias profissionais, invisibilidade econômica e naturalização do trabalho feminino de cuidado como questão estrutural.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Achado 3 — A conciliação pode produzir "harmonia coercitiva"</w:t>
      </w:r>
    </w:p>
    <w:p>
      <w:pPr>
        <w:spacing w:after="8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pesquisa da professora Guita Debert, baseada no conceito de Laura Nader, demonstrou que mediação e conciliação familiar podem funcionar como mecanismo de desoneração do Estado: quando não há rede pública, a família é pressionada a cuidar mesmo sem estrutura, inclusive em contextos de violência ou vínculos rompidos.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Achado 4 — Envelhecer no território exige rede concreta</w:t>
      </w:r>
    </w:p>
    <w:p>
      <w:pPr>
        <w:spacing w:after="8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permanência no lar depende de serviços reais: atenção domiciliar, SUAS, saúde, cuidadores, centros-dia, transporte e inclusão digital. Sem eles, o envelhecimento no lugar é discurso sem capacidade operacional.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Achado 5 — Nem todo mundo envelhece igual: interseccionalidade é chave</w:t>
      </w:r>
    </w:p>
    <w:p>
      <w:pPr>
        <w:spacing w:after="8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Gênero, raça, classe, deficiência, território, orientação sexual e vínculos familiares alteram profundamente a experiência do envelhecimento. O etarismo institucional — inclusive na digitalização compulsória de serviços — agrava desigualdades existentes.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8. Capacidades Proporcionadas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200"/>
        <w:gridCol w:w="3360"/>
      </w:tblGrid>
      <w:tr>
        <w:tc>
          <w:tcPr>
            <w:tcW w:type="dxa" w:w="28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Capacidade desenvolvida</w:t>
            </w:r>
          </w:p>
        </w:tc>
        <w:tc>
          <w:tcPr>
            <w:tcW w:type="dxa" w:w="3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Evidência no evento</w:t>
            </w:r>
          </w:p>
        </w:tc>
        <w:tc>
          <w:tcPr>
            <w:tcW w:type="dxa" w:w="33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Aplicação ENAJU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Leitura jurídica do cuidado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Constituição (art. 230), Estatuto da Pessoa Idosa, Lei nº 15.069/2024 e Res. CNJ nº 520/2023 articulados em debate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Formação sobre cuidado como direito e dever compartilhado entre Estado, família e sociedade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Diagnóstico sistêmico de problemas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Cuidado tratado como questão jurídica, social, familiar, econômica e territorial simultânea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Capacitar gestores e operadores para leitura multidimensional de problemas públicos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Análise crítica da autocomposição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Debate sobre conciliação, mediação e "harmonia coercitiva" em conflitos com assimetria de poder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Desenvolver protocolos para conflitos envolvendo pessoas idosas e situações de vulnerabilidade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Governança interinstitucional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Integração entre Judiciário, MP, Defensoria, delegacias, saúde, assistência social e academia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Criar trilhas formativas interinstitucionais e materiais de cooperação em rede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Sensibilidade antidiscriminatória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Etarismo, gênero, raça, deficiência, LGBTQIA+, território e exclusão digital discutidos como variáveis estruturais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Formação em atendimento humanizado, acessível e interseccional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Formulação de políticas públicas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Identificação de lacunas em centros-dia, cuidado domiciliar, cuidadores sociais e apoio às famílias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Produzir oficinas de desenho de soluções e planos de ação territorial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Inovação educacional</w:t>
            </w:r>
          </w:p>
        </w:tc>
        <w:tc>
          <w:tcPr>
            <w:tcW w:type="dxa" w:w="3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Uso de pipeline de extração de legendas, análise por IA e curadoria humana como método replicável</w:t>
            </w:r>
          </w:p>
        </w:tc>
        <w:tc>
          <w:tcPr>
            <w:tcW w:type="dxa" w:w="33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Consolidar metodologia CODE de produção de inteligência formativa a partir de eventos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9. Conexão com Políticas Judiciárias e Indicadores COPJ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3000"/>
        <w:gridCol w:w="1760"/>
      </w:tblGrid>
      <w:tr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Dimensão COPJ/PJNP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Pergunta de monitoramento</w:t>
            </w:r>
          </w:p>
        </w:tc>
        <w:tc>
          <w:tcPr>
            <w:tcW w:type="dxa" w:w="3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Como o evento contribuiu</w:t>
            </w:r>
          </w:p>
        </w:tc>
        <w:tc>
          <w:tcPr>
            <w:tcW w:type="dxa" w:w="1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Competência CODE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Formulação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evento qualificou um problema público?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Delimitou o cuidado da pessoa idosa como problema público, não apenas familiar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II, IV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Implementação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evento gerou ação concreta?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Webinário, transcrição, relatório, síntese, briefing e insumos pedagógicos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I, IV, XII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Capacitação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Houve formação ou sensibilização?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Formação sobre cuidado, envelhecimento, etarismo, ILPIs e sistema de justiça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I, X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Governança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Houve articulação de atores?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CNJ, ENAJU, MP, academia, sistema de justiça, direitos humanos e redes públicas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IX, XI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Monitoramento social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evento revelou demandas da sociedade?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Violência familiar, idosos sozinhos, institucionalização e acesso a serviços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VIII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Avaliação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 evento deixou agenda mensurável?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Protocolos, trilhas formativas, produtos derivados e recomendações de política pública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V, VIII</w:t>
            </w:r>
          </w:p>
        </w:tc>
      </w:tr>
      <w:tr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Transparência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Há evidências rastreáveis?</w:t>
            </w:r>
          </w:p>
        </w:tc>
        <w:tc>
          <w:tcPr>
            <w:tcW w:type="dxa" w:w="3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Vídeo, legendas, transcrição, relatório, briefing e CODE_Evidências nº 001</w:t>
            </w:r>
          </w:p>
        </w:tc>
        <w:tc>
          <w:tcPr>
            <w:tcW w:type="dxa" w:w="1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IV, XII</w:t>
            </w:r>
          </w:p>
        </w:tc>
      </w:tr>
    </w:tbl>
    <w:p>
      <w:pPr>
        <w:spacing w:after="60"/>
      </w:pPr>
    </w:p>
    <w:p>
      <w:pPr>
        <w:spacing w:after="80" w:before="10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Políticas diretamente impulsionadas: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Res. CNJ nº 520/2023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Política Judiciária sobre Pessoas Idosas: o evento abordou seus princípios centrais — dignidade, autonomia, melhor interesse, solidariedade intergeracional e abordagem multidisciplinar.</w:t>
      </w:r>
    </w:p>
    <w:p>
      <w:pPr>
        <w:spacing w:after="80" w:before="80"/>
      </w:pPr>
      <w:r>
        <w:rPr>
          <w:rFonts w:ascii="Calibri" w:cs="Calibri" w:eastAsia="Calibri" w:hAnsi="Calibri"/>
          <w:b/>
          <w:bCs/>
          <w:color w:val="1A1A1A"/>
          <w:sz w:val="20"/>
          <w:szCs w:val="20"/>
        </w:rPr>
        <w:t xml:space="preserve">• </w:t>
      </w:r>
      <w:r>
        <w:rPr>
          <w:rFonts w:ascii="Calibri" w:cs="Calibri" w:eastAsia="Calibri" w:hAnsi="Calibri"/>
          <w:b/>
          <w:bCs/>
          <w:color w:val="2E75B6"/>
          <w:sz w:val="20"/>
          <w:szCs w:val="20"/>
        </w:rPr>
        <w:t xml:space="preserve">Portaria CNJ nº 379/2025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 — Política de Cuidados no Poder Judiciário: o debate organizou-se em torno das três dimensões do cuidado — direito de ser cuidado, de cuidar e de exercer o autocuidado.</w:t>
      </w: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10. Participação e Dinâmica do Evento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Interações totais registradas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132 (estimativa baseada em análise automatizada de legendas)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Perguntas identificadas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66 (estimativa)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Comentários identificados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66 (estimativa)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Densidade de interações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Aproximadamente 70 por hora</w:t>
            </w:r>
          </w:p>
        </w:tc>
      </w:tr>
      <w:tr>
        <w:tc>
          <w:tcPr>
            <w:tcW w:type="dxa" w:w="28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Temas mais recorrentes no chat</w:t>
            </w:r>
          </w:p>
        </w:tc>
        <w:tc>
          <w:tcPr>
            <w:tcW w:type="dxa" w:w="65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Etarismo institucional · Idosos que vivem sozinhos · Famílias compostas por idosos cuidando de idosos · ILPIs e alternativas · Protagonismo da pessoa idosa · Violência intrafamiliar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11. Agenda Deixada pelo Evento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11.1 Agenda Normativa</w:t>
      </w:r>
    </w:p>
    <w:p>
      <w:pPr>
        <w:spacing w:after="8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Acompanhar a implementação da Lei nº 15.069/2024 (Política Nacional de Cuidados) e sua conexão com a futura Política de Cuidados no Poder Judiciário. Monitorar a Convenção Interamericana sobre os Direitos das Pessoas Idosas (MSC 412/2017 / PDC 863/2017 na Câmara dos Deputados).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11.2 Agenda de Serviços e Redes</w:t>
      </w:r>
    </w:p>
    <w:p>
      <w:pPr>
        <w:spacing w:after="8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Mapear disponibilidade de cuidado domiciliar, centros-dia, SUAS, ILPIs, cuidadores sociais e apoio às famílias. Identificar lacunas territoriais, especialmente em municípios pequenos e regiões vulneráveis.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11.3 Agenda do Sistema de Justiça</w:t>
      </w:r>
    </w:p>
    <w:p>
      <w:pPr>
        <w:spacing w:after="8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Desenvolver orientação institucional para casos em que a conciliação familiar pode ser inadequada: situações de violência, abandono, exploração financeira, vínculos rompidos, dependência econômica ou risco de revitimização.</w:t>
      </w:r>
    </w:p>
    <w:p>
      <w:pPr>
        <w:pStyle w:val="Heading3"/>
        <w:spacing w:after="60" w:before="140"/>
      </w:pP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11.4 Agenda Pedagógica da ENAJU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000"/>
        <w:gridCol w:w="27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Produto pedagógico</w:t>
            </w:r>
          </w:p>
        </w:tc>
        <w:tc>
          <w:tcPr>
            <w:tcW w:type="dxa" w:w="40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7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Competência CODE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Trilha formativa curta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Módulos sobre cuidado, direitos da pessoa idosa e sistema de justiça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I, X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Cartilha de perguntas frequentes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Respostas sobre ILPIs, etarismo, mediação e redes de proteção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IV, XII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Estudo de caso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"Harmonia coercitiva": quando a conciliação agrava vulnerabilidades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II, V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Oficina prática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Judicialização, desjudicialização e redes de cuidado: o papel do Judiciário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V, XI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Banco de perguntas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Questões recorrentes do debate para uso em formações futuras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II, VIII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Material de sensibilização</w:t>
            </w:r>
          </w:p>
        </w:tc>
        <w:tc>
          <w:tcPr>
            <w:tcW w:type="dxa" w:w="40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Cards e boletim sobre etarismo institucional para escolas judiciais</w:t>
            </w:r>
          </w:p>
        </w:tc>
        <w:tc>
          <w:tcPr>
            <w:tcW w:type="dxa" w:w="27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VII, XII, XIII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12. Produtos Derivados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2400"/>
        <w:gridCol w:w="2200"/>
        <w:gridCol w:w="2160"/>
      </w:tblGrid>
      <w:tr>
        <w:tc>
          <w:tcPr>
            <w:tcW w:type="dxa" w:w="26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Produto</w:t>
            </w:r>
          </w:p>
        </w:tc>
        <w:tc>
          <w:tcPr>
            <w:tcW w:type="dxa" w:w="24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Finalidade</w:t>
            </w:r>
          </w:p>
        </w:tc>
        <w:tc>
          <w:tcPr>
            <w:tcW w:type="dxa" w:w="220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Público-alvo</w:t>
            </w:r>
          </w:p>
        </w:tc>
        <w:tc>
          <w:tcPr>
            <w:tcW w:type="dxa" w:w="2160"/>
            <w:tcBorders>
              <w:top w:val="single" w:color="2E75B6" w:sz="4"/>
              <w:left w:val="single" w:color="2E75B6" w:sz="4"/>
              <w:bottom w:val="single" w:color="2E75B6" w:sz="4"/>
              <w:right w:val="single" w:color="2E75B6" w:sz="4"/>
            </w:tcBorders>
            <w:shd w:fill="2E75B6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Competência CODE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CODE_Evidências nº 001 (este doc.)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Registro técnico e modelo replicável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CNJ, ENAJU, escolas judiciais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IV, XII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Briefing executivo (2 pág.)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Apoiar decisões rápidas de gestores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Presidência CNJ, Direção ENAJU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IV, XII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Boletim da Rede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Disseminar achados e boas práticas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Escolas judiciais da RENEJUM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VII, XII, XIII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Trilha formativa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Reaproveitar conteúdo em formação estruturada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Magistrados e servidores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I, X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Oficina prática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Desenvolver competências aplicadas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Equipes de atendimento e gestores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I, V, XI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Banco de perguntas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Organizar dúvidas recorrentes como diagnóstico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CODE e planejamento educacional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II, VIII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Cards institucionais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Disseminar achados em linguagem acessível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Redes sociais e canais CNJ/ENAJU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XII, XIII</w:t>
            </w:r>
          </w:p>
        </w:tc>
      </w:tr>
      <w:tr>
        <w:tc>
          <w:tcPr>
            <w:tcW w:type="dxa" w:w="26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D6E4F0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Repositório de boas práticas</w:t>
            </w:r>
          </w:p>
        </w:tc>
        <w:tc>
          <w:tcPr>
            <w:tcW w:type="dxa" w:w="24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Compartilhar metodologia CODE com escolas judiciais</w:t>
            </w:r>
          </w:p>
        </w:tc>
        <w:tc>
          <w:tcPr>
            <w:tcW w:type="dxa" w:w="220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RENEJUM e tribunais</w:t>
            </w:r>
          </w:p>
        </w:tc>
        <w:tc>
          <w:tcPr>
            <w:tcW w:type="dxa" w:w="2160"/>
            <w:tcBorders>
              <w:top w:val="single" w:color="CCCCCC" w:sz="4"/>
              <w:left w:val="single" w:color="CCCCCC" w:sz="4"/>
              <w:bottom w:val="single" w:color="CCCCCC" w:sz="4"/>
              <w:right w:val="single" w:color="CCCCCC" w:sz="4"/>
            </w:tcBorders>
            <w:shd w:fill="FFFFFF" w:val="clear"/>
            <w:tcMar>
              <w:top w:type="dxa" w:w="100"/>
              <w:left w:type="dxa" w:w="140"/>
              <w:bottom w:type="dxa" w:w="100"/>
              <w:right w:type="dxa" w:w="140"/>
            </w:tcMar>
            <w:vAlign w:val="top"/>
          </w:tcPr>
          <w:p>
            <w:pPr>
              <w:spacing w:after="40" w:before="40"/>
            </w:pPr>
            <w:r>
              <w:rPr>
                <w:rFonts w:ascii="Calibri" w:cs="Calibri" w:eastAsia="Calibri" w:hAnsi="Calibri"/>
                <w:b w:val="false"/>
                <w:bCs w:val="false"/>
                <w:color w:val="1A1A1A"/>
                <w:sz w:val="19"/>
                <w:szCs w:val="19"/>
              </w:rPr>
              <w:t xml:space="preserve">VII, IX</w:t>
            </w:r>
          </w:p>
        </w:tc>
      </w:tr>
    </w:tbl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Style w:val="Heading1"/>
        <w:shd w:fill="1F4E79" w:val="clear"/>
        <w:spacing w:after="120" w:before="240"/>
        <w:ind w:left="120" w:right="120"/>
      </w:pPr>
      <w:r>
        <w:rPr>
          <w:rFonts w:ascii="Calibri" w:cs="Calibri" w:eastAsia="Calibri" w:hAnsi="Calibri"/>
          <w:b/>
          <w:bCs/>
          <w:color w:val="FFFFFF"/>
          <w:sz w:val="28"/>
          <w:szCs w:val="28"/>
        </w:rPr>
        <w:t xml:space="preserve">13. Conclusão Orientada a Valor Público</w:t>
      </w:r>
    </w:p>
    <w:p>
      <w:pPr>
        <w:spacing w:after="10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O webinário </w:t>
      </w:r>
      <w:r>
        <w:rPr>
          <w:rFonts w:ascii="Calibri" w:cs="Calibri" w:eastAsia="Calibri" w:hAnsi="Calibri"/>
          <w:i/>
          <w:iCs/>
          <w:color w:val="1A1A1A"/>
          <w:sz w:val="20"/>
          <w:szCs w:val="20"/>
        </w:rPr>
        <w:t xml:space="preserve">"Precisamos Falar de Cuidados e Pessoas Idosas" </w:t>
      </w:r>
      <w:r>
        <w:rPr>
          <w:rFonts w:ascii="Calibri" w:cs="Calibri" w:eastAsia="Calibri" w:hAnsi="Calibri"/>
          <w:color w:val="1A1A1A"/>
          <w:sz w:val="20"/>
          <w:szCs w:val="20"/>
        </w:rPr>
        <w:t xml:space="preserve">demonstrou que o cuidado é tema estruturante para o sistema de justiça e para a agenda formativa da ENAJU. Ao articular envelhecimento, sobrecarga feminina, violência intrafamiliar, ILPIs, etarismo, interseccionalidade e ausência de serviços públicos, o evento impulsionou a implementação das políticas judiciárias acompanhadas pelo CNJ e ofereceu à CODE insumos concretos para formação, sensibilização, produção de conhecimento e governança interinstitucional.</w:t>
      </w:r>
    </w:p>
    <w:p>
      <w:pPr>
        <w:spacing w:after="120" w:before="100"/>
      </w:pPr>
      <w:r>
        <w:rPr>
          <w:rFonts w:ascii="Calibri" w:cs="Calibri" w:eastAsia="Calibri" w:hAnsi="Calibri"/>
          <w:color w:val="1A1A1A"/>
          <w:sz w:val="20"/>
          <w:szCs w:val="20"/>
        </w:rPr>
        <w:t xml:space="preserve">A principal contribuição da atividade foi deslocar o cuidado da esfera privada para o campo público dos direitos, demonstrando que a dignidade da pessoa idosa depende de redes concretas, protocolos adequados, políticas públicas financiadas e protagonismo das próprias pessoas idosas nas decisões que as afetam.</w:t>
      </w:r>
    </w:p>
    <w:p>
      <w:pPr>
        <w:pBdr>
          <w:top w:val="single" w:color="C55A11" w:sz="4" w:space="2"/>
          <w:bottom w:val="single" w:color="C55A11" w:sz="4" w:space="2"/>
          <w:left w:val="single" w:color="C55A11" w:sz="24" w:space="4"/>
          <w:right w:val="none"/>
        </w:pBdr>
        <w:shd w:fill="FCE4D6" w:val="clear"/>
        <w:spacing w:after="120" w:before="120"/>
        <w:ind w:left="360" w:right="360"/>
      </w:pPr>
      <w:r>
        <w:rPr>
          <w:rFonts w:ascii="Calibri" w:cs="Calibri" w:eastAsia="Calibri" w:hAnsi="Calibri"/>
          <w:b/>
          <w:bCs/>
          <w:i/>
          <w:iCs/>
          <w:color w:val="C55A11"/>
          <w:sz w:val="22"/>
          <w:szCs w:val="22"/>
        </w:rPr>
        <w:t xml:space="preserve">O evento transformou o cuidado de pessoas idosas em agenda de justiça, governança e formação — oferecendo evidências para políticas judiciárias, capacidades para o sistema de justiça e caminhos para uma atuação pública mais corresponsável, intersetorial e orientada à dignidade.</w:t>
      </w:r>
    </w:p>
    <w:p>
      <w:pPr>
        <w:spacing w:after="60"/>
      </w:pPr>
    </w:p>
    <w:p>
      <w:pPr>
        <w:pBdr>
          <w:bottom w:val="single" w:color="2E75B6" w:sz="6" w:space="1"/>
        </w:pBdr>
        <w:spacing w:after="160" w:before="60"/>
      </w:pPr>
    </w:p>
    <w:p>
      <w:pPr>
        <w:pBdr>
          <w:bottom w:val="none"/>
        </w:pBdr>
        <w:spacing w:after="40" w:before="160"/>
        <w:jc w:val="center"/>
      </w:pPr>
      <w:r>
        <w:rPr>
          <w:rFonts w:ascii="Calibri" w:cs="Calibri" w:eastAsia="Calibri" w:hAnsi="Calibri"/>
          <w:b/>
          <w:bCs/>
          <w:color w:val="1F4E79"/>
          <w:sz w:val="22"/>
          <w:szCs w:val="22"/>
        </w:rPr>
        <w:t xml:space="preserve">Elaboração e Aprovação</w:t>
      </w:r>
    </w:p>
    <w:p>
      <w:pPr>
        <w:spacing w:after="80" w:before="0"/>
        <w:jc w:val="center"/>
      </w:pPr>
      <w:r>
        <w:rPr>
          <w:rFonts w:ascii="Calibri" w:cs="Calibri" w:eastAsia="Calibri" w:hAnsi="Calibri"/>
          <w:i/>
          <w:iCs/>
          <w:color w:val="888888"/>
          <w:sz w:val="18"/>
          <w:szCs w:val="18"/>
        </w:rPr>
        <w:t xml:space="preserve">CODE_Evidências nº 001  |  ENAJU / CNJ  |  Brasília, junho de 2026</w:t>
      </w:r>
    </w:p>
    <w:p>
      <w:pPr>
        <w:spacing w:after="6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360"/>
        <w:gridCol w:w="3000"/>
      </w:tblGrid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2E75B6" w:sz="4" w:space="1"/>
              </w:pBdr>
              <w:spacing w:after="80" w:before="400"/>
            </w:pP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2E75B6" w:sz="4" w:space="1"/>
              </w:pBdr>
              <w:spacing w:after="80" w:before="400"/>
            </w:pP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pBdr>
                <w:bottom w:val="single" w:color="2E75B6" w:sz="4" w:space="1"/>
              </w:pBdr>
              <w:spacing w:after="80" w:before="400"/>
            </w:pPr>
          </w:p>
        </w:tc>
      </w:tr>
      <w:tr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Janilton Rocha de Oliveira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Analista Pedagogo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ENAJU / CNJ</w:t>
            </w:r>
          </w:p>
        </w:tc>
        <w:tc>
          <w:tcPr>
            <w:tcW w:type="dxa" w:w="336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Igor Caires Machado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Coordenador de Desenvolvimento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Educacional, Pesquisa e Inovação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ENAJU / CNJ</w:t>
            </w:r>
          </w:p>
        </w:tc>
        <w:tc>
          <w:tcPr>
            <w:tcW w:type="dxa" w:w="3000"/>
            <w:tcBorders>
              <w:top w:val="none"/>
              <w:left w:val="none"/>
              <w:bottom w:val="none"/>
              <w:right w:val="none"/>
            </w:tcBorders>
            <w:tcMar>
              <w:top w:type="dxa" w:w="0"/>
              <w:left w:type="dxa" w:w="200"/>
              <w:bottom w:type="dxa" w:w="0"/>
              <w:right w:type="dxa" w:w="200"/>
            </w:tcMar>
          </w:tcPr>
          <w:p>
            <w:pPr>
              <w:spacing w:after="4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A1A1A"/>
                <w:sz w:val="19"/>
                <w:szCs w:val="19"/>
              </w:rPr>
              <w:t xml:space="preserve">Fabio Lopes Fernandes Ramos</w:t>
            </w:r>
          </w:p>
          <w:p>
            <w:pPr>
              <w:spacing w:after="20"/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Diretor Executivo</w:t>
            </w:r>
          </w:p>
          <w:p>
            <w:pPr>
              <w:spacing w:after="0"/>
              <w:jc w:val="center"/>
            </w:pPr>
            <w:r>
              <w:rPr>
                <w:rFonts w:ascii="Calibri" w:cs="Calibri" w:eastAsia="Calibri" w:hAnsi="Calibri"/>
                <w:color w:val="2E75B6"/>
                <w:sz w:val="18"/>
                <w:szCs w:val="18"/>
              </w:rPr>
              <w:t xml:space="preserve">ENAJU / CNJ</w:t>
            </w:r>
          </w:p>
        </w:tc>
      </w:tr>
    </w:tbl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2"/>
      </w:pBdr>
      <w:spacing w:before="60"/>
      <w:jc w:val="right"/>
    </w:pPr>
    <w:r>
      <w:rPr>
        <w:rFonts w:ascii="Calibri" w:cs="Calibri" w:eastAsia="Calibri" w:hAnsi="Calibri"/>
        <w:color w:val="888888"/>
        <w:sz w:val="16"/>
        <w:szCs w:val="16"/>
      </w:rPr>
      <w:t xml:space="preserve">Série CODE_Evidências  |  ENAJU  |  CNJ  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88888"/>
        <w:sz w:val="16"/>
        <w:szCs w:val="16"/>
      </w:rPr>
      <w:t xml:space="preserve"> / </w:t>
    </w:r>
    <w:r>
      <w:rPr>
        <w:rFonts w:ascii="Calibri" w:cs="Calibri" w:eastAsia="Calibri" w:hAnsi="Calibri"/>
        <w:color w:val="888888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75B6" w:sz="4" w:space="2"/>
      </w:pBdr>
      <w:spacing w:after="60"/>
    </w:pPr>
    <w:r>
      <w:rPr>
        <w:rFonts w:ascii="Calibri" w:cs="Calibri" w:eastAsia="Calibri" w:hAnsi="Calibri"/>
        <w:b/>
        <w:bCs/>
        <w:color w:val="2E75B6"/>
        <w:sz w:val="16"/>
        <w:szCs w:val="16"/>
      </w:rPr>
      <w:t xml:space="preserve">CODE_Evidências  |  ENAJU / CNJ</w:t>
    </w:r>
    <w:r>
      <w:rPr>
        <w:rFonts w:ascii="Calibri" w:cs="Calibri" w:eastAsia="Calibri" w:hAnsi="Calibri"/>
        <w:color w:val="666666"/>
        <w:sz w:val="16"/>
        <w:szCs w:val="16"/>
      </w:rPr>
      <w:t xml:space="preserve">   —   Webinário "Precisamos Falar de Cuidados e Pessoas Idosas"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A1A1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20" w:before="240"/>
      <w:outlineLvl w:val="0"/>
    </w:pPr>
    <w:rPr>
      <w:rFonts w:ascii="Calibri" w:cs="Calibri" w:eastAsia="Calibri" w:hAnsi="Calibri"/>
      <w:b/>
      <w:bCs/>
      <w:color w:val="FFFFFF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80" w:before="200"/>
      <w:outlineLvl w:val="1"/>
    </w:pPr>
    <w:rPr>
      <w:rFonts w:ascii="Calibri" w:cs="Calibri" w:eastAsia="Calibri" w:hAnsi="Calibri"/>
      <w:b/>
      <w:bCs/>
      <w:color w:val="1F4E79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60" w:before="140"/>
      <w:outlineLvl w:val="2"/>
    </w:pPr>
    <w:rPr>
      <w:rFonts w:ascii="Calibri" w:cs="Calibri" w:eastAsia="Calibri" w:hAnsi="Calibri"/>
      <w:b/>
      <w:bCs/>
      <w:color w:val="2E75B6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2026-06-03T12:49:39.116Z</dcterms:created>
  <dcterms:modified xsi:type="dcterms:W3CDTF">2026-06-03T12:49:39.128Z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