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Evolução Estrutural e Tecnológica das Capacidades Estatais: Da Governança Pública à Avaliação de Impacto e Formação Judicial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literatura contemporânea de administração pública, sociologia do direito e tecnologia educacional testemunhou, nas últimas décadas, uma convergência teórica sem precedentes. O que no passado era concebido de maneira fragmentada — a teoria da administração focada em processos organizacionais, a sociologia jurídica restrita à dogmática, e a educação corporativa limitada a métricas de satisfação — transformou-se em um campo de estudo multidisciplinar complexo. No centro dessa transformação encontra-se o imperativo do desenvolvimento de capacidades (</w:t>
      </w:r>
      <w:r w:rsidDel="00000000" w:rsidR="00000000" w:rsidRPr="00000000">
        <w:rPr>
          <w:rFonts w:ascii="Google Sans" w:cs="Google Sans" w:eastAsia="Google Sans" w:hAnsi="Google Sans"/>
          <w:i w:val="1"/>
          <w:iCs w:val="1"/>
          <w:color w:val="1f1f1f"/>
          <w:rtl w:val="0"/>
        </w:rPr>
        <w:t xml:space="preserve">capacity development</w:t>
      </w:r>
      <w:r w:rsidDel="00000000" w:rsidR="00000000" w:rsidRPr="00000000">
        <w:rPr>
          <w:rFonts w:ascii="Google Sans" w:cs="Google Sans" w:eastAsia="Google Sans" w:hAnsi="Google Sans"/>
          <w:color w:val="1f1f1f"/>
          <w:rtl w:val="0"/>
        </w:rPr>
        <w:t xml:space="preserve">), tratado hoje não como um elemento acessório, mas como a condição estrutural primária para a efetividade, a legitimidade e a resiliência do Estado moderno. Em um cenário caracterizado pela complexidade social, por crises econômicas cíclicas e pela digitalização profunda das relações sociais, o serviço público qualificado transcende a noção de despesa administrativa para consolidar-se como o ativo estratégico mais valioso do desempenho estatal.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compreender a magnitude e a sofisticação desse fenômeno, é necessário empreender uma investigação exaustiva através de quatro subcampos teóricos interdependentes que delineiam a evolução das práticas formativas e organizacionais do setor público. O primeiro subcampo orbita em torno da macroestrutura da administração pública, onde as teorias de governança e as diretrizes de organismos multilaterais estabelecem a formação de capacidades como o motor da engrenagem governamental. O segundo subcampo mergulha em um ecossistema altamente singular e sensível: o Poder Judiciário. A formação de juízes e servidores judiciais, historicamente negligenciada pela academia, revela-se atualmente como um pilar fundamental para a garantia do estado de direito e a manutenção da independência institucional frente a pressões políticas. O terceiro subcampo introduz a disrupção tecnológica, analisando como a inteligência artificial e a mineração de dados educacionais (</w:t>
      </w:r>
      <w:r w:rsidDel="00000000" w:rsidR="00000000" w:rsidRPr="00000000">
        <w:rPr>
          <w:rFonts w:ascii="Google Sans" w:cs="Google Sans" w:eastAsia="Google Sans" w:hAnsi="Google Sans"/>
          <w:i w:val="1"/>
          <w:iCs w:val="1"/>
          <w:color w:val="1f1f1f"/>
          <w:rtl w:val="0"/>
        </w:rPr>
        <w:t xml:space="preserve">learning analytics</w:t>
      </w:r>
      <w:r w:rsidDel="00000000" w:rsidR="00000000" w:rsidRPr="00000000">
        <w:rPr>
          <w:rFonts w:ascii="Google Sans" w:cs="Google Sans" w:eastAsia="Google Sans" w:hAnsi="Google Sans"/>
          <w:color w:val="1f1f1f"/>
          <w:rtl w:val="0"/>
        </w:rPr>
        <w:t xml:space="preserve">) estão reconfigurando radicalmente a personalização e a eficácia das trilhas de aprendizagem no setor público. Finalmente, o quarto subcampo aborda a fronteira empírica da avaliação de impacto, enfrentando a lacuna persistente sobre a real eficácia dos programas de formação por meio de modelos rigorosos de retorno sobre o investimento e transferência de comportamento.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relatório detalha a evolução histórica, os fundamentos metodológicos e as intersecções críticas desses quatro eixos, oferecendo uma compreensão matizada de como o desenvolvimento de capacidades evoluiu de um conceito genérico para uma ciência exata da efetividade estatal.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 Arquitetura do Estado Efetivo: Governança, Capacidades e a "Caixa Preta"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compreensão moderna de que a capacidade do Estado é o determinante central do desenvolvimento econômico e social é fruto de uma longa maturação teórica e prática. Durante as décadas de 1980 e 1990, impulsionada pelas diretrizes de instituições financeiras multilaterais como o Banco Mundial e o FMI, a literatura de desenvolvimento foi dominada pela agenda da "Boa Governança" (</w:t>
      </w:r>
      <w:r w:rsidDel="00000000" w:rsidR="00000000" w:rsidRPr="00000000">
        <w:rPr>
          <w:rFonts w:ascii="Google Sans" w:cs="Google Sans" w:eastAsia="Google Sans" w:hAnsi="Google Sans"/>
          <w:i w:val="1"/>
          <w:iCs w:val="1"/>
          <w:color w:val="1f1f1f"/>
          <w:rtl w:val="0"/>
        </w:rPr>
        <w:t xml:space="preserve">Good Governance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Esse paradigma normativo exigia que os países em desenvolvimento adotassem, quase simultaneamente, um longo cardápio de mudanças institucionais — transparência absoluta, mercados abertos, sistemas judiciais infalíveis, eleições democráticas e burocracias weberianas perfeitas — como pré-condições para o recebimento de ajuda internacional e para o desenvolvimento econômico.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O Pragmatismo de Merilee Grindle e a Governança Suficientemente Boa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frustração generalizada com os fracassos das reformas institucionais em países em desenvolvimento levou a uma revisão crítica profunda desse modelo. Merilee S. Grindle (2004, 2011) reestruturou o debate ao introduzir o conceito de </w:t>
      </w:r>
      <w:r w:rsidDel="00000000" w:rsidR="00000000" w:rsidRPr="00000000">
        <w:rPr>
          <w:rFonts w:ascii="Google Sans" w:cs="Google Sans" w:eastAsia="Google Sans" w:hAnsi="Google Sans"/>
          <w:i w:val="1"/>
          <w:iCs w:val="1"/>
          <w:color w:val="1f1f1f"/>
          <w:rtl w:val="0"/>
        </w:rPr>
        <w:t xml:space="preserve">Good Enough Governance</w:t>
      </w:r>
      <w:r w:rsidDel="00000000" w:rsidR="00000000" w:rsidRPr="00000000">
        <w:rPr>
          <w:rFonts w:ascii="Google Sans" w:cs="Google Sans" w:eastAsia="Google Sans" w:hAnsi="Google Sans"/>
          <w:color w:val="1f1f1f"/>
          <w:rtl w:val="0"/>
        </w:rPr>
        <w:t xml:space="preserve"> (Governança Suficientemente Boa).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premissa de Grindle é de um pragmatismo analítico vital: assumir que todas as "coisas boas" podem ser alcançadas simultaneamente em contextos de extrema escassez de recursos financeiros, tempo, conhecimento e capacidades humanas não é apenas irrealista, mas metodologicamente falho.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Grindle argumenta que as intervenções de desenvolvimento de capacidades devem ser baseadas em uma compreensão matizada da evolução das instituições e alicerçadas nas realidades contextuais de cada país.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tanto, ela propõe uma hierarquia de intervenções governamentais baseada no nível de força e fragilidade do Estado.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Em Estados falidos ou recém-saídos de conflitos civis violentos (como os históricos recentes de Somália, Sudão ou Afeganistão), a precondição fundacional é a segurança básica dos indivíduos e da propriedade.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Tentar implementar sistemas de avaliação de desempenho sofisticados ou escolas de governo de alto nível técnico nesses ambientes seria um desperdício de capital político e financeiro.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Em contraste, Estados que já desenvolveram sistemas estabilizados de administração pública, mesmo que de baixa qualidade ou ineficientes, oferecem o ambiente adequado para intervenções focadas no aprimoramento do serviço civil, reforma administrativa e capacitação de servidores.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Dessa forma, o desenvolvimento de capacidades, sob a ótica de Grindle, deixa de ser uma imposição ideológica de isomorfismo institucional e passa a ser tratado como um instrumento cirúrgico, aplicado conforme a capacidade de absorção e a resiliência do tecido estatal receptor.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 Modelo Tridimensional da OCDE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paralelo ao pragmatismo de Grindle, os fóruns internacionais de formulação de políticas públicas, notadamente a Organização para a Cooperação e Desenvolvimento Econômico (OCDE) e o Programa das Nações Unidas para o Desenvolvimento (PNUD), refinaram o conceito operacional de qualificação do Estado.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Um marco definidor dessa evolução foi a transição semântica e conceitual de </w:t>
      </w:r>
      <w:r w:rsidDel="00000000" w:rsidR="00000000" w:rsidRPr="00000000">
        <w:rPr>
          <w:rFonts w:ascii="Google Sans" w:cs="Google Sans" w:eastAsia="Google Sans" w:hAnsi="Google Sans"/>
          <w:i w:val="1"/>
          <w:iCs w:val="1"/>
          <w:color w:val="1f1f1f"/>
          <w:rtl w:val="0"/>
        </w:rPr>
        <w:t xml:space="preserve">capacity building</w:t>
      </w:r>
      <w:r w:rsidDel="00000000" w:rsidR="00000000" w:rsidRPr="00000000">
        <w:rPr>
          <w:rFonts w:ascii="Google Sans" w:cs="Google Sans" w:eastAsia="Google Sans" w:hAnsi="Google Sans"/>
          <w:color w:val="1f1f1f"/>
          <w:rtl w:val="0"/>
        </w:rPr>
        <w:t xml:space="preserve"> (construção de capacidades, que pressupunha a inexistência de saberes locais e a necessidade de importação de modelos externos) para </w:t>
      </w:r>
      <w:r w:rsidDel="00000000" w:rsidR="00000000" w:rsidRPr="00000000">
        <w:rPr>
          <w:rFonts w:ascii="Google Sans" w:cs="Google Sans" w:eastAsia="Google Sans" w:hAnsi="Google Sans"/>
          <w:i w:val="1"/>
          <w:iCs w:val="1"/>
          <w:color w:val="1f1f1f"/>
          <w:rtl w:val="0"/>
        </w:rPr>
        <w:t xml:space="preserve">capacity development</w:t>
      </w:r>
      <w:r w:rsidDel="00000000" w:rsidR="00000000" w:rsidRPr="00000000">
        <w:rPr>
          <w:rFonts w:ascii="Google Sans" w:cs="Google Sans" w:eastAsia="Google Sans" w:hAnsi="Google Sans"/>
          <w:color w:val="1f1f1f"/>
          <w:rtl w:val="0"/>
        </w:rPr>
        <w:t xml:space="preserve"> (desenvolvimento de capacidades, focado no aprimoramento e emancipação dos saberes institucionais já existentes), movimento cristalizado na Declaração de Paris sobre a Eficácia da Ajuda (2005) e na Agenda de Ação de Acra (2008).</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OCDE (2008) propôs um arcabouço conceitual exaustivo que rompeu com a visão reducionista de que capacitar o Estado se resumia a oferecer cursos a indivíduos isolados.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 framework da OCDE postula que o desenvolvimento de capacidades deve ser compreendido e intervencionado em três níveis interdependentes e aninhados: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Nível de Capacidade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Descrição Conceitual e Dimensões de Intervenção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na Efetividade Estatal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Capacidade Individual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Engloba o conhecimento técnico, as habilidades interpessoais, a experiência, a ética e a motivação dos servidores públicos. As intervenções incluem treinamentos formais, mentoria, educação continuada e </w:t>
            </w:r>
            <w:r w:rsidDel="00000000" w:rsidR="00000000" w:rsidRPr="00000000">
              <w:rPr>
                <w:rFonts w:ascii="Google Sans" w:cs="Google Sans" w:eastAsia="Google Sans" w:hAnsi="Google Sans"/>
                <w:i w:val="1"/>
                <w:iCs w:val="1"/>
                <w:color w:val="1f1f1f"/>
                <w:shd w:fill="auto" w:val="clear"/>
                <w:rtl w:val="0"/>
              </w:rPr>
              <w:t xml:space="preserve">peer learning</w:t>
            </w:r>
            <w:r w:rsidDel="00000000" w:rsidR="00000000" w:rsidRPr="00000000">
              <w:rPr>
                <w:rFonts w:ascii="Google Sans" w:cs="Google Sans" w:eastAsia="Google Sans" w:hAnsi="Google Sans"/>
                <w:color w:val="1f1f1f"/>
                <w:shd w:fill="auto" w:val="clear"/>
                <w:rtl w:val="0"/>
              </w:rPr>
              <w:t xml:space="preserve"> (aprendizado entre pares).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Eleva a </w:t>
            </w:r>
            <w:r w:rsidDel="00000000" w:rsidR="00000000" w:rsidRPr="00000000">
              <w:rPr>
                <w:rFonts w:ascii="Google Sans" w:cs="Google Sans" w:eastAsia="Google Sans" w:hAnsi="Google Sans"/>
                <w:i w:val="1"/>
                <w:iCs w:val="1"/>
                <w:color w:val="1f1f1f"/>
                <w:shd w:fill="auto" w:val="clear"/>
                <w:rtl w:val="0"/>
              </w:rPr>
              <w:t xml:space="preserve">expertise</w:t>
            </w:r>
            <w:r w:rsidDel="00000000" w:rsidR="00000000" w:rsidRPr="00000000">
              <w:rPr>
                <w:rFonts w:ascii="Google Sans" w:cs="Google Sans" w:eastAsia="Google Sans" w:hAnsi="Google Sans"/>
                <w:color w:val="1f1f1f"/>
                <w:shd w:fill="auto" w:val="clear"/>
                <w:rtl w:val="0"/>
              </w:rPr>
              <w:t xml:space="preserve"> técnica, permitindo a execução eficiente de tarefas complexas. Contudo, o impacto individual é frequentemente anulado se os outros dois níveis forem disfuncionais (ex: o "fuga de cérebros").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Capacidade Organizacional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Refere-se à arquitetura interna das agências governamentais: cultura institucional, infraestrutura tecnológica, fluxos de processos, alocação orçamentária e sistemas de gestão. Requer diagnósticos organizacionais profundos que avaliem tanto as regras formais quanto as práticas informais.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Fornece a estrutura necessária para que o indivíduo capacitado aplique seu conhecimento. Uma organização eficiente retém talentos, otimiza recursos e cria memória institucional independente da rotatividade de pessoal.</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Ambiente Habilitador (Sistêmico)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É o ecossistema macro no qual as organizações operam. Inclui o arcabouço constitucional, as leis, as políticas públicas gerais, o sistema de freios e contrapesos, o grau de corrupção, as estruturas de poder político e os incentivos macroeconômicos.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Estabelece as "regras do jogo". A ausência de vontade política, a instabilidade democrática ou a corrupção sistêmica neutralizam qualquer esforço organizacional ou individual, inviabilizando o desenvolvimento sustentável.</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premissa central desse modelo, amplamente adotada nas políticas públicas a partir de 2017, quando a OCDE reafirmou a qualificação do serviço público como ativo estratégico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é a da interdependência orgânica. A eficácia das intervenções formativas requer uma abordagem holística; focar exclusivamente na capacitação do indivíduo sem reformar os processos organizacionais ou as estruturas de incentivo sistêmico resulta, invariavelmente, em frustração, cinismo institucional e desperdício de recursos públicos.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Dissecando a "Caixa Preta" da Gestão Pública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articulação entre esses níveis de capacidade e a efetiva entrega de valor ao cidadão foi teorizada de maneira brilhante por Ingraham e Donahue (2000), através da dissecção da "caixa preta" (</w:t>
      </w:r>
      <w:r w:rsidDel="00000000" w:rsidR="00000000" w:rsidRPr="00000000">
        <w:rPr>
          <w:rFonts w:ascii="Google Sans" w:cs="Google Sans" w:eastAsia="Google Sans" w:hAnsi="Google Sans"/>
          <w:i w:val="1"/>
          <w:iCs w:val="1"/>
          <w:color w:val="1f1f1f"/>
          <w:rtl w:val="0"/>
        </w:rPr>
        <w:t xml:space="preserve">black box</w:t>
      </w:r>
      <w:r w:rsidDel="00000000" w:rsidR="00000000" w:rsidRPr="00000000">
        <w:rPr>
          <w:rFonts w:ascii="Google Sans" w:cs="Google Sans" w:eastAsia="Google Sans" w:hAnsi="Google Sans"/>
          <w:color w:val="1f1f1f"/>
          <w:rtl w:val="0"/>
        </w:rPr>
        <w:t xml:space="preserve">) do governo.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Nas abordagens clássicas da ciência política e da economia pública, os pesquisadores tendiam a focar exclusivamente nos </w:t>
      </w:r>
      <w:r w:rsidDel="00000000" w:rsidR="00000000" w:rsidRPr="00000000">
        <w:rPr>
          <w:rFonts w:ascii="Google Sans" w:cs="Google Sans" w:eastAsia="Google Sans" w:hAnsi="Google Sans"/>
          <w:i w:val="1"/>
          <w:iCs w:val="1"/>
          <w:color w:val="1f1f1f"/>
          <w:rtl w:val="0"/>
        </w:rPr>
        <w:t xml:space="preserve">inputs</w:t>
      </w:r>
      <w:r w:rsidDel="00000000" w:rsidR="00000000" w:rsidRPr="00000000">
        <w:rPr>
          <w:rFonts w:ascii="Google Sans" w:cs="Google Sans" w:eastAsia="Google Sans" w:hAnsi="Google Sans"/>
          <w:color w:val="1f1f1f"/>
          <w:rtl w:val="0"/>
        </w:rPr>
        <w:t xml:space="preserve"> (orçamentos, leis aprovadas, recursos alocados) e nos </w:t>
      </w:r>
      <w:r w:rsidDel="00000000" w:rsidR="00000000" w:rsidRPr="00000000">
        <w:rPr>
          <w:rFonts w:ascii="Google Sans" w:cs="Google Sans" w:eastAsia="Google Sans" w:hAnsi="Google Sans"/>
          <w:i w:val="1"/>
          <w:iCs w:val="1"/>
          <w:color w:val="1f1f1f"/>
          <w:rtl w:val="0"/>
        </w:rPr>
        <w:t xml:space="preserve">outputs</w:t>
      </w:r>
      <w:r w:rsidDel="00000000" w:rsidR="00000000" w:rsidRPr="00000000">
        <w:rPr>
          <w:rFonts w:ascii="Google Sans" w:cs="Google Sans" w:eastAsia="Google Sans" w:hAnsi="Google Sans"/>
          <w:color w:val="1f1f1f"/>
          <w:rtl w:val="0"/>
        </w:rPr>
        <w:t xml:space="preserve"> (índices de alfabetização, quilômetros de estradas pavimentadas, sentenças judiciais proferidas).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que ocorria entre a entrada dos recursos e a saída dos resultados era tratado como uma caixa preta inescrutável, presumindo-se, erroneamente, que os recursos se traduziriam automaticamente em resultados desejados.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Ingraham, Donahue e estudiosos subsequentes abriram essa caixa preta, argumentando que o mecanismo de transmissão essencial que converte recursos em serviços públicos de qualidade é a </w:t>
      </w:r>
      <w:r w:rsidDel="00000000" w:rsidR="00000000" w:rsidRPr="00000000">
        <w:rPr>
          <w:rFonts w:ascii="Google Sans" w:cs="Google Sans" w:eastAsia="Google Sans" w:hAnsi="Google Sans"/>
          <w:i w:val="1"/>
          <w:iCs w:val="1"/>
          <w:color w:val="1f1f1f"/>
          <w:rtl w:val="0"/>
        </w:rPr>
        <w:t xml:space="preserve">gestão pública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capacidade gerencial do governo é composta por subsistemas complexos e interligados, notadamente: gestão financeira (processo orçamentário e alocação de recursos), gestão de capital, gestão de tecnologia da informação e, crucialmente, gestão de recursos humanos (que engloba a formação e o desenvolvimento de competências).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qualificação do servidor atua como o catalisador indispensável dentro da caixa preta. A qualidade da gestão (</w:t>
      </w:r>
      <w:r w:rsidDel="00000000" w:rsidR="00000000" w:rsidRPr="00000000">
        <w:rPr>
          <w:rFonts w:ascii="Google Sans" w:cs="Google Sans" w:eastAsia="Google Sans" w:hAnsi="Google Sans"/>
          <w:i w:val="1"/>
          <w:iCs w:val="1"/>
          <w:color w:val="1f1f1f"/>
          <w:rtl w:val="0"/>
        </w:rPr>
        <w:t xml:space="preserve">management quality</w:t>
      </w:r>
      <w:r w:rsidDel="00000000" w:rsidR="00000000" w:rsidRPr="00000000">
        <w:rPr>
          <w:rFonts w:ascii="Google Sans" w:cs="Google Sans" w:eastAsia="Google Sans" w:hAnsi="Google Sans"/>
          <w:color w:val="1f1f1f"/>
          <w:rtl w:val="0"/>
        </w:rPr>
        <w:t xml:space="preserve">) operacionalizada por servidores bem treinados permite a integração eficiente de todos os outros subsistemas.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Estudos empíricos baseados nesse modelo, como o </w:t>
      </w:r>
      <w:r w:rsidDel="00000000" w:rsidR="00000000" w:rsidRPr="00000000">
        <w:rPr>
          <w:rFonts w:ascii="Google Sans" w:cs="Google Sans" w:eastAsia="Google Sans" w:hAnsi="Google Sans"/>
          <w:i w:val="1"/>
          <w:iCs w:val="1"/>
          <w:color w:val="1f1f1f"/>
          <w:rtl w:val="0"/>
        </w:rPr>
        <w:t xml:space="preserve">Government Performance Project</w:t>
      </w:r>
      <w:r w:rsidDel="00000000" w:rsidR="00000000" w:rsidRPr="00000000">
        <w:rPr>
          <w:rFonts w:ascii="Google Sans" w:cs="Google Sans" w:eastAsia="Google Sans" w:hAnsi="Google Sans"/>
          <w:color w:val="1f1f1f"/>
          <w:rtl w:val="0"/>
        </w:rPr>
        <w:t xml:space="preserve"> (GPP), demonstraram estatisticamente que a capacidade gerencial possui uma associação estatística positiva e inegável com a performance das organizações públicas locais e estaduais.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liderança eficaz, aliada a sistemas de recursos humanos bem desenhados (onde a educação continuada é o vetor principal), maximiza a capacidade estrutural do Estado.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Reformas, Hibridização e Resiliência Institucional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relevância da qualificação não se restringe apenas à operação rotineira, mas revela-se crítica nos momentos de estresse institucional e mudança estrutural. Christensen e Lægreid (2007, 2011) fornecem o embasamento teórico para compreender como as burocracias sobrevivem e se adaptam às contínuas ondas de reformas administrativas, especialmente as tensões entre a Nova Gestão Pública (</w:t>
      </w:r>
      <w:r w:rsidDel="00000000" w:rsidR="00000000" w:rsidRPr="00000000">
        <w:rPr>
          <w:rFonts w:ascii="Google Sans" w:cs="Google Sans" w:eastAsia="Google Sans" w:hAnsi="Google Sans"/>
          <w:i w:val="1"/>
          <w:iCs w:val="1"/>
          <w:color w:val="1f1f1f"/>
          <w:rtl w:val="0"/>
        </w:rPr>
        <w:t xml:space="preserve">New Public Management</w:t>
      </w:r>
      <w:r w:rsidDel="00000000" w:rsidR="00000000" w:rsidRPr="00000000">
        <w:rPr>
          <w:rFonts w:ascii="Google Sans" w:cs="Google Sans" w:eastAsia="Google Sans" w:hAnsi="Google Sans"/>
          <w:color w:val="1f1f1f"/>
          <w:rtl w:val="0"/>
        </w:rPr>
        <w:t xml:space="preserve"> - NPM) e as abordagens Pós-NPM (</w:t>
      </w:r>
      <w:r w:rsidDel="00000000" w:rsidR="00000000" w:rsidRPr="00000000">
        <w:rPr>
          <w:rFonts w:ascii="Google Sans" w:cs="Google Sans" w:eastAsia="Google Sans" w:hAnsi="Google Sans"/>
          <w:i w:val="1"/>
          <w:iCs w:val="1"/>
          <w:color w:val="1f1f1f"/>
          <w:rtl w:val="0"/>
        </w:rPr>
        <w:t xml:space="preserve">Whole-of-Government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NPM, dominante nas décadas de 1980 e 1990, focou na descentralização, na emulação de práticas do setor privado, em indicadores de eficiência mercadológica e na lógica de "fazer os gerentes gerenciarem".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Contudo, essa fragmentação gerou problemas severos de coordenação interinstitucional. Como resposta, as reformas Pós-NPM emergiram, enfatizando a colaboração transversal, infraestruturas compartilhadas de dados e a centralidade dos valores culturais da administração pública.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dinâmica fundamental observada por Christensen e Lægreid é que as organizações públicas não deletam culturas antigas quando uma nova reforma é imposta. Em vez disso, ocorre um processo de </w:t>
      </w:r>
      <w:r w:rsidDel="00000000" w:rsidR="00000000" w:rsidRPr="00000000">
        <w:rPr>
          <w:rFonts w:ascii="Google Sans" w:cs="Google Sans" w:eastAsia="Google Sans" w:hAnsi="Google Sans"/>
          <w:i w:val="1"/>
          <w:iCs w:val="1"/>
          <w:color w:val="1f1f1f"/>
          <w:rtl w:val="0"/>
        </w:rPr>
        <w:t xml:space="preserve">layering</w:t>
      </w:r>
      <w:r w:rsidDel="00000000" w:rsidR="00000000" w:rsidRPr="00000000">
        <w:rPr>
          <w:rFonts w:ascii="Google Sans" w:cs="Google Sans" w:eastAsia="Google Sans" w:hAnsi="Google Sans"/>
          <w:color w:val="1f1f1f"/>
          <w:rtl w:val="0"/>
        </w:rPr>
        <w:t xml:space="preserve"> (sedimentação ou estratificação).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Elementos da velha administração pública (hierarquia rigorosa, apego à legalidade estrita) misturam-se a elementos da NPM (indicadores de performance, foco no cliente) e da Pós-NPM (redes de colaboração, governança digital).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hibridização torna o Estado infinitamente mais complexo.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É nesse cenário de hipercomplexidade estrutural que a qualidade da formação contínua do servidor ganha contornos de urgência existencial.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resiliência institucional — a capacidade de um sistema burocrático absorver choques (como crises climáticas, econômicas ou pandemias) e continuar operando eficazmente sem colapsar — depende inteiramente de servidores cuja capacidade cognitiva e técnica lhes permita navegar por essas múltiplas camadas institucionais conflitantes.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capacitação rigorosa não apenas ensina a tarefa imediata, mas instila os valores institucionais (transformando "organizações" estéreis em "instituições" portadoras de valores, na esteira de Selznick), promovendo a flexibilidade analítica necessária para a formulação de respostas governamentais resilientes e coordenadas.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 Jurisdição como Ecossistema Específico: Formação Judicial, Independência e o Estado de Direito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Enquanto a literatura geral de administração pública se concentra no Poder Executivo e em agências burocráticas tradicionais, a formação de magistrados e servidores do Poder Judiciário constitui um subcampo de pesquisa dotado de especificidades indissociáveis. A natureza da função judicial é qualitativamente distinta da função administrativa padrão; ela está intrinsecamente ancorada na defesa intransigente do estado de direito (</w:t>
      </w:r>
      <w:r w:rsidDel="00000000" w:rsidR="00000000" w:rsidRPr="00000000">
        <w:rPr>
          <w:rFonts w:ascii="Google Sans" w:cs="Google Sans" w:eastAsia="Google Sans" w:hAnsi="Google Sans"/>
          <w:i w:val="1"/>
          <w:iCs w:val="1"/>
          <w:color w:val="1f1f1f"/>
          <w:rtl w:val="0"/>
        </w:rPr>
        <w:t xml:space="preserve">rule of law</w:t>
      </w:r>
      <w:r w:rsidDel="00000000" w:rsidR="00000000" w:rsidRPr="00000000">
        <w:rPr>
          <w:rFonts w:ascii="Google Sans" w:cs="Google Sans" w:eastAsia="Google Sans" w:hAnsi="Google Sans"/>
          <w:color w:val="1f1f1f"/>
          <w:rtl w:val="0"/>
        </w:rPr>
        <w:t xml:space="preserve">), na resolução pacífica de conflitos e na proteção dos direitos fundamentais das minorias contra a tirania das maiorias.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Durante séculos, predominou o mito de que a graduação em Direito e a sagacidade inata do julgador eram requisitos suficientes para o exercício perene da magistratura. Contudo, a hipertrofia legislativa, a globalização dos conflitos, a complexidade técnica dos litígios modernos e o imperativo de transparência forçaram a compreensão de que a educação judicial não é um evento isolado, mas um contínuo existencial.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Modelos de Autoridade e o Processo Legal: Damaška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teorização fundacional sobre as necessidades sistêmicas e formativas dos judiciários globais repousa na obra monumental de Mirjan R. Damaška (1986), </w:t>
      </w:r>
      <w:r w:rsidDel="00000000" w:rsidR="00000000" w:rsidRPr="00000000">
        <w:rPr>
          <w:rFonts w:ascii="Google Sans" w:cs="Google Sans" w:eastAsia="Google Sans" w:hAnsi="Google Sans"/>
          <w:i w:val="1"/>
          <w:iCs w:val="1"/>
          <w:color w:val="1f1f1f"/>
          <w:rtl w:val="0"/>
        </w:rPr>
        <w:t xml:space="preserve">The Faces of Justice and State Authority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Damaška construiu um </w:t>
      </w:r>
      <w:r w:rsidDel="00000000" w:rsidR="00000000" w:rsidRPr="00000000">
        <w:rPr>
          <w:rFonts w:ascii="Google Sans" w:cs="Google Sans" w:eastAsia="Google Sans" w:hAnsi="Google Sans"/>
          <w:i w:val="1"/>
          <w:iCs w:val="1"/>
          <w:color w:val="1f1f1f"/>
          <w:rtl w:val="0"/>
        </w:rPr>
        <w:t xml:space="preserve">framework</w:t>
      </w:r>
      <w:r w:rsidDel="00000000" w:rsidR="00000000" w:rsidRPr="00000000">
        <w:rPr>
          <w:rFonts w:ascii="Google Sans" w:cs="Google Sans" w:eastAsia="Google Sans" w:hAnsi="Google Sans"/>
          <w:color w:val="1f1f1f"/>
          <w:rtl w:val="0"/>
        </w:rPr>
        <w:t xml:space="preserve"> analítico formidável que relaciona a estrutura do processo legal e a administração da justiça com a ideologia política e a concepção de autoridade do Estado.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Ele divide os sistemas de justiça em dois modelos ideais em relação à organização da autoridade, os quais ditam diametralmente como a formação do juiz deve ser estruturada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Dimensão de Análise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de Autoridade Hierárquica (Tradição Civil Law)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de Autoridade Coordenada (Tradição Common Law)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Estrutura Institucional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Altamente centralizada, burocratizada, com múltiplas instâncias estruturadas para revisão vertical meticulosa.</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Descentralizada, com ênfase na horizontalidade, no juízo de primeira instância e na forte participação leiga (júris).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Perfil e Recrutamento do Juiz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juiz é um funcionário público de carreira. Ingressa jovem, frequentemente logo após a graduação em Direito, subindo degraus na burocracia estatal ao longo de décadas.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juiz é um profissional veterano e eminente, selecionado politicamente ou por mérito dentre advogados consagrados no ápice de suas carreiras privadas.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Arquitetura da Educação Judicial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Devido à inexperiência prática dos ingressantes, exige-se uma </w:t>
            </w:r>
            <w:r w:rsidDel="00000000" w:rsidR="00000000" w:rsidRPr="00000000">
              <w:rPr>
                <w:rFonts w:ascii="Google Sans" w:cs="Google Sans" w:eastAsia="Google Sans" w:hAnsi="Google Sans"/>
                <w:b w:val="1"/>
                <w:bCs w:val="1"/>
                <w:color w:val="1f1f1f"/>
                <w:shd w:fill="auto" w:val="clear"/>
                <w:rtl w:val="0"/>
              </w:rPr>
              <w:t xml:space="preserve">formação inicial maciça e prolongada</w:t>
            </w:r>
            <w:r w:rsidDel="00000000" w:rsidR="00000000" w:rsidRPr="00000000">
              <w:rPr>
                <w:rFonts w:ascii="Google Sans" w:cs="Google Sans" w:eastAsia="Google Sans" w:hAnsi="Google Sans"/>
                <w:color w:val="1f1f1f"/>
                <w:shd w:fill="auto" w:val="clear"/>
                <w:rtl w:val="0"/>
              </w:rPr>
              <w:t xml:space="preserve"> (Escolas Nacionais de Magistratura) antes de assumirem a jurisdição, para forjar o </w:t>
            </w:r>
            <w:r w:rsidDel="00000000" w:rsidR="00000000" w:rsidRPr="00000000">
              <w:rPr>
                <w:rFonts w:ascii="Google Sans" w:cs="Google Sans" w:eastAsia="Google Sans" w:hAnsi="Google Sans"/>
                <w:i w:val="1"/>
                <w:iCs w:val="1"/>
                <w:color w:val="1f1f1f"/>
                <w:shd w:fill="auto" w:val="clear"/>
                <w:rtl w:val="0"/>
              </w:rPr>
              <w:t xml:space="preserve">ethos</w:t>
            </w:r>
            <w:r w:rsidDel="00000000" w:rsidR="00000000" w:rsidRPr="00000000">
              <w:rPr>
                <w:rFonts w:ascii="Google Sans" w:cs="Google Sans" w:eastAsia="Google Sans" w:hAnsi="Google Sans"/>
                <w:color w:val="1f1f1f"/>
                <w:shd w:fill="auto" w:val="clear"/>
                <w:rtl w:val="0"/>
              </w:rPr>
              <w:t xml:space="preserve"> institucional e as técnicas decisórias.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Como o profissional já possui vasto conhecimento prático e reconhecimento social, o sistema histórico negligenciou a formação inicial, focando apenas em </w:t>
            </w:r>
            <w:r w:rsidDel="00000000" w:rsidR="00000000" w:rsidRPr="00000000">
              <w:rPr>
                <w:rFonts w:ascii="Google Sans" w:cs="Google Sans" w:eastAsia="Google Sans" w:hAnsi="Google Sans"/>
                <w:b w:val="1"/>
                <w:bCs w:val="1"/>
                <w:color w:val="1f1f1f"/>
                <w:shd w:fill="auto" w:val="clear"/>
                <w:rtl w:val="0"/>
              </w:rPr>
              <w:t xml:space="preserve">educação continuada em serviço</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continuing legal education</w:t>
            </w:r>
            <w:r w:rsidDel="00000000" w:rsidR="00000000" w:rsidRPr="00000000">
              <w:rPr>
                <w:rFonts w:ascii="Google Sans" w:cs="Google Sans" w:eastAsia="Google Sans" w:hAnsi="Google Sans"/>
                <w:color w:val="1f1f1f"/>
                <w:shd w:fill="auto" w:val="clear"/>
                <w:rtl w:val="0"/>
              </w:rPr>
              <w:t xml:space="preserve">) para atualização de temas específicos.</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Apesar de suas raízes históricas divergentes, a literatura mais recente, fundamentada por organismos como a </w:t>
      </w:r>
      <w:r w:rsidDel="00000000" w:rsidR="00000000" w:rsidRPr="00000000">
        <w:rPr>
          <w:rFonts w:ascii="Google Sans" w:cs="Google Sans" w:eastAsia="Google Sans" w:hAnsi="Google Sans"/>
          <w:i w:val="1"/>
          <w:iCs w:val="1"/>
          <w:color w:val="1f1f1f"/>
          <w:rtl w:val="0"/>
        </w:rPr>
        <w:t xml:space="preserve">Judicial Studies Alliance</w:t>
      </w:r>
      <w:r w:rsidDel="00000000" w:rsidR="00000000" w:rsidRPr="00000000">
        <w:rPr>
          <w:rFonts w:ascii="Google Sans" w:cs="Google Sans" w:eastAsia="Google Sans" w:hAnsi="Google Sans"/>
          <w:color w:val="1f1f1f"/>
          <w:rtl w:val="0"/>
        </w:rPr>
        <w:t xml:space="preserve">, aponta para uma convergência substancial entre esses sistemas nas últimas décadas.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As jurisdições de </w:t>
      </w:r>
      <w:r w:rsidDel="00000000" w:rsidR="00000000" w:rsidRPr="00000000">
        <w:rPr>
          <w:rFonts w:ascii="Google Sans" w:cs="Google Sans" w:eastAsia="Google Sans" w:hAnsi="Google Sans"/>
          <w:i w:val="1"/>
          <w:iCs w:val="1"/>
          <w:color w:val="1f1f1f"/>
          <w:rtl w:val="0"/>
        </w:rPr>
        <w:t xml:space="preserve">common law</w:t>
      </w:r>
      <w:r w:rsidDel="00000000" w:rsidR="00000000" w:rsidRPr="00000000">
        <w:rPr>
          <w:rFonts w:ascii="Google Sans" w:cs="Google Sans" w:eastAsia="Google Sans" w:hAnsi="Google Sans"/>
          <w:color w:val="1f1f1f"/>
          <w:rtl w:val="0"/>
        </w:rPr>
        <w:t xml:space="preserve"> (como o Reino Unido) reconheceram os riscos da ausência de formação inicial e passaram a estruturar induções vigorosas para novos juízes. Em contrapartida, os países de </w:t>
      </w:r>
      <w:r w:rsidDel="00000000" w:rsidR="00000000" w:rsidRPr="00000000">
        <w:rPr>
          <w:rFonts w:ascii="Google Sans" w:cs="Google Sans" w:eastAsia="Google Sans" w:hAnsi="Google Sans"/>
          <w:i w:val="1"/>
          <w:iCs w:val="1"/>
          <w:color w:val="1f1f1f"/>
          <w:rtl w:val="0"/>
        </w:rPr>
        <w:t xml:space="preserve">civil law</w:t>
      </w:r>
      <w:r w:rsidDel="00000000" w:rsidR="00000000" w:rsidRPr="00000000">
        <w:rPr>
          <w:rFonts w:ascii="Google Sans" w:cs="Google Sans" w:eastAsia="Google Sans" w:hAnsi="Google Sans"/>
          <w:color w:val="1f1f1f"/>
          <w:rtl w:val="0"/>
        </w:rPr>
        <w:t xml:space="preserve"> (como França e Brasil) constataram que a obsolescência do conhecimento legal e a necessidade premente de habilidades de gestão e letramento tecnológico demandam investimentos pesados em educação continuada ao longo de toda a carreira.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 Tensão entre Independência Judicial e Accountability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exercício pleno da jurisdição em democracias constitucionais exige independência absoluta de interferências políticas, econômicas ou midiáticas. Simultaneamente, o princípio democrático demanda que detentores de poder público prestem contas à sociedade (</w:t>
      </w:r>
      <w:r w:rsidDel="00000000" w:rsidR="00000000" w:rsidRPr="00000000">
        <w:rPr>
          <w:rFonts w:ascii="Google Sans" w:cs="Google Sans" w:eastAsia="Google Sans" w:hAnsi="Google Sans"/>
          <w:i w:val="1"/>
          <w:iCs w:val="1"/>
          <w:color w:val="1f1f1f"/>
          <w:rtl w:val="0"/>
        </w:rPr>
        <w:t xml:space="preserve">accountability</w:t>
      </w:r>
      <w:r w:rsidDel="00000000" w:rsidR="00000000" w:rsidRPr="00000000">
        <w:rPr>
          <w:rFonts w:ascii="Google Sans" w:cs="Google Sans" w:eastAsia="Google Sans" w:hAnsi="Google Sans"/>
          <w:color w:val="1f1f1f"/>
          <w:rtl w:val="0"/>
        </w:rPr>
        <w:t xml:space="preserve">). Charles G. Geyh (2003, 2006) abordou a interseção crítica e amiúde conflituosa entre a independência judicial e as exigências políticas por maior </w:t>
      </w:r>
      <w:r w:rsidDel="00000000" w:rsidR="00000000" w:rsidRPr="00000000">
        <w:rPr>
          <w:rFonts w:ascii="Google Sans" w:cs="Google Sans" w:eastAsia="Google Sans" w:hAnsi="Google Sans"/>
          <w:i w:val="1"/>
          <w:iCs w:val="1"/>
          <w:color w:val="1f1f1f"/>
          <w:rtl w:val="0"/>
        </w:rPr>
        <w:t xml:space="preserve">accountability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Geyh adverte que a retórica política frequentemente utiliza o véu da </w:t>
      </w:r>
      <w:r w:rsidDel="00000000" w:rsidR="00000000" w:rsidRPr="00000000">
        <w:rPr>
          <w:rFonts w:ascii="Google Sans" w:cs="Google Sans" w:eastAsia="Google Sans" w:hAnsi="Google Sans"/>
          <w:i w:val="1"/>
          <w:iCs w:val="1"/>
          <w:color w:val="1f1f1f"/>
          <w:rtl w:val="0"/>
        </w:rPr>
        <w:t xml:space="preserve">accountability</w:t>
      </w:r>
      <w:r w:rsidDel="00000000" w:rsidR="00000000" w:rsidRPr="00000000">
        <w:rPr>
          <w:rFonts w:ascii="Google Sans" w:cs="Google Sans" w:eastAsia="Google Sans" w:hAnsi="Google Sans"/>
          <w:color w:val="1f1f1f"/>
          <w:rtl w:val="0"/>
        </w:rPr>
        <w:t xml:space="preserve"> como uma arma para intimidar juízes e cooptar a independência do Judiciário, especialmente quando cortes proferem decisões impopulares ou contrárias ao poder hegemônico.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Para resgatar o conceito de suas distorções retóricas, Geyh subdivide a </w:t>
      </w:r>
      <w:r w:rsidDel="00000000" w:rsidR="00000000" w:rsidRPr="00000000">
        <w:rPr>
          <w:rFonts w:ascii="Google Sans" w:cs="Google Sans" w:eastAsia="Google Sans" w:hAnsi="Google Sans"/>
          <w:i w:val="1"/>
          <w:iCs w:val="1"/>
          <w:color w:val="1f1f1f"/>
          <w:rtl w:val="0"/>
        </w:rPr>
        <w:t xml:space="preserve">accountability</w:t>
      </w:r>
      <w:r w:rsidDel="00000000" w:rsidR="00000000" w:rsidRPr="00000000">
        <w:rPr>
          <w:rFonts w:ascii="Google Sans" w:cs="Google Sans" w:eastAsia="Google Sans" w:hAnsi="Google Sans"/>
          <w:color w:val="1f1f1f"/>
          <w:rtl w:val="0"/>
        </w:rPr>
        <w:t xml:space="preserve"> judicial em três categorias: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Institucional</w:t>
      </w:r>
      <w:r w:rsidDel="00000000" w:rsidR="00000000" w:rsidRPr="00000000">
        <w:rPr>
          <w:rFonts w:ascii="Google Sans" w:cs="Google Sans" w:eastAsia="Google Sans" w:hAnsi="Google Sans"/>
          <w:color w:val="1f1f1f"/>
          <w:rtl w:val="0"/>
        </w:rPr>
        <w:t xml:space="preserve">: O Judiciário como um ramo de poder prestando contas à sociedade, gerenciando adequadamente o seu orçamento e recursos.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Comportamental</w:t>
      </w:r>
      <w:r w:rsidDel="00000000" w:rsidR="00000000" w:rsidRPr="00000000">
        <w:rPr>
          <w:rFonts w:ascii="Google Sans" w:cs="Google Sans" w:eastAsia="Google Sans" w:hAnsi="Google Sans"/>
          <w:color w:val="1f1f1f"/>
          <w:rtl w:val="0"/>
        </w:rPr>
        <w:t xml:space="preserve">: A responsabilização disciplinar rigorosa do juiz por corrupção, nepotismo, quebra de decoro ou assédio.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Decisória</w:t>
      </w:r>
      <w:r w:rsidDel="00000000" w:rsidR="00000000" w:rsidRPr="00000000">
        <w:rPr>
          <w:rFonts w:ascii="Google Sans" w:cs="Google Sans" w:eastAsia="Google Sans" w:hAnsi="Google Sans"/>
          <w:color w:val="1f1f1f"/>
          <w:rtl w:val="0"/>
        </w:rPr>
        <w:t xml:space="preserve">: A responsabilização direta do juiz pelo mérito de suas decisões interpretativas.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perigo sistêmico reside nesta terceira categoria. Punir diretamente um juiz por um erro honesto na interpretação dos fatos ou da aplicação do direito destrói o núcleo da independência judicial.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Para Geyh, a distinção entre um "erro judicial honesto" e a "usurpação arbitrária do poder político" reside no estado mental e na competência do juiz.</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 precisamente neste ponto de tensão aguda que a </w:t>
      </w:r>
      <w:r w:rsidDel="00000000" w:rsidR="00000000" w:rsidRPr="00000000">
        <w:rPr>
          <w:rFonts w:ascii="Google Sans" w:cs="Google Sans" w:eastAsia="Google Sans" w:hAnsi="Google Sans"/>
          <w:b w:val="1"/>
          <w:bCs w:val="1"/>
          <w:color w:val="1f1f1f"/>
          <w:rtl w:val="0"/>
        </w:rPr>
        <w:t xml:space="preserve">formação judicial continuada</w:t>
      </w:r>
      <w:r w:rsidDel="00000000" w:rsidR="00000000" w:rsidRPr="00000000">
        <w:rPr>
          <w:rFonts w:ascii="Google Sans" w:cs="Google Sans" w:eastAsia="Google Sans" w:hAnsi="Google Sans"/>
          <w:color w:val="1f1f1f"/>
          <w:rtl w:val="0"/>
        </w:rPr>
        <w:t xml:space="preserve"> atua como o mecanismo profilático fundamental. Ao investir incessantemente no aprimoramento das capacidades técnicas, argumentativas e éticas dos magistrados, os sistemas judiciais mitigam o risco de erros decisórios crônicos, elevam a consistência da jurisprudência e fomentam a confiança pública, esvaziando, assim, a justificativa retórica de atores políticos para invadir a independência judicial.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capacitação transforma-se, portanto, em um escudo institucional que protege o estado de direito.</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Superando a Lacuna Científica: "Beyond Judicial Training" e Daniela Piana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Apesar da proeminência institucional do Judiciário e da sofisticação da teoria constitucional, a pesquisa empírica sobre </w:t>
      </w:r>
      <w:r w:rsidDel="00000000" w:rsidR="00000000" w:rsidRPr="00000000">
        <w:rPr>
          <w:rFonts w:ascii="Google Sans" w:cs="Google Sans" w:eastAsia="Google Sans" w:hAnsi="Google Sans"/>
          <w:i w:val="1"/>
          <w:iCs w:val="1"/>
          <w:color w:val="1f1f1f"/>
          <w:rtl w:val="0"/>
        </w:rPr>
        <w:t xml:space="preserve">como</w:t>
      </w:r>
      <w:r w:rsidDel="00000000" w:rsidR="00000000" w:rsidRPr="00000000">
        <w:rPr>
          <w:rFonts w:ascii="Google Sans" w:cs="Google Sans" w:eastAsia="Google Sans" w:hAnsi="Google Sans"/>
          <w:color w:val="1f1f1f"/>
          <w:rtl w:val="0"/>
        </w:rPr>
        <w:t xml:space="preserve"> juízes aprendem e sobre a eficácia das suas estruturas de formação permaneceu, por décadas, incipiente e assistemática.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Daniela Piana tem figurado como uma das vozes acadêmicas mais influentes na identificação e mitigação dessa assimetria, denunciando persistentemente a distância expressiva entre a relevância institucional do juiz e a parca produção científica sobre a sua formação.</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relatórios críticos, Piana e colegas evidenciaram que o treinamento judicial tradicional europeu era marcado pelo planejamento </w:t>
      </w:r>
      <w:r w:rsidDel="00000000" w:rsidR="00000000" w:rsidRPr="00000000">
        <w:rPr>
          <w:rFonts w:ascii="Google Sans" w:cs="Google Sans" w:eastAsia="Google Sans" w:hAnsi="Google Sans"/>
          <w:i w:val="1"/>
          <w:iCs w:val="1"/>
          <w:color w:val="1f1f1f"/>
          <w:rtl w:val="0"/>
        </w:rPr>
        <w:t xml:space="preserve">ad hoc</w:t>
      </w:r>
      <w:r w:rsidDel="00000000" w:rsidR="00000000" w:rsidRPr="00000000">
        <w:rPr>
          <w:rFonts w:ascii="Google Sans" w:cs="Google Sans" w:eastAsia="Google Sans" w:hAnsi="Google Sans"/>
          <w:color w:val="1f1f1f"/>
          <w:rtl w:val="0"/>
        </w:rPr>
        <w:t xml:space="preserve">, desenvolvido de forma reativa a novas legislações, sem avaliações rigorosas de longo prazo.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Ela postula o conceito que transcende o simples adestramento jurídico ("</w:t>
      </w:r>
      <w:r w:rsidDel="00000000" w:rsidR="00000000" w:rsidRPr="00000000">
        <w:rPr>
          <w:rFonts w:ascii="Google Sans" w:cs="Google Sans" w:eastAsia="Google Sans" w:hAnsi="Google Sans"/>
          <w:i w:val="1"/>
          <w:iCs w:val="1"/>
          <w:color w:val="1f1f1f"/>
          <w:rtl w:val="0"/>
        </w:rPr>
        <w:t xml:space="preserve">Beyond Judicial Training</w:t>
      </w:r>
      <w:r w:rsidDel="00000000" w:rsidR="00000000" w:rsidRPr="00000000">
        <w:rPr>
          <w:rFonts w:ascii="Google Sans" w:cs="Google Sans" w:eastAsia="Google Sans" w:hAnsi="Google Sans"/>
          <w:color w:val="1f1f1f"/>
          <w:rtl w:val="0"/>
        </w:rPr>
        <w:t xml:space="preserve">"), argumentando que o magistrado do século XXI necessita urgentemente dominar o chamado </w:t>
      </w:r>
      <w:r w:rsidDel="00000000" w:rsidR="00000000" w:rsidRPr="00000000">
        <w:rPr>
          <w:rFonts w:ascii="Google Sans" w:cs="Google Sans" w:eastAsia="Google Sans" w:hAnsi="Google Sans"/>
          <w:i w:val="1"/>
          <w:iCs w:val="1"/>
          <w:color w:val="1f1f1f"/>
          <w:rtl w:val="0"/>
        </w:rPr>
        <w:t xml:space="preserve">judge craft</w:t>
      </w:r>
      <w:r w:rsidDel="00000000" w:rsidR="00000000" w:rsidRPr="00000000">
        <w:rPr>
          <w:rFonts w:ascii="Google Sans" w:cs="Google Sans" w:eastAsia="Google Sans" w:hAnsi="Google Sans"/>
          <w:color w:val="1f1f1f"/>
          <w:rtl w:val="0"/>
        </w:rPr>
        <w:t xml:space="preserve"> (o ofício de julgar).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Isso engloba competências outrora ignoradas pelas faculdades de Direito tradicionais: técnicas de redação de sentenças compreensíveis, gestão de varas com orçamentos estrangulados, avaliação psicológica de testemunhas, relacionamento com a mídia, compreensão profunda do contexto socioeconômico do litígio e sensibilidade para vieses inconscientes de gênero e raça.</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disso, Piana demonstra que a educação judicial atua como um vetor primordial na indução de políticas transnacionais e na "Europeização" da justiça.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Uma vez que a União Europeia carece de poder coercitivo para impor modelos unificados de justiça aos seus Estados-Membros, a padronização do Estado de Direito e a confiança mútua (necessária para a execução de instrumentos como o Mandado de Detenção Europeu) são construídas através do isomorfismo institucional gerado por redes de </w:t>
      </w:r>
      <w:r w:rsidDel="00000000" w:rsidR="00000000" w:rsidRPr="00000000">
        <w:rPr>
          <w:rFonts w:ascii="Google Sans" w:cs="Google Sans" w:eastAsia="Google Sans" w:hAnsi="Google Sans"/>
          <w:i w:val="1"/>
          <w:iCs w:val="1"/>
          <w:color w:val="1f1f1f"/>
          <w:rtl w:val="0"/>
        </w:rPr>
        <w:t xml:space="preserve">epistemic communities</w:t>
      </w:r>
      <w:r w:rsidDel="00000000" w:rsidR="00000000" w:rsidRPr="00000000">
        <w:rPr>
          <w:rFonts w:ascii="Google Sans" w:cs="Google Sans" w:eastAsia="Google Sans" w:hAnsi="Google Sans"/>
          <w:color w:val="1f1f1f"/>
          <w:rtl w:val="0"/>
        </w:rPr>
        <w:t xml:space="preserve"> (comunidades epistêmicas).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 aprendizado horizontal e as ferramentas de avaliação (como o </w:t>
      </w:r>
      <w:r w:rsidDel="00000000" w:rsidR="00000000" w:rsidRPr="00000000">
        <w:rPr>
          <w:rFonts w:ascii="Google Sans" w:cs="Google Sans" w:eastAsia="Google Sans" w:hAnsi="Google Sans"/>
          <w:i w:val="1"/>
          <w:iCs w:val="1"/>
          <w:color w:val="1f1f1f"/>
          <w:rtl w:val="0"/>
        </w:rPr>
        <w:t xml:space="preserve">Judicial Training and Education Assessment Tool</w:t>
      </w:r>
      <w:r w:rsidDel="00000000" w:rsidR="00000000" w:rsidRPr="00000000">
        <w:rPr>
          <w:rFonts w:ascii="Google Sans" w:cs="Google Sans" w:eastAsia="Google Sans" w:hAnsi="Google Sans"/>
          <w:color w:val="1f1f1f"/>
          <w:rtl w:val="0"/>
        </w:rPr>
        <w:t xml:space="preserve"> - JEAT) servem para consolidar valores democráticos em nações pós-autoritárias, demonstrando o peso macropolítico da capacitação.</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 Arquitetura das Redes Comparadas e o Caso Brasileiro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necessidade de harmonização doutrinária e de elevação dos padrões gerou o florescimento de redes globais. A </w:t>
      </w:r>
      <w:r w:rsidDel="00000000" w:rsidR="00000000" w:rsidRPr="00000000">
        <w:rPr>
          <w:rFonts w:ascii="Google Sans" w:cs="Google Sans" w:eastAsia="Google Sans" w:hAnsi="Google Sans"/>
          <w:i w:val="1"/>
          <w:iCs w:val="1"/>
          <w:color w:val="1f1f1f"/>
          <w:rtl w:val="0"/>
        </w:rPr>
        <w:t xml:space="preserve">International Organization for Judicial Training</w:t>
      </w:r>
      <w:r w:rsidDel="00000000" w:rsidR="00000000" w:rsidRPr="00000000">
        <w:rPr>
          <w:rFonts w:ascii="Google Sans" w:cs="Google Sans" w:eastAsia="Google Sans" w:hAnsi="Google Sans"/>
          <w:color w:val="1f1f1f"/>
          <w:rtl w:val="0"/>
        </w:rPr>
        <w:t xml:space="preserve"> (IOJT), congregando centenas de instituições de dezenas de países, atua como o fórum global para a partilha de metodologias e inovações pedagógicas voltadas à magistratura.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No âmbito regional, a </w:t>
      </w:r>
      <w:r w:rsidDel="00000000" w:rsidR="00000000" w:rsidRPr="00000000">
        <w:rPr>
          <w:rFonts w:ascii="Google Sans" w:cs="Google Sans" w:eastAsia="Google Sans" w:hAnsi="Google Sans"/>
          <w:i w:val="1"/>
          <w:iCs w:val="1"/>
          <w:color w:val="1f1f1f"/>
          <w:rtl w:val="0"/>
        </w:rPr>
        <w:t xml:space="preserve">European Judicial Training Network</w:t>
      </w:r>
      <w:r w:rsidDel="00000000" w:rsidR="00000000" w:rsidRPr="00000000">
        <w:rPr>
          <w:rFonts w:ascii="Google Sans" w:cs="Google Sans" w:eastAsia="Google Sans" w:hAnsi="Google Sans"/>
          <w:color w:val="1f1f1f"/>
          <w:rtl w:val="0"/>
        </w:rPr>
        <w:t xml:space="preserve"> (EJTN) é um ecossistema formidável que sistematiza as melhores práticas comparadas, coordenando programas de intercâmbio transnacional entre cortes e fomentando a aplicação uniforme das diretrizes de direitos humanos.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marcha em direção à institucionalização e qualificação holística reflete-se de maneira emblemática na arquitetura judicial do Estado brasileiro. O marco fundacional dessa revolução silenciosa foi a promulgação da Emenda Constitucional nº 45, de 2004, apelidada de "Reforma do Judiciário".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Reconhecendo a necessidade premente de dotar o sistema de maior celeridade e aderência social, a EC 45 estabeleceu que a participação e o aproveitamento em cursos oficiais constituem etapa obrigatória no processo de vitaliciamento e pré-requisito irrenunciável para a promoção na carreira da magistratura.</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partir desse mandamento constitucional, o Brasil estruturou redes formativas gigantescas, lideradas por duas instituições de cúpula: a Escola Nacional de Formação e Aperfeiçoamento de Magistrados (ENFAM), no âmbito da Justiça Comum (Estadual e Federal), e a Escola Nacional de Formação e Aperfeiçoamento de Magistrados do Trabalho (ENAMAT).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Ambas não atuam como meros repassadores de atualizações legislativas, mas como formuladoras de políticas educacionais. A ENFAM declarou formalmente a ruptura com a visão do juiz como um autômato da subsunção ("o fato é esse; a lei é essa; a decisão é essa") para investir maciçamente no desenvolvimento da "visão humanística e pragmática".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Cursos obrigatórios passaram a abranger temas críticos como o Protocolo para Julgamento com Perspectiva de Gênero (combate a preconceitos e violência institucional), os limites das decisões em políticas públicas, e o uso ético da tecnologia, preparando a magistratura para lidar empaticamente com uma sociedade plural e altamente judicializada.</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Ademais, acompanhando a tese de Ingraham e Donahue sobre a "caixa preta", o sistema judicial brasileiro compreendeu que a celeridade e o impacto não advêm apenas dos juízes, mas substancialmente de seu corpo de servidores e infraestrutura tecnológica.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Conselho Nacional de Justiça (CNJ), operando através do CEAJUD (Centro de Formação e Aperfeiçoamento de Servidores do Poder Judiciário), estabeleceu trilhas formativas de proporções continentais para a digitalização da justiça.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Programas estruturantes como o "Justiça 4.0" dependem umbilicalmente de servidores fluentes em novas tecnologias (Java, Angular, Testes Automatizados, integração de APIs, uso de plataformas como o PJe, Sniper e Domicílio Judicial Eletrônico).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O CEAJUD massificou essa formação provendo cursos na modalidade de Educação a Distância (EaD), o que demonstra a maturação completa dos três níveis de capacidade (individual, organizacional e sistêmico) propugnados pela OCDE no âmago do Judiciário brasileiro.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 Aceleração Tecnológica: Learning Analytics e o Ecossistema de Dados Educacionais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À medida que os orçamentos públicos sofrem restrições e o volume de informações disponíveis cresce exponencialmente, as metodologias de ensino tradicionais demonstram sinais de exaustão. A imposição de programas formativos estáticos e massificados (</w:t>
      </w:r>
      <w:r w:rsidDel="00000000" w:rsidR="00000000" w:rsidRPr="00000000">
        <w:rPr>
          <w:rFonts w:ascii="Google Sans" w:cs="Google Sans" w:eastAsia="Google Sans" w:hAnsi="Google Sans"/>
          <w:i w:val="1"/>
          <w:iCs w:val="1"/>
          <w:color w:val="1f1f1f"/>
          <w:rtl w:val="0"/>
        </w:rPr>
        <w:t xml:space="preserve">one-size-fits-all</w:t>
      </w:r>
      <w:r w:rsidDel="00000000" w:rsidR="00000000" w:rsidRPr="00000000">
        <w:rPr>
          <w:rFonts w:ascii="Google Sans" w:cs="Google Sans" w:eastAsia="Google Sans" w:hAnsi="Google Sans"/>
          <w:color w:val="1f1f1f"/>
          <w:rtl w:val="0"/>
        </w:rPr>
        <w:t xml:space="preserve">) é ineficiente em lidar com os diferentes níveis de conhecimento prévio, motivação e habilidades latentes presentes no serviço civil.</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Nesse vácuo analítico e pedagógico consolida-se o terceiro subcampo: a interseção entre tecnologia educacional e inteligência analítica de dados.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Diferenciando Learning Analytics e Educational Data Mining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ciências de dados, quando aplicadas a contextos educacionais e de treinamento corporativo, dividem-se epistemologicamente em duas comunidades principais de pesquisa e prática, que, embora umbilicalmente conectadas, possuem objetivos ligeiramente distintos: a Mineração de Dados Educacionais (</w:t>
      </w:r>
      <w:r w:rsidDel="00000000" w:rsidR="00000000" w:rsidRPr="00000000">
        <w:rPr>
          <w:rFonts w:ascii="Google Sans" w:cs="Google Sans" w:eastAsia="Google Sans" w:hAnsi="Google Sans"/>
          <w:i w:val="1"/>
          <w:iCs w:val="1"/>
          <w:color w:val="1f1f1f"/>
          <w:rtl w:val="0"/>
        </w:rPr>
        <w:t xml:space="preserve">Educational Data Mining</w:t>
      </w:r>
      <w:r w:rsidDel="00000000" w:rsidR="00000000" w:rsidRPr="00000000">
        <w:rPr>
          <w:rFonts w:ascii="Google Sans" w:cs="Google Sans" w:eastAsia="Google Sans" w:hAnsi="Google Sans"/>
          <w:color w:val="1f1f1f"/>
          <w:rtl w:val="0"/>
        </w:rPr>
        <w:t xml:space="preserve"> - EDM) e a Analítica de Aprendizagem (</w:t>
      </w:r>
      <w:r w:rsidDel="00000000" w:rsidR="00000000" w:rsidRPr="00000000">
        <w:rPr>
          <w:rFonts w:ascii="Google Sans" w:cs="Google Sans" w:eastAsia="Google Sans" w:hAnsi="Google Sans"/>
          <w:i w:val="1"/>
          <w:iCs w:val="1"/>
          <w:color w:val="1f1f1f"/>
          <w:rtl w:val="0"/>
        </w:rPr>
        <w:t xml:space="preserve">Learning Analytics</w:t>
      </w:r>
      <w:r w:rsidDel="00000000" w:rsidR="00000000" w:rsidRPr="00000000">
        <w:rPr>
          <w:rFonts w:ascii="Google Sans" w:cs="Google Sans" w:eastAsia="Google Sans" w:hAnsi="Google Sans"/>
          <w:color w:val="1f1f1f"/>
          <w:rtl w:val="0"/>
        </w:rPr>
        <w:t xml:space="preserve"> - LA).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George Siemens, Ryan S.J. Baker e outros estudiosos mapearam as divergências metodológicas fundamentais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Dimensão Tecnológica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Educational Data Mining (EDM)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Learning Analytics (LA)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Origem e Foco Filosófico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Derivada de técnicas de </w:t>
            </w:r>
            <w:r w:rsidDel="00000000" w:rsidR="00000000" w:rsidRPr="00000000">
              <w:rPr>
                <w:rFonts w:ascii="Google Sans" w:cs="Google Sans" w:eastAsia="Google Sans" w:hAnsi="Google Sans"/>
                <w:i w:val="1"/>
                <w:iCs w:val="1"/>
                <w:color w:val="1f1f1f"/>
                <w:shd w:fill="auto" w:val="clear"/>
                <w:rtl w:val="0"/>
              </w:rPr>
              <w:t xml:space="preserve">machine learning</w:t>
            </w:r>
            <w:r w:rsidDel="00000000" w:rsidR="00000000" w:rsidRPr="00000000">
              <w:rPr>
                <w:rFonts w:ascii="Google Sans" w:cs="Google Sans" w:eastAsia="Google Sans" w:hAnsi="Google Sans"/>
                <w:color w:val="1f1f1f"/>
                <w:shd w:fill="auto" w:val="clear"/>
                <w:rtl w:val="0"/>
              </w:rPr>
              <w:t xml:space="preserve"> e IA clássica. Foca em automatizar a descoberta de padrões e modelar constructos cognitivos ou emocionais isolados (ex: prever milimetricamente quando um aluno está entediado).</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Abordagem de sistemas integrais. Seu principal foco é extrair informações dos dados para </w:t>
            </w:r>
            <w:r w:rsidDel="00000000" w:rsidR="00000000" w:rsidRPr="00000000">
              <w:rPr>
                <w:rFonts w:ascii="Google Sans" w:cs="Google Sans" w:eastAsia="Google Sans" w:hAnsi="Google Sans"/>
                <w:i w:val="1"/>
                <w:iCs w:val="1"/>
                <w:color w:val="1f1f1f"/>
                <w:shd w:fill="auto" w:val="clear"/>
                <w:rtl w:val="0"/>
              </w:rPr>
              <w:t xml:space="preserve">empoderar e informar agentes humanos</w:t>
            </w:r>
            <w:r w:rsidDel="00000000" w:rsidR="00000000" w:rsidRPr="00000000">
              <w:rPr>
                <w:rFonts w:ascii="Google Sans" w:cs="Google Sans" w:eastAsia="Google Sans" w:hAnsi="Google Sans"/>
                <w:color w:val="1f1f1f"/>
                <w:shd w:fill="auto" w:val="clear"/>
                <w:rtl w:val="0"/>
              </w:rPr>
              <w:t xml:space="preserve"> (instrutores, coordenadores e o próprio aluno) a tomarem melhores decisões.</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Objetivo Prático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Desenvolver adaptações automatizadas e algorítmicas no software, modificando dinamicamente a interface e a dificuldade dos exercícios (Sistemas Tutores Inteligentes) sem depender da intervenção de um professor.</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Fornecer inteligência acionável por meio de </w:t>
            </w:r>
            <w:r w:rsidDel="00000000" w:rsidR="00000000" w:rsidRPr="00000000">
              <w:rPr>
                <w:rFonts w:ascii="Google Sans" w:cs="Google Sans" w:eastAsia="Google Sans" w:hAnsi="Google Sans"/>
                <w:i w:val="1"/>
                <w:iCs w:val="1"/>
                <w:color w:val="1f1f1f"/>
                <w:shd w:fill="auto" w:val="clear"/>
                <w:rtl w:val="0"/>
              </w:rPr>
              <w:t xml:space="preserve">dashboards</w:t>
            </w:r>
            <w:r w:rsidDel="00000000" w:rsidR="00000000" w:rsidRPr="00000000">
              <w:rPr>
                <w:rFonts w:ascii="Google Sans" w:cs="Google Sans" w:eastAsia="Google Sans" w:hAnsi="Google Sans"/>
                <w:color w:val="1f1f1f"/>
                <w:shd w:fill="auto" w:val="clear"/>
                <w:rtl w:val="0"/>
              </w:rPr>
              <w:t xml:space="preserve"> e alertas preventivos que sinalizem para a equipe de recursos humanos ou gestão estratégica quais servidores necessitam de apoio imediato.</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Algoritmos Frequentes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Bayesian Knowledge Tracing</w:t>
            </w:r>
            <w:r w:rsidDel="00000000" w:rsidR="00000000" w:rsidRPr="00000000">
              <w:rPr>
                <w:rFonts w:ascii="Google Sans" w:cs="Google Sans" w:eastAsia="Google Sans" w:hAnsi="Google Sans"/>
                <w:color w:val="1f1f1f"/>
                <w:shd w:fill="auto" w:val="clear"/>
                <w:rtl w:val="0"/>
              </w:rPr>
              <w:t xml:space="preserve"> (BKT), </w:t>
            </w:r>
            <w:r w:rsidDel="00000000" w:rsidR="00000000" w:rsidRPr="00000000">
              <w:rPr>
                <w:rFonts w:ascii="Google Sans" w:cs="Google Sans" w:eastAsia="Google Sans" w:hAnsi="Google Sans"/>
                <w:i w:val="1"/>
                <w:iCs w:val="1"/>
                <w:color w:val="1f1f1f"/>
                <w:shd w:fill="auto" w:val="clear"/>
                <w:rtl w:val="0"/>
              </w:rPr>
              <w:t xml:space="preserve">Deep Knowledge Tracing</w:t>
            </w:r>
            <w:r w:rsidDel="00000000" w:rsidR="00000000" w:rsidRPr="00000000">
              <w:rPr>
                <w:rFonts w:ascii="Google Sans" w:cs="Google Sans" w:eastAsia="Google Sans" w:hAnsi="Google Sans"/>
                <w:color w:val="1f1f1f"/>
                <w:shd w:fill="auto" w:val="clear"/>
                <w:rtl w:val="0"/>
              </w:rPr>
              <w:t xml:space="preserve"> (DKT), Redes Neurais Profundas, Árvores de Decisão para criar trilhas de "aprendizagem adaptativa".</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Análise de Redes Sociais, visualização de interações, métricas agregadas de acesso e engajamento em plataformas LMS (Learning Management Systems) ou LXP (Learning Experience Platforms).</w:t>
            </w:r>
            <w:r w:rsidDel="00000000" w:rsidR="00000000" w:rsidRPr="00000000">
              <w:rPr>
                <w:rFonts w:ascii="Google Sans" w:cs="Google Sans" w:eastAsia="Google Sans" w:hAnsi="Google Sans"/>
                <w:color w:val="444746"/>
                <w:sz w:val="24"/>
                <w:szCs w:val="24"/>
                <w:vertAlign w:val="superscript"/>
                <w:rtl w:val="0"/>
              </w:rPr>
              <w:t xml:space="preserve">58</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aplicação desses métodos permite intervenções de precisão cirúrgica na administração pública.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Através da EDM, por exemplo, utiliza-se a técnica de </w:t>
      </w:r>
      <w:r w:rsidDel="00000000" w:rsidR="00000000" w:rsidRPr="00000000">
        <w:rPr>
          <w:rFonts w:ascii="Google Sans" w:cs="Google Sans" w:eastAsia="Google Sans" w:hAnsi="Google Sans"/>
          <w:i w:val="1"/>
          <w:iCs w:val="1"/>
          <w:color w:val="1f1f1f"/>
          <w:rtl w:val="0"/>
        </w:rPr>
        <w:t xml:space="preserve">Discovery with Models</w:t>
      </w:r>
      <w:r w:rsidDel="00000000" w:rsidR="00000000" w:rsidRPr="00000000">
        <w:rPr>
          <w:rFonts w:ascii="Google Sans" w:cs="Google Sans" w:eastAsia="Google Sans" w:hAnsi="Google Sans"/>
          <w:color w:val="1f1f1f"/>
          <w:rtl w:val="0"/>
        </w:rPr>
        <w:t xml:space="preserve">, onde a análise preditiva constrói modelos complexos, em camadas. Identifica-se inicialmente a arquitetura do domínio de conhecimento; em seguida, avalia-se o conhecimento latente do servidor sobre os novos códigos legais; e, finalmente, constrói-se um modelo preditivo sobre as suas chances de falhar na execução da tarefa prática no trabalho.</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Se o tribunal brasileiro detecta que os erros operacionais no sistema PJe advêm de uma lacuna específica em 5% dos servidores, a </w:t>
      </w:r>
      <w:r w:rsidDel="00000000" w:rsidR="00000000" w:rsidRPr="00000000">
        <w:rPr>
          <w:rFonts w:ascii="Google Sans" w:cs="Google Sans" w:eastAsia="Google Sans" w:hAnsi="Google Sans"/>
          <w:i w:val="1"/>
          <w:iCs w:val="1"/>
          <w:color w:val="1f1f1f"/>
          <w:rtl w:val="0"/>
        </w:rPr>
        <w:t xml:space="preserve">Learning Analytics</w:t>
      </w:r>
      <w:r w:rsidDel="00000000" w:rsidR="00000000" w:rsidRPr="00000000">
        <w:rPr>
          <w:rFonts w:ascii="Google Sans" w:cs="Google Sans" w:eastAsia="Google Sans" w:hAnsi="Google Sans"/>
          <w:color w:val="1f1f1f"/>
          <w:rtl w:val="0"/>
        </w:rPr>
        <w:t xml:space="preserve"> os identifica e dispara trilhas formativas de remedição curtas e cirúrgicas (</w:t>
      </w:r>
      <w:r w:rsidDel="00000000" w:rsidR="00000000" w:rsidRPr="00000000">
        <w:rPr>
          <w:rFonts w:ascii="Google Sans" w:cs="Google Sans" w:eastAsia="Google Sans" w:hAnsi="Google Sans"/>
          <w:i w:val="1"/>
          <w:iCs w:val="1"/>
          <w:color w:val="1f1f1f"/>
          <w:rtl w:val="0"/>
        </w:rPr>
        <w:t xml:space="preserve">microlearning</w:t>
      </w:r>
      <w:r w:rsidDel="00000000" w:rsidR="00000000" w:rsidRPr="00000000">
        <w:rPr>
          <w:rFonts w:ascii="Google Sans" w:cs="Google Sans" w:eastAsia="Google Sans" w:hAnsi="Google Sans"/>
          <w:color w:val="1f1f1f"/>
          <w:rtl w:val="0"/>
        </w:rPr>
        <w:t xml:space="preserve">), poupando tempo valioso dos outros 95% do quadro de pessoal.</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 Framework Genérico de Greller e Drachsler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estruturar e governar o avanço avassalador da LA, Wolfgang Greller e Hendrik Drachsler (2012) propuseram um </w:t>
      </w:r>
      <w:r w:rsidDel="00000000" w:rsidR="00000000" w:rsidRPr="00000000">
        <w:rPr>
          <w:rFonts w:ascii="Google Sans" w:cs="Google Sans" w:eastAsia="Google Sans" w:hAnsi="Google Sans"/>
          <w:i w:val="1"/>
          <w:iCs w:val="1"/>
          <w:color w:val="1f1f1f"/>
          <w:rtl w:val="0"/>
        </w:rPr>
        <w:t xml:space="preserve">framework</w:t>
      </w:r>
      <w:r w:rsidDel="00000000" w:rsidR="00000000" w:rsidRPr="00000000">
        <w:rPr>
          <w:rFonts w:ascii="Google Sans" w:cs="Google Sans" w:eastAsia="Google Sans" w:hAnsi="Google Sans"/>
          <w:color w:val="1f1f1f"/>
          <w:rtl w:val="0"/>
        </w:rPr>
        <w:t xml:space="preserve"> genérico que delineia as dimensões cruciais do fenômeno ("translating learning into numbers").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Em sua taxonomia, consolidada a partir de metanálises de Verbert et al., eles categorizam os seis grandes objetivos subjacentes à pesquisa de inteligência educacional:</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Predição do desempenho e modelagem do aprendiz</w:t>
      </w:r>
      <w:r w:rsidDel="00000000" w:rsidR="00000000" w:rsidRPr="00000000">
        <w:rPr>
          <w:rFonts w:ascii="Google Sans" w:cs="Google Sans" w:eastAsia="Google Sans" w:hAnsi="Google Sans"/>
          <w:color w:val="1f1f1f"/>
          <w:rtl w:val="0"/>
        </w:rPr>
        <w:t xml:space="preserve">: Antecipar falhas de aprendizado ou taxas de evasão em cursos longos, permitindo intervenções preventivas.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Sugestão de recursos relevantes</w:t>
      </w:r>
      <w:r w:rsidDel="00000000" w:rsidR="00000000" w:rsidRPr="00000000">
        <w:rPr>
          <w:rFonts w:ascii="Google Sans" w:cs="Google Sans" w:eastAsia="Google Sans" w:hAnsi="Google Sans"/>
          <w:color w:val="1f1f1f"/>
          <w:rtl w:val="0"/>
        </w:rPr>
        <w:t xml:space="preserve">: Utilizar sistemas de recomendação similares aos do comércio eletrônico para sugerir módulos de capacitação baseados nas lacunas apontadas na Avaliação de Desempenho Institucional do servidor.</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Aumento da conscientização e reflexão</w:t>
      </w:r>
      <w:r w:rsidDel="00000000" w:rsidR="00000000" w:rsidRPr="00000000">
        <w:rPr>
          <w:rFonts w:ascii="Google Sans" w:cs="Google Sans" w:eastAsia="Google Sans" w:hAnsi="Google Sans"/>
          <w:color w:val="1f1f1f"/>
          <w:rtl w:val="0"/>
        </w:rPr>
        <w:t xml:space="preserve">: Prover ao servidor visualizações do seu próprio percurso de conhecimento, fomentando habilidades metacognitivas e autodirecionamento.</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Melhoria dos ambientes de aprendizagem social</w:t>
      </w:r>
      <w:r w:rsidDel="00000000" w:rsidR="00000000" w:rsidRPr="00000000">
        <w:rPr>
          <w:rFonts w:ascii="Google Sans" w:cs="Google Sans" w:eastAsia="Google Sans" w:hAnsi="Google Sans"/>
          <w:color w:val="1f1f1f"/>
          <w:rtl w:val="0"/>
        </w:rPr>
        <w:t xml:space="preserve">: Mapear fóruns de discussão assíncrona, revelando servidores que atuam como multiplicadores de conhecimento natural e isolando bolsões de desengajamento.</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Detecção de comportamentos indesejados</w:t>
      </w:r>
      <w:r w:rsidDel="00000000" w:rsidR="00000000" w:rsidRPr="00000000">
        <w:rPr>
          <w:rFonts w:ascii="Google Sans" w:cs="Google Sans" w:eastAsia="Google Sans" w:hAnsi="Google Sans"/>
          <w:color w:val="1f1f1f"/>
          <w:rtl w:val="0"/>
        </w:rPr>
        <w:t xml:space="preserve">: Identificar fraudes em exames certificatórios ou padrões anômalos de clique (</w:t>
      </w:r>
      <w:r w:rsidDel="00000000" w:rsidR="00000000" w:rsidRPr="00000000">
        <w:rPr>
          <w:rFonts w:ascii="Google Sans" w:cs="Google Sans" w:eastAsia="Google Sans" w:hAnsi="Google Sans"/>
          <w:i w:val="1"/>
          <w:iCs w:val="1"/>
          <w:color w:val="1f1f1f"/>
          <w:rtl w:val="0"/>
        </w:rPr>
        <w:t xml:space="preserve">gaming the system</w:t>
      </w:r>
      <w:r w:rsidDel="00000000" w:rsidR="00000000" w:rsidRPr="00000000">
        <w:rPr>
          <w:rFonts w:ascii="Google Sans" w:cs="Google Sans" w:eastAsia="Google Sans" w:hAnsi="Google Sans"/>
          <w:color w:val="1f1f1f"/>
          <w:rtl w:val="0"/>
        </w:rPr>
        <w:t xml:space="preserve">) em cursos obrigatórios de conformidade (Compliance).</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Detecção de afetos</w:t>
      </w:r>
      <w:r w:rsidDel="00000000" w:rsidR="00000000" w:rsidRPr="00000000">
        <w:rPr>
          <w:rFonts w:ascii="Google Sans" w:cs="Google Sans" w:eastAsia="Google Sans" w:hAnsi="Google Sans"/>
          <w:color w:val="1f1f1f"/>
          <w:rtl w:val="0"/>
        </w:rPr>
        <w:t xml:space="preserve">: Inferir ansiedade, desmotivação ou sobrecarga cognitiva através da cadência de cliques, tempos de pausa e interações linguísticas, adaptando a carga horária em resposta.</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Contudo, Drachsler e Greller, juntamente com teóricos como Knight e Kitto, advertem para as graves armadilhas epistemológicas intrínsecas a essa aceleração.</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Ao traduzir um fenômeno profundamente humano e multivariado — como a aprendizagem social e a incorporação de valores éticos públicos — em simples representações numéricas, os algoritmos operam como lentes que amplificam aspectos facilmente quantificáveis (tempo de tela, taxa de acerto em questionários objetivos) e, quase invariavelmente, distorcem ou silenciam competências difíceis de mensurar (senso de justiça, empatia, discricionariedade humanista).</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No setor público, e especialmente no treinamento de magistrados, essa "análise de reivindicações" (</w:t>
      </w:r>
      <w:r w:rsidDel="00000000" w:rsidR="00000000" w:rsidRPr="00000000">
        <w:rPr>
          <w:rFonts w:ascii="Google Sans" w:cs="Google Sans" w:eastAsia="Google Sans" w:hAnsi="Google Sans"/>
          <w:i w:val="1"/>
          <w:iCs w:val="1"/>
          <w:color w:val="1f1f1f"/>
          <w:rtl w:val="0"/>
        </w:rPr>
        <w:t xml:space="preserve">claims analysis</w:t>
      </w:r>
      <w:r w:rsidDel="00000000" w:rsidR="00000000" w:rsidRPr="00000000">
        <w:rPr>
          <w:rFonts w:ascii="Google Sans" w:cs="Google Sans" w:eastAsia="Google Sans" w:hAnsi="Google Sans"/>
          <w:color w:val="1f1f1f"/>
          <w:rtl w:val="0"/>
        </w:rPr>
        <w:t xml:space="preserve">) sobre o viés do algoritmo é premente, exigindo governança robusta para garantir que a </w:t>
      </w:r>
      <w:r w:rsidDel="00000000" w:rsidR="00000000" w:rsidRPr="00000000">
        <w:rPr>
          <w:rFonts w:ascii="Google Sans" w:cs="Google Sans" w:eastAsia="Google Sans" w:hAnsi="Google Sans"/>
          <w:i w:val="1"/>
          <w:iCs w:val="1"/>
          <w:color w:val="1f1f1f"/>
          <w:rtl w:val="0"/>
        </w:rPr>
        <w:t xml:space="preserve">dataficação</w:t>
      </w:r>
      <w:r w:rsidDel="00000000" w:rsidR="00000000" w:rsidRPr="00000000">
        <w:rPr>
          <w:rFonts w:ascii="Google Sans" w:cs="Google Sans" w:eastAsia="Google Sans" w:hAnsi="Google Sans"/>
          <w:color w:val="1f1f1f"/>
          <w:rtl w:val="0"/>
        </w:rPr>
        <w:t xml:space="preserve"> da educação não subverta os valores constitucionais em prol do eficientismo algorítmico estéril.</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 Fronteira da Avaliação: Modelos de Impacto e a Evidência do Retorno Institucional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ápice intelectual da literatura de desenvolvimento de capacidades estatais deságua, inevitavelmente, no quarto subcampo: a necessidade de comprovar, através da avaliação de impacto, a validade e a eficácia das intervenções formativas.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Embora existam maciços investimentos de recursos públicos em Escolas de Governo, Institutos de Formação de Lideranças e Academias Judiciais, permanece na literatura uma "lacuna recorrente", evidenciada pelas lacunas metodológicas na comprovação inequívoca do retorno desses investimentos.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uma volumosa metanálise revisando as publicações entre 2000 e 2009, Aguinis e Kraiger (2009) comprovaram que a qualificação contínua traz benefícios multidimensionais irrefutáveis. No nível </w:t>
      </w:r>
      <w:r w:rsidDel="00000000" w:rsidR="00000000" w:rsidRPr="00000000">
        <w:rPr>
          <w:rFonts w:ascii="Google Sans" w:cs="Google Sans" w:eastAsia="Google Sans" w:hAnsi="Google Sans"/>
          <w:b w:val="1"/>
          <w:bCs w:val="1"/>
          <w:color w:val="1f1f1f"/>
          <w:rtl w:val="0"/>
        </w:rPr>
        <w:t xml:space="preserve">individual</w:t>
      </w:r>
      <w:r w:rsidDel="00000000" w:rsidR="00000000" w:rsidRPr="00000000">
        <w:rPr>
          <w:rFonts w:ascii="Google Sans" w:cs="Google Sans" w:eastAsia="Google Sans" w:hAnsi="Google Sans"/>
          <w:color w:val="1f1f1f"/>
          <w:rtl w:val="0"/>
        </w:rPr>
        <w:t xml:space="preserve">, resulta na melhoria direta do desempenho prático (</w:t>
      </w:r>
      <w:r w:rsidDel="00000000" w:rsidR="00000000" w:rsidRPr="00000000">
        <w:rPr>
          <w:rFonts w:ascii="Google Sans" w:cs="Google Sans" w:eastAsia="Google Sans" w:hAnsi="Google Sans"/>
          <w:i w:val="1"/>
          <w:iCs w:val="1"/>
          <w:color w:val="1f1f1f"/>
          <w:rtl w:val="0"/>
        </w:rPr>
        <w:t xml:space="preserve">job performance</w:t>
      </w:r>
      <w:r w:rsidDel="00000000" w:rsidR="00000000" w:rsidRPr="00000000">
        <w:rPr>
          <w:rFonts w:ascii="Google Sans" w:cs="Google Sans" w:eastAsia="Google Sans" w:hAnsi="Google Sans"/>
          <w:color w:val="1f1f1f"/>
          <w:rtl w:val="0"/>
        </w:rPr>
        <w:t xml:space="preserve">), no aprimoramento da inovação adaptativa e na elevação do bem-estar e da segurança psicológica do servidor.</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No nível de </w:t>
      </w:r>
      <w:r w:rsidDel="00000000" w:rsidR="00000000" w:rsidRPr="00000000">
        <w:rPr>
          <w:rFonts w:ascii="Google Sans" w:cs="Google Sans" w:eastAsia="Google Sans" w:hAnsi="Google Sans"/>
          <w:b w:val="1"/>
          <w:bCs w:val="1"/>
          <w:color w:val="1f1f1f"/>
          <w:rtl w:val="0"/>
        </w:rPr>
        <w:t xml:space="preserve">equipes</w:t>
      </w:r>
      <w:r w:rsidDel="00000000" w:rsidR="00000000" w:rsidRPr="00000000">
        <w:rPr>
          <w:rFonts w:ascii="Google Sans" w:cs="Google Sans" w:eastAsia="Google Sans" w:hAnsi="Google Sans"/>
          <w:color w:val="1f1f1f"/>
          <w:rtl w:val="0"/>
        </w:rPr>
        <w:t xml:space="preserve">, fomenta a coordenação tácita, reduz conflitos interpessoais e melhora a coesão em ambientes de alta pressão burocrática.</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No nível </w:t>
      </w:r>
      <w:r w:rsidDel="00000000" w:rsidR="00000000" w:rsidRPr="00000000">
        <w:rPr>
          <w:rFonts w:ascii="Google Sans" w:cs="Google Sans" w:eastAsia="Google Sans" w:hAnsi="Google Sans"/>
          <w:b w:val="1"/>
          <w:bCs w:val="1"/>
          <w:color w:val="1f1f1f"/>
          <w:rtl w:val="0"/>
        </w:rPr>
        <w:t xml:space="preserve">organizacional</w:t>
      </w:r>
      <w:r w:rsidDel="00000000" w:rsidR="00000000" w:rsidRPr="00000000">
        <w:rPr>
          <w:rFonts w:ascii="Google Sans" w:cs="Google Sans" w:eastAsia="Google Sans" w:hAnsi="Google Sans"/>
          <w:color w:val="1f1f1f"/>
          <w:rtl w:val="0"/>
        </w:rPr>
        <w:t xml:space="preserve">, reflete-se em redução dramática de custos operacionais, quedas nas taxas de erro burocrático e, por extensão natural, gera amplos benefícios no nível da </w:t>
      </w:r>
      <w:r w:rsidDel="00000000" w:rsidR="00000000" w:rsidRPr="00000000">
        <w:rPr>
          <w:rFonts w:ascii="Google Sans" w:cs="Google Sans" w:eastAsia="Google Sans" w:hAnsi="Google Sans"/>
          <w:b w:val="1"/>
          <w:bCs w:val="1"/>
          <w:color w:val="1f1f1f"/>
          <w:rtl w:val="0"/>
        </w:rPr>
        <w:t xml:space="preserve">sociedade</w:t>
      </w:r>
      <w:r w:rsidDel="00000000" w:rsidR="00000000" w:rsidRPr="00000000">
        <w:rPr>
          <w:rFonts w:ascii="Google Sans" w:cs="Google Sans" w:eastAsia="Google Sans" w:hAnsi="Google Sans"/>
          <w:color w:val="1f1f1f"/>
          <w:rtl w:val="0"/>
        </w:rPr>
        <w:t xml:space="preserve">, consubstanciados na eficiência dos serviços públicos e na manutenção de mercados estáveis e seguros.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Contudo, como adverte a lacuna apontada por Aguinis e Kraiger, a administração pública ainda é notória por saber pouco sobre </w:t>
      </w:r>
      <w:r w:rsidDel="00000000" w:rsidR="00000000" w:rsidRPr="00000000">
        <w:rPr>
          <w:rFonts w:ascii="Google Sans" w:cs="Google Sans" w:eastAsia="Google Sans" w:hAnsi="Google Sans"/>
          <w:i w:val="1"/>
          <w:iCs w:val="1"/>
          <w:color w:val="1f1f1f"/>
          <w:rtl w:val="0"/>
        </w:rPr>
        <w:t xml:space="preserve">o que funciona, em quais contextos e por quais razões causais exatas</w:t>
      </w:r>
      <w:r w:rsidDel="00000000" w:rsidR="00000000" w:rsidRPr="00000000">
        <w:rPr>
          <w:rFonts w:ascii="Google Sans" w:cs="Google Sans" w:eastAsia="Google Sans" w:hAnsi="Google Sans"/>
          <w:color w:val="1f1f1f"/>
          <w:rtl w:val="0"/>
        </w:rPr>
        <w:t xml:space="preserve"> operam essas dinâmicas de sucesso ou de falha.</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suprir essa debilidade metodológica na justificação orçamentária, a administração contemporânea apoiou-se fundamentalmente na evolução do Modelo de Avaliação de Donald Kirkpatrick (estruturado desde a década de 1950, iterado em 1994) e na controversa e sofisticada expansão concebida por Jack Phillips (2003) no desenvolvimento da Metodologia ROI (</w:t>
      </w:r>
      <w:r w:rsidDel="00000000" w:rsidR="00000000" w:rsidRPr="00000000">
        <w:rPr>
          <w:rFonts w:ascii="Google Sans" w:cs="Google Sans" w:eastAsia="Google Sans" w:hAnsi="Google Sans"/>
          <w:i w:val="1"/>
          <w:iCs w:val="1"/>
          <w:color w:val="1f1f1f"/>
          <w:rtl w:val="0"/>
        </w:rPr>
        <w:t xml:space="preserve">Return on Investment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O Arquétipo Progressivo: O Modelo Kirkpatrick Clássico e o "New World"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Donald Kirkpatrick formulou o que se tornou a fundação incontestável da avaliação em Treinamento e Desenvolvimento (T&amp;D), organizando a investigação de impacto em quatro degraus sequenciais e sistêmicos, onde a evidência extraída de um nível fundamenta o avanço analítico para o subsequente </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Nível 1 - Reação</w:t>
      </w:r>
      <w:r w:rsidDel="00000000" w:rsidR="00000000" w:rsidRPr="00000000">
        <w:rPr>
          <w:rFonts w:ascii="Google Sans" w:cs="Google Sans" w:eastAsia="Google Sans" w:hAnsi="Google Sans"/>
          <w:color w:val="1f1f1f"/>
          <w:rtl w:val="0"/>
        </w:rPr>
        <w:t xml:space="preserve">: Aferiçāo imediata de como os treinandos reagem ao programa. Engloba o grau de satisfação, o nível de engajamento e a percepção subjetiva sobre a aplicabilidade prática do conteúdo.</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É rotineiramente coletado por folhas de feedback ("smile sheets"). Embora fundamental para aferir a qualidade percebida da entrega e da infraestrutura, a sua correlação com a aquisição perene de conhecimento (Nível 2) ou transferência prática (Nível 3) é estatisticamente fraca e limitante se analisada de forma solitária.</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Nível 2 - Aprendizagem</w:t>
      </w:r>
      <w:r w:rsidDel="00000000" w:rsidR="00000000" w:rsidRPr="00000000">
        <w:rPr>
          <w:rFonts w:ascii="Google Sans" w:cs="Google Sans" w:eastAsia="Google Sans" w:hAnsi="Google Sans"/>
          <w:color w:val="1f1f1f"/>
          <w:rtl w:val="0"/>
        </w:rPr>
        <w:t xml:space="preserve">: Mensura, predominantemente através de avaliações psicométricas rigorosas pré e pós-intervenção, o grau efetivo de alteração ou de absorção de conhecimento, da aquisição de novas habilidades procedimentais ou de mudanças em atitudes.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Este nível assegura, do ponto de vista andragógico, que os objetivos curriculares previstos (ex: entender a legislação do PJe) foram atingidos no escopo do programa.</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Nível 3 - Comportamento (Transferência / Aplicação Prática)</w:t>
      </w:r>
      <w:r w:rsidDel="00000000" w:rsidR="00000000" w:rsidRPr="00000000">
        <w:rPr>
          <w:rFonts w:ascii="Google Sans" w:cs="Google Sans" w:eastAsia="Google Sans" w:hAnsi="Google Sans"/>
          <w:color w:val="1f1f1f"/>
          <w:rtl w:val="0"/>
        </w:rPr>
        <w:t xml:space="preserve">: Constitui o gargalo crítico da formação na administração pública.</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Analisa se as competências, embora perfeitamente absorvidas no Nível 2 (sala de aula teórica/simulada), foram, de fato, transpostas para as tarefas complexas na rotina burocrática (</w:t>
      </w:r>
      <w:r w:rsidDel="00000000" w:rsidR="00000000" w:rsidRPr="00000000">
        <w:rPr>
          <w:rFonts w:ascii="Google Sans" w:cs="Google Sans" w:eastAsia="Google Sans" w:hAnsi="Google Sans"/>
          <w:i w:val="1"/>
          <w:iCs w:val="1"/>
          <w:color w:val="1f1f1f"/>
          <w:rtl w:val="0"/>
        </w:rPr>
        <w:t xml:space="preserve">on-the-job application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Essa avaliação requer acompanhamento de longo prazo e métodos diversificados: observação direta, dados de sistemas (</w:t>
      </w:r>
      <w:r w:rsidDel="00000000" w:rsidR="00000000" w:rsidRPr="00000000">
        <w:rPr>
          <w:rFonts w:ascii="Google Sans" w:cs="Google Sans" w:eastAsia="Google Sans" w:hAnsi="Google Sans"/>
          <w:i w:val="1"/>
          <w:iCs w:val="1"/>
          <w:color w:val="1f1f1f"/>
          <w:rtl w:val="0"/>
        </w:rPr>
        <w:t xml:space="preserve">learning analytics</w:t>
      </w:r>
      <w:r w:rsidDel="00000000" w:rsidR="00000000" w:rsidRPr="00000000">
        <w:rPr>
          <w:rFonts w:ascii="Google Sans" w:cs="Google Sans" w:eastAsia="Google Sans" w:hAnsi="Google Sans"/>
          <w:color w:val="1f1f1f"/>
          <w:rtl w:val="0"/>
        </w:rPr>
        <w:t xml:space="preserve"> cruzado com performance), </w:t>
      </w:r>
      <w:r w:rsidDel="00000000" w:rsidR="00000000" w:rsidRPr="00000000">
        <w:rPr>
          <w:rFonts w:ascii="Google Sans" w:cs="Google Sans" w:eastAsia="Google Sans" w:hAnsi="Google Sans"/>
          <w:i w:val="1"/>
          <w:iCs w:val="1"/>
          <w:color w:val="1f1f1f"/>
          <w:rtl w:val="0"/>
        </w:rPr>
        <w:t xml:space="preserve">feedbacks</w:t>
      </w:r>
      <w:r w:rsidDel="00000000" w:rsidR="00000000" w:rsidRPr="00000000">
        <w:rPr>
          <w:rFonts w:ascii="Google Sans" w:cs="Google Sans" w:eastAsia="Google Sans" w:hAnsi="Google Sans"/>
          <w:color w:val="1f1f1f"/>
          <w:rtl w:val="0"/>
        </w:rPr>
        <w:t xml:space="preserve"> cruzados entre pares, autoavaliações ou métricas de supervisores.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O Nível 3 é o campo de teste que expõe as vulnerabilidades institucionais teorizadas por Christensen, Lægreid e Grindle.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Nível 4 - Resultados (Impacto no Negócio)</w:t>
      </w:r>
      <w:r w:rsidDel="00000000" w:rsidR="00000000" w:rsidRPr="00000000">
        <w:rPr>
          <w:rFonts w:ascii="Google Sans" w:cs="Google Sans" w:eastAsia="Google Sans" w:hAnsi="Google Sans"/>
          <w:color w:val="1f1f1f"/>
          <w:rtl w:val="0"/>
        </w:rPr>
        <w:t xml:space="preserve">: O coroamento do modelo, que mede como as alterações no comportamento individual (Nível 3) causaram impactos palpáveis e favoráveis aos grandes objetivos organizacionais da agência pública (e.g. redução na morosidade dos trâmites, ampliação na qualidade de prestação jurisdicional, diminuição severa de recursos procedimentais ou elevação do nível de satisfação do usuário do serviço estatal).</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chamado </w:t>
      </w:r>
      <w:r w:rsidDel="00000000" w:rsidR="00000000" w:rsidRPr="00000000">
        <w:rPr>
          <w:rFonts w:ascii="Google Sans" w:cs="Google Sans" w:eastAsia="Google Sans" w:hAnsi="Google Sans"/>
          <w:i w:val="1"/>
          <w:iCs w:val="1"/>
          <w:color w:val="1f1f1f"/>
          <w:rtl w:val="0"/>
        </w:rPr>
        <w:t xml:space="preserve">New World Kirkpatrick Model</w:t>
      </w:r>
      <w:r w:rsidDel="00000000" w:rsidR="00000000" w:rsidRPr="00000000">
        <w:rPr>
          <w:rFonts w:ascii="Google Sans" w:cs="Google Sans" w:eastAsia="Google Sans" w:hAnsi="Google Sans"/>
          <w:color w:val="1f1f1f"/>
          <w:rtl w:val="0"/>
        </w:rPr>
        <w:t xml:space="preserve"> foi formulado para preencher as críticas à insuficiência do modelo original diante de falhas de contexto.</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Ele postula que não se pode avaliar isoladamente o programa (o "evento" formativo) destituído de sua estrutura organizacional.</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A grande modificação foi o reconhecimento formal do "Ambiente de Desempenho" (</w:t>
      </w:r>
      <w:r w:rsidDel="00000000" w:rsidR="00000000" w:rsidRPr="00000000">
        <w:rPr>
          <w:rFonts w:ascii="Google Sans" w:cs="Google Sans" w:eastAsia="Google Sans" w:hAnsi="Google Sans"/>
          <w:i w:val="1"/>
          <w:iCs w:val="1"/>
          <w:color w:val="1f1f1f"/>
          <w:rtl w:val="0"/>
        </w:rPr>
        <w:t xml:space="preserve">Performance Environment</w:t>
      </w:r>
      <w:r w:rsidDel="00000000" w:rsidR="00000000" w:rsidRPr="00000000">
        <w:rPr>
          <w:rFonts w:ascii="Google Sans" w:cs="Google Sans" w:eastAsia="Google Sans" w:hAnsi="Google Sans"/>
          <w:color w:val="1f1f1f"/>
          <w:rtl w:val="0"/>
        </w:rPr>
        <w:t xml:space="preserve">) como o mecanismo facilitador ou constritor absoluto, ecoando de maneira notável o modelo dos três níveis da OCDE (Individual, Organizacional, Sistêmico).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Se o Nível 2 foi excelente, mas a taxa de transferência no Nível 3 for pífia, a falha reside quase invariavelmente na inação e inabilidade da liderança local em dar suporte à aplicação, ou em normativos arcaicos que proíbem as práticas recém-adquiridas de florescerem na operação de rotina.</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Ademais, o </w:t>
      </w:r>
      <w:r w:rsidDel="00000000" w:rsidR="00000000" w:rsidRPr="00000000">
        <w:rPr>
          <w:rFonts w:ascii="Google Sans" w:cs="Google Sans" w:eastAsia="Google Sans" w:hAnsi="Google Sans"/>
          <w:i w:val="1"/>
          <w:iCs w:val="1"/>
          <w:color w:val="1f1f1f"/>
          <w:rtl w:val="0"/>
        </w:rPr>
        <w:t xml:space="preserve">New World Kirkpatrick</w:t>
      </w:r>
      <w:r w:rsidDel="00000000" w:rsidR="00000000" w:rsidRPr="00000000">
        <w:rPr>
          <w:rFonts w:ascii="Google Sans" w:cs="Google Sans" w:eastAsia="Google Sans" w:hAnsi="Google Sans"/>
          <w:color w:val="1f1f1f"/>
          <w:rtl w:val="0"/>
        </w:rPr>
        <w:t xml:space="preserve"> orienta os arquitetos da capacitação a planejarem regressivamente (partindo dos indicadores estratégicos exigidos no Nível 4 até desaguar no currículo do Nível 1), ancorando o planejamento de sucesso na métrica de ROE (</w:t>
      </w:r>
      <w:r w:rsidDel="00000000" w:rsidR="00000000" w:rsidRPr="00000000">
        <w:rPr>
          <w:rFonts w:ascii="Google Sans" w:cs="Google Sans" w:eastAsia="Google Sans" w:hAnsi="Google Sans"/>
          <w:i w:val="1"/>
          <w:iCs w:val="1"/>
          <w:color w:val="1f1f1f"/>
          <w:rtl w:val="0"/>
        </w:rPr>
        <w:t xml:space="preserve">Return on Expectations</w:t>
      </w:r>
      <w:r w:rsidDel="00000000" w:rsidR="00000000" w:rsidRPr="00000000">
        <w:rPr>
          <w:rFonts w:ascii="Google Sans" w:cs="Google Sans" w:eastAsia="Google Sans" w:hAnsi="Google Sans"/>
          <w:color w:val="1f1f1f"/>
          <w:rtl w:val="0"/>
        </w:rPr>
        <w:t xml:space="preserve"> — Retorno sobre Expectativas acordadas junto ao escrutínio dos atores interessados), enquadrando a capacitação como um contribuidor central entre outras variáveis organizacionais que influenciam o sucesso do processo em si.</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 Fronteira da Aferição Financeira Absoluta: Jack Phillips e a Metodologia ROI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 o aperto contínuo das contas orçamentárias públicas e a necessidade de responder taxativamente perante os parlamentos federais e comitês de fiscalização financeira (Tribunais de Contas), basear o relatório de resultados formativos puramente em benefícios contextuais (Nível 4 qualitativo e quantitativo comportamental) demonstrou ser por vezes insuficiente politicamente. Jack Phillips expandiu, então, as quatro etapas consagradas de Kirkpatrick e cunhou o contundente </w:t>
      </w:r>
      <w:r w:rsidDel="00000000" w:rsidR="00000000" w:rsidRPr="00000000">
        <w:rPr>
          <w:rFonts w:ascii="Google Sans" w:cs="Google Sans" w:eastAsia="Google Sans" w:hAnsi="Google Sans"/>
          <w:b w:val="1"/>
          <w:bCs w:val="1"/>
          <w:color w:val="1f1f1f"/>
          <w:rtl w:val="0"/>
        </w:rPr>
        <w:t xml:space="preserve">Nível 5 - Retorno sobre Investimento (ROI)</w:t>
      </w:r>
      <w:r w:rsidDel="00000000" w:rsidR="00000000" w:rsidRPr="00000000">
        <w:rPr>
          <w:rFonts w:ascii="Google Sans" w:cs="Google Sans" w:eastAsia="Google Sans" w:hAnsi="Google Sans"/>
          <w:color w:val="1f1f1f"/>
          <w:rtl w:val="0"/>
        </w:rPr>
        <w:t xml:space="preserve">, estabelecendo uma metodologia exata, intensiva em recursos analíticos, e voltada a isolar metodologicamente a contribuição causal estrita do programa de treinamento face a variáveis ambientais extrínsecas para poder precificá-la numericamente.</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Parâmetro Avaliativo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de Donald Kirkpatrick (Ênfase: Progresso da Aprendizagem)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Metodologia ROI de Jack Phillips (Ênfase: Accountability Financeira)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Dimensões do Modelo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Quatro etapas analíticas (Reação, Aprendizado, Comportamento e Resultados) que narram de modo lógico e sistêmico a maturação da </w:t>
            </w:r>
            <w:r w:rsidDel="00000000" w:rsidR="00000000" w:rsidRPr="00000000">
              <w:rPr>
                <w:rFonts w:ascii="Google Sans" w:cs="Google Sans" w:eastAsia="Google Sans" w:hAnsi="Google Sans"/>
                <w:i w:val="1"/>
                <w:iCs w:val="1"/>
                <w:color w:val="1f1f1f"/>
                <w:shd w:fill="auto" w:val="clear"/>
                <w:rtl w:val="0"/>
              </w:rPr>
              <w:t xml:space="preserve">expertise</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Modificação relacional das nomenclaturas, acrescentando o Nível 5 (ROI Financeiro) calcado em técnicas de controle e avaliação econométrica de impactos.</w:t>
            </w:r>
            <w:r w:rsidDel="00000000" w:rsidR="00000000" w:rsidRPr="00000000">
              <w:rPr>
                <w:rFonts w:ascii="Google Sans" w:cs="Google Sans" w:eastAsia="Google Sans" w:hAnsi="Google Sans"/>
                <w:color w:val="444746"/>
                <w:sz w:val="24"/>
                <w:szCs w:val="24"/>
                <w:vertAlign w:val="superscript"/>
                <w:rtl w:val="0"/>
              </w:rPr>
              <w:t xml:space="preserve">70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Recursos Metodológicos Requeridos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Relativamente intuitivo, flexível e adaptável mesmo para agências públicas dotadas de parcas infraestruturas analíticas; exige engajamento, mas requer menos precisão algorítmica para seu fluxo de comprovação da qualidade.</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Extremamente intensivo em horas técnicas, complexidade gerencial e necessidade de coleta minuciosa do </w:t>
            </w:r>
            <w:r w:rsidDel="00000000" w:rsidR="00000000" w:rsidRPr="00000000">
              <w:rPr>
                <w:rFonts w:ascii="Google Sans" w:cs="Google Sans" w:eastAsia="Google Sans" w:hAnsi="Google Sans"/>
                <w:i w:val="1"/>
                <w:iCs w:val="1"/>
                <w:color w:val="1f1f1f"/>
                <w:shd w:fill="auto" w:val="clear"/>
                <w:rtl w:val="0"/>
              </w:rPr>
              <w:t xml:space="preserve">pipeline</w:t>
            </w:r>
            <w:r w:rsidDel="00000000" w:rsidR="00000000" w:rsidRPr="00000000">
              <w:rPr>
                <w:rFonts w:ascii="Google Sans" w:cs="Google Sans" w:eastAsia="Google Sans" w:hAnsi="Google Sans"/>
                <w:color w:val="1f1f1f"/>
                <w:shd w:fill="auto" w:val="clear"/>
                <w:rtl w:val="0"/>
              </w:rPr>
              <w:t xml:space="preserve"> de dados; restrito usualmente a projetos governamentais robustos e orçamentos elevados devido aos seus altos custos de análise direta.</w:t>
            </w:r>
            <w:r w:rsidDel="00000000" w:rsidR="00000000" w:rsidRPr="00000000">
              <w:rPr>
                <w:rFonts w:ascii="Google Sans" w:cs="Google Sans" w:eastAsia="Google Sans" w:hAnsi="Google Sans"/>
                <w:color w:val="444746"/>
                <w:sz w:val="24"/>
                <w:szCs w:val="24"/>
                <w:vertAlign w:val="superscript"/>
                <w:rtl w:val="0"/>
              </w:rPr>
              <w:t xml:space="preserve">70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Tratamento da "Causalidade" e "Isolamento" de Impacto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Assume a causalidade razoável: desde que a cadeia Nível 1 a Nível 3 seja positiva, o Nível 4 reflete os proventos "tendo contribuído" para os mesmos ao lado de outros recursos de gestão, sem obrigatoriedade metodológica de separar perfeitamente todas as influências externas intervenientes (</w:t>
            </w:r>
            <w:r w:rsidDel="00000000" w:rsidR="00000000" w:rsidRPr="00000000">
              <w:rPr>
                <w:rFonts w:ascii="Google Sans" w:cs="Google Sans" w:eastAsia="Google Sans" w:hAnsi="Google Sans"/>
                <w:i w:val="1"/>
                <w:iCs w:val="1"/>
                <w:color w:val="1f1f1f"/>
                <w:shd w:fill="auto" w:val="clear"/>
                <w:rtl w:val="0"/>
              </w:rPr>
              <w:t xml:space="preserve">Contributive ROI</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Considera primordial, antes de iniciar o cálculo do Nível 5, o uso de métodos restritos (ex: grupos de controle aleatórios, modelos preditivos de tendência, estimativa percentual de exclusividade por peritos) para atribuir com exatidão implacável o quanto o progresso se deve, </w:t>
            </w:r>
            <w:r w:rsidDel="00000000" w:rsidR="00000000" w:rsidRPr="00000000">
              <w:rPr>
                <w:rFonts w:ascii="Google Sans" w:cs="Google Sans" w:eastAsia="Google Sans" w:hAnsi="Google Sans"/>
                <w:b w:val="1"/>
                <w:bCs w:val="1"/>
                <w:color w:val="1f1f1f"/>
                <w:shd w:fill="auto" w:val="clear"/>
                <w:rtl w:val="0"/>
              </w:rPr>
              <w:t xml:space="preserve">única e exclusivamente</w:t>
            </w:r>
            <w:r w:rsidDel="00000000" w:rsidR="00000000" w:rsidRPr="00000000">
              <w:rPr>
                <w:rFonts w:ascii="Google Sans" w:cs="Google Sans" w:eastAsia="Google Sans" w:hAnsi="Google Sans"/>
                <w:color w:val="1f1f1f"/>
                <w:shd w:fill="auto" w:val="clear"/>
                <w:rtl w:val="0"/>
              </w:rPr>
              <w:t xml:space="preserve">, à capacitação recém-aplicada.</w:t>
            </w:r>
            <w:r w:rsidDel="00000000" w:rsidR="00000000" w:rsidRPr="00000000">
              <w:rPr>
                <w:rFonts w:ascii="Google Sans" w:cs="Google Sans" w:eastAsia="Google Sans" w:hAnsi="Google Sans"/>
                <w:color w:val="444746"/>
                <w:sz w:val="24"/>
                <w:szCs w:val="24"/>
                <w:vertAlign w:val="superscript"/>
                <w:rtl w:val="0"/>
              </w:rPr>
              <w:t xml:space="preserve">70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 Valoração de Elementos Intangíveis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Aceita e fomenta as melhorias organizacionais, tais como "clima de satisfação no tribunal", ou "coesão das Varas", não impondo amarras a forçar precificações complexas desses ganhos.</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Apresenta a chamada "cadeia de impacto completa" (benefícios qualitativos intangíveis paralelos), contudo tem em sua tônica primordial a obrigatoriedade de conversão financeira estrita dos índices de qualidade em fluxo real de valor monetário.</w:t>
            </w:r>
            <w:r w:rsidDel="00000000" w:rsidR="00000000" w:rsidRPr="00000000">
              <w:rPr>
                <w:rFonts w:ascii="Google Sans" w:cs="Google Sans" w:eastAsia="Google Sans" w:hAnsi="Google Sans"/>
                <w:color w:val="444746"/>
                <w:sz w:val="24"/>
                <w:szCs w:val="24"/>
                <w:vertAlign w:val="superscript"/>
                <w:rtl w:val="0"/>
              </w:rPr>
              <w:t xml:space="preserve">70</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 Metodologia Phillips, a materialização algébrica exige que o balanço entre as despesas diretas, indiretas e estruturais necessárias ao curso (tempo de trabalho desviado dos alunos, pagamento aos professores, licenças tecnológicas de </w:t>
      </w:r>
      <w:r w:rsidDel="00000000" w:rsidR="00000000" w:rsidRPr="00000000">
        <w:rPr>
          <w:rFonts w:ascii="Google Sans" w:cs="Google Sans" w:eastAsia="Google Sans" w:hAnsi="Google Sans"/>
          <w:i w:val="1"/>
          <w:iCs w:val="1"/>
          <w:color w:val="1f1f1f"/>
          <w:rtl w:val="0"/>
        </w:rPr>
        <w:t xml:space="preserve">Learning Analytics</w:t>
      </w:r>
      <w:r w:rsidDel="00000000" w:rsidR="00000000" w:rsidRPr="00000000">
        <w:rPr>
          <w:rFonts w:ascii="Google Sans" w:cs="Google Sans" w:eastAsia="Google Sans" w:hAnsi="Google Sans"/>
          <w:color w:val="1f1f1f"/>
          <w:rtl w:val="0"/>
        </w:rPr>
        <w:t xml:space="preserve">, horas dos planejadores instrucionais) seja integralmente subtraído do valor financeiro do benefício organizacional colhido.</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O cálculo </w:t>
      </w:r>
      <w:r w:rsidDel="00000000" w:rsidR="00000000" w:rsidRPr="00000000">
        <w:rPr>
          <w:rFonts w:ascii="Google Sans" w:cs="Google Sans" w:eastAsia="Google Sans" w:hAnsi="Google Sans"/>
          <w:color w:val="1f1f1f"/>
        </w:rPr>
        <w:drawing>
          <wp:inline distB="19050" distT="19050" distL="19050" distR="19050">
            <wp:extent cx="3096273" cy="3511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96273" cy="3511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expõe de modo inflexível a pertinência da operação de ensino.</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as Escolas Judiciárias ou Academias Estatais, esse imperativo de conversão monetária é assaz espinhoso, dado que não há receita tarifária explícita derivada das sentenças.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Contudo, a superação teórica propõe mensurações criativas ancoradas na otimização da rotina: calcula-se como benefício o montante orçamentário economizado com peritos em revisões, o número de multas por descumprimento de metas reduzido, e a conversão de horas dos magistrados — agora libertos de refações documentais após absorverem a automação via PJe — transformadas em custo por hora laboral poupada ao Erário.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Como Phillips reitera, utilizar esta metodologia é municiar tecnicamente os departamentos orçamentários dos Tribunais na barganha por verbas, legitimando as Escolas perante as Assembleias Legislativas de Orçamento.</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Síntese e Considerações Práticas e Teóricas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história evolutiva do desenvolvimento de capacidades desvela que o amadurecimento institucional repousa sobre uma espinha dorsal indissociável de educação de altíssima especialização e acompanhamento meticuloso da </w:t>
      </w:r>
      <w:r w:rsidDel="00000000" w:rsidR="00000000" w:rsidRPr="00000000">
        <w:rPr>
          <w:rFonts w:ascii="Google Sans" w:cs="Google Sans" w:eastAsia="Google Sans" w:hAnsi="Google Sans"/>
          <w:i w:val="1"/>
          <w:iCs w:val="1"/>
          <w:color w:val="1f1f1f"/>
          <w:rtl w:val="0"/>
        </w:rPr>
        <w:t xml:space="preserve">performance</w:t>
      </w:r>
      <w:r w:rsidDel="00000000" w:rsidR="00000000" w:rsidRPr="00000000">
        <w:rPr>
          <w:rFonts w:ascii="Google Sans" w:cs="Google Sans" w:eastAsia="Google Sans" w:hAnsi="Google Sans"/>
          <w:color w:val="1f1f1f"/>
          <w:rtl w:val="0"/>
        </w:rPr>
        <w:t xml:space="preserve">. Longe das utópicas esperanças normativas consubstanciadas no idealismo irrestrito da Governança Global na década de 1990, Grindle demonstrou o imperativo de contextualizar os esforços na suficiência da matriz estatal, priorizando estruturas fundamentais.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governança da capacitação assumiu que organizações e indivíduos só operam em plenitude caso o meio social e normativo (o modelo Tridimensional da OCDE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permita que o aprimoramento não se perca num vazio institucional inerte, consolidando a gestão de recursos humanos como a turbina interna do processo que decifra a "caixa preta" entre investimentos vultosos e a qualidade nos desfechos dos serviços à população (como asseveram Ingraham, Donahue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 Lægreid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poder e a responsabilidade incutidos no ato da judicância, permeados pelo equilíbrio existencial entre a preservação cristalina e a salvaguarda contra o descontrole, requerem que as teorias abstratas assumam forma na especialíssima instrução continuada das cortes globais e nacionais. Para proteger e expandir o Estado de Direito sem ferir sua imunidade decisória diante da responsabilização abusiva — na clássica moldura apresentada por Geyh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 juízes, imbuídos historicamente na sua separação entre poder Coordenado e Hierárquico mapeada por Damaška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requerem conhecimentos pluridimensionais que Piana engloba perfeitamente na expressão </w:t>
      </w:r>
      <w:r w:rsidDel="00000000" w:rsidR="00000000" w:rsidRPr="00000000">
        <w:rPr>
          <w:rFonts w:ascii="Google Sans" w:cs="Google Sans" w:eastAsia="Google Sans" w:hAnsi="Google Sans"/>
          <w:i w:val="1"/>
          <w:iCs w:val="1"/>
          <w:color w:val="1f1f1f"/>
          <w:rtl w:val="0"/>
        </w:rPr>
        <w:t xml:space="preserve">Beyond Judicial Training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rede interconectada exemplificada na liderança maciça e orgânica promovida no Brasil pelo CNJ, pela ENFAM e ENAMAT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atua como paradigma contemporâneo do que organizações globais como EJTN e IOJT almejam fomentar no nível internacional.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Alavancando esse processo intelectual em resposta ao escasso tempo e altos orçamentos, o uso da Analítica de Aprendizagem (as concepções elaboradas em simetria por Siemens e Baker, balizadas pela bússola taxinômica de Greller e Drachsler) atua extraindo a inteligência acionável e promovendo as trilhas instrucionais preditivas ideais e ultracustomizadas às deficiências locais, otimizando o gasto humano e financeiro.</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Por derradeiro, o emprego de avaliações severas, emulando os estágios processuais analíticos concebidos e sofisticados pelos arcabouços de Kirkpatrick e Jack Phillips, desvia definitivamente o foco das velhas matrizes pedagógicas alicerçadas puramente no nível de "reação/satisfação", vinculando o valor orçamentário gasto no desenvolvimento dos servidores da nação diretamente com os macroindicadores de impacto corporativo.</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Através da lente amalgamada destes quatro pilares teóricos (estrutura estatal, matriz de defesa constitucional da magistratura, governança tecnológica e econometria do comportamento), afirma-se com rigor inabalável e comprovação baseada em dados: na contemporaneidade exaustiva da pós-modernidade burocrática, o estado resiliente é o corolário inexorável e direto de seu grau sistemático, avaliado, e irrenunciável de educação técnica.</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Enough Governance Revisited - The Policy Practice, acessado em maio 31, 2026, </w:t>
      </w:r>
      <w:hyperlink r:id="rId7">
        <w:r w:rsidDel="00000000" w:rsidR="00000000" w:rsidRPr="00000000">
          <w:rPr>
            <w:rFonts w:ascii="Google Sans" w:cs="Google Sans" w:eastAsia="Google Sans" w:hAnsi="Google Sans"/>
            <w:color w:val="0000ee"/>
            <w:sz w:val="24"/>
            <w:szCs w:val="24"/>
            <w:u w:val="single"/>
            <w:rtl w:val="0"/>
          </w:rPr>
          <w:t xml:space="preserve">https://www.thepolicypractice.com/sites/default/files/2023-02/Good%2520enough%2520governance.pdf</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capacity-building/capacity development - Briefing European Parliamentary Research Service, acessado em maio 31, 2026, </w:t>
      </w:r>
      <w:hyperlink r:id="rId8">
        <w:r w:rsidDel="00000000" w:rsidR="00000000" w:rsidRPr="00000000">
          <w:rPr>
            <w:rFonts w:ascii="Google Sans" w:cs="Google Sans" w:eastAsia="Google Sans" w:hAnsi="Google Sans"/>
            <w:color w:val="0000ee"/>
            <w:sz w:val="24"/>
            <w:szCs w:val="24"/>
            <w:u w:val="single"/>
            <w:rtl w:val="0"/>
          </w:rPr>
          <w:t xml:space="preserve">https://www.europarl.europa.eu/RegData/etudes/BRIE/2017/599411/EPRS_BRI(2017)599411_EN.pdf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Enough Governance Revisited | Harvard Kennedy School, acessado em maio 31, 2026, </w:t>
      </w:r>
      <w:hyperlink r:id="rId9">
        <w:r w:rsidDel="00000000" w:rsidR="00000000" w:rsidRPr="00000000">
          <w:rPr>
            <w:rFonts w:ascii="Google Sans" w:cs="Google Sans" w:eastAsia="Google Sans" w:hAnsi="Google Sans"/>
            <w:color w:val="0000ee"/>
            <w:sz w:val="24"/>
            <w:szCs w:val="24"/>
            <w:u w:val="single"/>
            <w:rtl w:val="0"/>
          </w:rPr>
          <w:t xml:space="preserve">https://www.hks.harvard.edu/publications/good-enough-governance-revisited-0</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75 REVISITING GOOD GOVERNANCE: GOOD ENOUGH GOVERNANCE AND JUST ENOUGH GOVERNANCE APPROACHES AS A FUNCTIONAL FRAMEWORK FOR DEVELO - DergiPark, acessado em maio 31, 2026, </w:t>
      </w:r>
      <w:hyperlink r:id="rId10">
        <w:r w:rsidDel="00000000" w:rsidR="00000000" w:rsidRPr="00000000">
          <w:rPr>
            <w:rFonts w:ascii="Google Sans" w:cs="Google Sans" w:eastAsia="Google Sans" w:hAnsi="Google Sans"/>
            <w:color w:val="0000ee"/>
            <w:sz w:val="24"/>
            <w:szCs w:val="24"/>
            <w:u w:val="single"/>
            <w:rtl w:val="0"/>
          </w:rPr>
          <w:t xml:space="preserve">https://dergipark.org.tr/tr/download/article-file/2543363</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Enough Governance Revisited - GSDRC, acessado em maio 31, 2026, </w:t>
      </w:r>
      <w:hyperlink r:id="rId11">
        <w:r w:rsidDel="00000000" w:rsidR="00000000" w:rsidRPr="00000000">
          <w:rPr>
            <w:rFonts w:ascii="Google Sans" w:cs="Google Sans" w:eastAsia="Google Sans" w:hAnsi="Google Sans"/>
            <w:color w:val="0000ee"/>
            <w:sz w:val="24"/>
            <w:szCs w:val="24"/>
            <w:u w:val="single"/>
            <w:rtl w:val="0"/>
          </w:rPr>
          <w:t xml:space="preserve">https://gsdrc.org/document-library/good-enough-governance-revisited/</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Enough Governance Revisited, acessado em maio 31, 2026, </w:t>
      </w:r>
      <w:hyperlink r:id="rId12">
        <w:r w:rsidDel="00000000" w:rsidR="00000000" w:rsidRPr="00000000">
          <w:rPr>
            <w:rFonts w:ascii="Google Sans" w:cs="Google Sans" w:eastAsia="Google Sans" w:hAnsi="Google Sans"/>
            <w:color w:val="0000ee"/>
            <w:sz w:val="24"/>
            <w:szCs w:val="24"/>
            <w:u w:val="single"/>
            <w:rtl w:val="0"/>
          </w:rPr>
          <w:t xml:space="preserve">https://courses.washington.edu/pbaf531/Grindle_GoodEnoughGovRevisited.pdf</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Challenge of Capacity Development: Working Towards Good Practice - IDEAS/RePEc, acessado em maio 31, 2026, </w:t>
      </w:r>
      <w:hyperlink r:id="rId13">
        <w:r w:rsidDel="00000000" w:rsidR="00000000" w:rsidRPr="00000000">
          <w:rPr>
            <w:rFonts w:ascii="Google Sans" w:cs="Google Sans" w:eastAsia="Google Sans" w:hAnsi="Google Sans"/>
            <w:color w:val="0000ee"/>
            <w:sz w:val="24"/>
            <w:szCs w:val="24"/>
            <w:u w:val="single"/>
            <w:rtl w:val="0"/>
          </w:rPr>
          <w:t xml:space="preserve">https://ideas.repec.org/a/oec/dcdkaa/5kz990fw74nw.html</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Capacity Development Practice Note, acessado em maio 31, 2026, </w:t>
      </w:r>
      <w:hyperlink r:id="rId14">
        <w:r w:rsidDel="00000000" w:rsidR="00000000" w:rsidRPr="00000000">
          <w:rPr>
            <w:rFonts w:ascii="Google Sans" w:cs="Google Sans" w:eastAsia="Google Sans" w:hAnsi="Google Sans"/>
            <w:color w:val="0000ee"/>
            <w:sz w:val="24"/>
            <w:szCs w:val="24"/>
            <w:u w:val="single"/>
            <w:rtl w:val="0"/>
          </w:rPr>
          <w:t xml:space="preserve">http://content-ext.undp.org/aplaws_publications/1449053/PN_Capacity_Development.pdf</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Challenge of Capacity Development. Working towards Good ..., acessado em maio 31, 2026, </w:t>
      </w:r>
      <w:hyperlink r:id="rId15">
        <w:r w:rsidDel="00000000" w:rsidR="00000000" w:rsidRPr="00000000">
          <w:rPr>
            <w:rFonts w:ascii="Google Sans" w:cs="Google Sans" w:eastAsia="Google Sans" w:hAnsi="Google Sans"/>
            <w:color w:val="0000ee"/>
            <w:sz w:val="24"/>
            <w:szCs w:val="24"/>
            <w:u w:val="single"/>
            <w:rtl w:val="0"/>
          </w:rPr>
          <w:t xml:space="preserve">https://www.fao.org/fileadmin/templates/capacitybuilding/pdf/DAC_paper_final.pdf</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Synthesis Study on Best Practices and Innovative Approaches to Capacity Development in Low-Income African Countries - OECD, acessado em maio 31, 2026, </w:t>
      </w:r>
      <w:hyperlink r:id="rId16">
        <w:r w:rsidDel="00000000" w:rsidR="00000000" w:rsidRPr="00000000">
          <w:rPr>
            <w:rFonts w:ascii="Google Sans" w:cs="Google Sans" w:eastAsia="Google Sans" w:hAnsi="Google Sans"/>
            <w:color w:val="0000ee"/>
            <w:sz w:val="24"/>
            <w:szCs w:val="24"/>
            <w:u w:val="single"/>
            <w:rtl w:val="0"/>
          </w:rPr>
          <w:t xml:space="preserve">https://www.oecd.org/en/toolkits/derec/evaluation-reports/2008/120172.html</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Resource Management of Governments and Corruption - SciSpace, acessado em maio 31, 2026, </w:t>
      </w:r>
      <w:hyperlink r:id="rId17">
        <w:r w:rsidDel="00000000" w:rsidR="00000000" w:rsidRPr="00000000">
          <w:rPr>
            <w:rFonts w:ascii="Google Sans" w:cs="Google Sans" w:eastAsia="Google Sans" w:hAnsi="Google Sans"/>
            <w:color w:val="0000ee"/>
            <w:sz w:val="24"/>
            <w:szCs w:val="24"/>
            <w:u w:val="single"/>
            <w:rtl w:val="0"/>
          </w:rPr>
          <w:t xml:space="preserve">https://scispace.com/pdf/effective-resource-management-of-governments-and-corruption-57y925cx4a.pdf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Determinants of network effectiveness: evidence from a benchmarking consortium | International Journal of Public Sector Management | Emerald Publishing, acessado em maio 31, 2026, </w:t>
      </w:r>
      <w:hyperlink r:id="rId18">
        <w:r w:rsidDel="00000000" w:rsidR="00000000" w:rsidRPr="00000000">
          <w:rPr>
            <w:rFonts w:ascii="Google Sans" w:cs="Google Sans" w:eastAsia="Google Sans" w:hAnsi="Google Sans"/>
            <w:color w:val="0000ee"/>
            <w:sz w:val="24"/>
            <w:szCs w:val="24"/>
            <w:u w:val="single"/>
            <w:rtl w:val="0"/>
          </w:rPr>
          <w:t xml:space="preserve">https://www.emerald.com/ijpsm/article/35/1/61/151126/Determinants-of-network-effectiveness-evidence</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Performance: Why Management Matters | Request PDF - ResearchGate, acessado em maio 31,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https://www.researchgate.net/publication/5153642_Government_Performance_Why_Management_Matters</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Capacity, Leadership, and Organizational Performance: Testing the Black Box Model of Public Management | Request PDF - ResearchGate, acessado em maio 31,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https://www.researchgate.net/publication/229525187_Capacity_Leadership_and_Organizational_Performance_Testing_the_Black_Box_Model_of_Public_Management</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PEFA Presentation -Serdar Yilmaz_0.pdf, acessado em maio 31, 2026, </w:t>
      </w:r>
      <w:hyperlink r:id="rId21">
        <w:r w:rsidDel="00000000" w:rsidR="00000000" w:rsidRPr="00000000">
          <w:rPr>
            <w:rFonts w:ascii="Google Sans" w:cs="Google Sans" w:eastAsia="Google Sans" w:hAnsi="Google Sans"/>
            <w:color w:val="0000ee"/>
            <w:sz w:val="24"/>
            <w:szCs w:val="24"/>
            <w:u w:val="single"/>
            <w:rtl w:val="0"/>
          </w:rPr>
          <w:t xml:space="preserve">https://www.pefa.org/sites/pefa/files/PEFA%20Presentation%20-Serdar%20Yilmaz_0.pdf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Complexity and Hybrid Public Administration—Theoretical and Empirical Challenges, acessado em maio 31,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https://www.researchgate.net/publication/225361657_Complexity_and_Hybrid_Public_Administration-Theoretical_and_Empirical_Challenges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Future Challenges of Public Administration - Taylor &amp; Francis, acessado em maio 31, 2026, </w:t>
      </w:r>
      <w:hyperlink r:id="rId23">
        <w:r w:rsidDel="00000000" w:rsidR="00000000" w:rsidRPr="00000000">
          <w:rPr>
            <w:rFonts w:ascii="Google Sans" w:cs="Google Sans" w:eastAsia="Google Sans" w:hAnsi="Google Sans"/>
            <w:color w:val="0000ee"/>
            <w:sz w:val="24"/>
            <w:szCs w:val="24"/>
            <w:u w:val="single"/>
            <w:rtl w:val="0"/>
          </w:rPr>
          <w:t xml:space="preserve">https://www.tandfonline.com/doi/full/10.1080/15309576.2025.2549297</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Sector Reform and Governance for Adaptation: Implications of New Public Management for Adaptive Capacity in Mexico and Norway - PMC, acessado em maio 31,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https://pmc.ncbi.nlm.nih.gov/articles/PMC3056008/</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Post-NPM Reforms: Whole of Government Approaches as a New Trend, acessado em maio 31, 2026, </w:t>
      </w:r>
      <w:hyperlink r:id="rId25">
        <w:r w:rsidDel="00000000" w:rsidR="00000000" w:rsidRPr="00000000">
          <w:rPr>
            <w:rFonts w:ascii="Google Sans" w:cs="Google Sans" w:eastAsia="Google Sans" w:hAnsi="Google Sans"/>
            <w:color w:val="0000ee"/>
            <w:sz w:val="24"/>
            <w:szCs w:val="24"/>
            <w:u w:val="single"/>
            <w:rtl w:val="0"/>
          </w:rPr>
          <w:t xml:space="preserve">https://www.emerald.com/books/edited-volume/12782/chapter/83113590/Chapter-2-Post-NPM-Reforms-Whole-of-Government</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Resilience building during the management of the COVID‐19 crisis in Lithuania: Major breakthroughs and incremental change - PMC, acessado em maio 31,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https://pmc.ncbi.nlm.nih.gov/articles/PMC9350260/</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Liberia's Judiciary Revives Judicial Education with Peer-to-Peer Training, acessado em maio 31, 2026, </w:t>
      </w:r>
      <w:hyperlink r:id="rId27">
        <w:r w:rsidDel="00000000" w:rsidR="00000000" w:rsidRPr="00000000">
          <w:rPr>
            <w:rFonts w:ascii="Google Sans" w:cs="Google Sans" w:eastAsia="Google Sans" w:hAnsi="Google Sans"/>
            <w:color w:val="0000ee"/>
            <w:sz w:val="24"/>
            <w:szCs w:val="24"/>
            <w:u w:val="single"/>
            <w:rtl w:val="0"/>
          </w:rPr>
          <w:t xml:space="preserve">https://www.undp.org/liberia/press-releases/liberias-judiciary-revives-judicial-education-peer-peer-training</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GUIDE ON THE RULE OF LAW FOR JUDGES AND PROSECUTORS, acessado em maio 31, 2026, </w:t>
      </w:r>
      <w:hyperlink r:id="rId28">
        <w:r w:rsidDel="00000000" w:rsidR="00000000" w:rsidRPr="00000000">
          <w:rPr>
            <w:rFonts w:ascii="Google Sans" w:cs="Google Sans" w:eastAsia="Google Sans" w:hAnsi="Google Sans"/>
            <w:color w:val="0000ee"/>
            <w:sz w:val="24"/>
            <w:szCs w:val="24"/>
            <w:u w:val="single"/>
            <w:rtl w:val="0"/>
          </w:rPr>
          <w:t xml:space="preserve">https://ejtn.eu/wp-content/uploads/2022/12/2019-056-Training-guide-v5_FINAL.pdf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Judicial Training &amp; Education Assessment Tool - Biblioteca ..., acessado em maio 31, 2026, </w:t>
      </w:r>
      <w:hyperlink r:id="rId29">
        <w:r w:rsidDel="00000000" w:rsidR="00000000" w:rsidRPr="00000000">
          <w:rPr>
            <w:rFonts w:ascii="Google Sans" w:cs="Google Sans" w:eastAsia="Google Sans" w:hAnsi="Google Sans"/>
            <w:color w:val="0000ee"/>
            <w:sz w:val="24"/>
            <w:szCs w:val="24"/>
            <w:u w:val="single"/>
            <w:rtl w:val="0"/>
          </w:rPr>
          <w:t xml:space="preserve">https://biblioteca.cejamericas.org/bitstream/handle/2015/5202/judicialtraining.pdf?sequence=1&amp;isAllowed=y</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Faces of Justice and State Authority: A Comparative Approach to the Legal Process, acessado em maio 31, 2026, </w:t>
      </w:r>
      <w:hyperlink r:id="rId30">
        <w:r w:rsidDel="00000000" w:rsidR="00000000" w:rsidRPr="00000000">
          <w:rPr>
            <w:rFonts w:ascii="Google Sans" w:cs="Google Sans" w:eastAsia="Google Sans" w:hAnsi="Google Sans"/>
            <w:color w:val="0000ee"/>
            <w:sz w:val="24"/>
            <w:szCs w:val="24"/>
            <w:u w:val="single"/>
            <w:rtl w:val="0"/>
          </w:rPr>
          <w:t xml:space="preserve">https://www.barnesandnoble.com/w/the-faces-of-justice-and-state-authority-mirjan-r-damaska/1123791980</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Faces of Justice and State Authority &amp; Constitutional Law Deskbook, acessado em maio 31, 2026, </w:t>
      </w:r>
      <w:hyperlink r:id="rId31">
        <w:r w:rsidDel="00000000" w:rsidR="00000000" w:rsidRPr="00000000">
          <w:rPr>
            <w:rFonts w:ascii="Google Sans" w:cs="Google Sans" w:eastAsia="Google Sans" w:hAnsi="Google Sans"/>
            <w:color w:val="0000ee"/>
            <w:sz w:val="24"/>
            <w:szCs w:val="24"/>
            <w:u w:val="single"/>
            <w:rtl w:val="0"/>
          </w:rPr>
          <w:t xml:space="preserve">https://digitalcommons.law.utulsa.edu/cgi/viewcontent.cgi?article=1802&amp;context=tlr</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FACES OF JUSTICE AND STATE AUTHORITY, acessado em maio 31, 2026, </w:t>
      </w:r>
      <w:hyperlink r:id="rId32">
        <w:r w:rsidDel="00000000" w:rsidR="00000000" w:rsidRPr="00000000">
          <w:rPr>
            <w:rFonts w:ascii="Google Sans" w:cs="Google Sans" w:eastAsia="Google Sans" w:hAnsi="Google Sans"/>
            <w:color w:val="0000ee"/>
            <w:sz w:val="24"/>
            <w:szCs w:val="24"/>
            <w:u w:val="single"/>
            <w:rtl w:val="0"/>
          </w:rPr>
          <w:t xml:space="preserve">https://api.pageplace.de/preview/DT0400.9780300191288_A23633838/preview-9780300191288_A23633838.pdf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Faces Of Justice And State Authority A Comparative Approach To The Legal Process Mirjan R Damaska Susan Fisher - Slideshare, acessado em maio 31, 2026, </w:t>
      </w:r>
      <w:hyperlink r:id="rId33">
        <w:r w:rsidDel="00000000" w:rsidR="00000000" w:rsidRPr="00000000">
          <w:rPr>
            <w:rFonts w:ascii="Google Sans" w:cs="Google Sans" w:eastAsia="Google Sans" w:hAnsi="Google Sans"/>
            <w:color w:val="0000ee"/>
            <w:sz w:val="24"/>
            <w:szCs w:val="24"/>
            <w:u w:val="single"/>
            <w:rtl w:val="0"/>
          </w:rPr>
          <w:t xml:space="preserve">https://www.slideshare.net/slideshow/the-faces-of-justice-and-state-authority-a-comparative-approach-to-the-legal-process-mirjan-r-damaska-susan-fisher/278971093</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papel do juiz na efetivação dos valores constitucionais no processo - Teses USP, acessado em maio 31, 2026, </w:t>
      </w:r>
      <w:hyperlink r:id="rId34">
        <w:r w:rsidDel="00000000" w:rsidR="00000000" w:rsidRPr="00000000">
          <w:rPr>
            <w:rFonts w:ascii="Google Sans" w:cs="Google Sans" w:eastAsia="Google Sans" w:hAnsi="Google Sans"/>
            <w:color w:val="0000ee"/>
            <w:sz w:val="24"/>
            <w:szCs w:val="24"/>
            <w:u w:val="single"/>
            <w:rtl w:val="0"/>
          </w:rPr>
          <w:t xml:space="preserve">https://teses.usp.br/teses/disponiveis/2/2137/tde-21082017-142413/publico/dissertacao_versao_integral_Joao_Eberhardt_Francisco.pdf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"Rescuing Judicial Accountability from the Realm of Political ..., acessado em maio 31, 2026, </w:t>
      </w:r>
      <w:hyperlink r:id="rId35">
        <w:r w:rsidDel="00000000" w:rsidR="00000000" w:rsidRPr="00000000">
          <w:rPr>
            <w:rFonts w:ascii="Google Sans" w:cs="Google Sans" w:eastAsia="Google Sans" w:hAnsi="Google Sans"/>
            <w:color w:val="0000ee"/>
            <w:sz w:val="24"/>
            <w:szCs w:val="24"/>
            <w:u w:val="single"/>
            <w:rtl w:val="0"/>
          </w:rPr>
          <w:t xml:space="preserve">https://www.repository.law.indiana.edu/facpub/303/</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Judicial Accountability in a Time of Legal Realism - Carolina Law Scholarship Repository, acessado em maio 31, 2026, </w:t>
      </w:r>
      <w:hyperlink r:id="rId36">
        <w:r w:rsidDel="00000000" w:rsidR="00000000" w:rsidRPr="00000000">
          <w:rPr>
            <w:rFonts w:ascii="Google Sans" w:cs="Google Sans" w:eastAsia="Google Sans" w:hAnsi="Google Sans"/>
            <w:color w:val="0000ee"/>
            <w:sz w:val="24"/>
            <w:szCs w:val="24"/>
            <w:u w:val="single"/>
            <w:rtl w:val="0"/>
          </w:rPr>
          <w:t xml:space="preserve">https://scholarship.law.unc.edu/cgi/viewcontent.cgi?article=1213&amp;context=faculty_publications</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"Rescuing Judicial Accountability from the Realm of Political Rhetoric" by Charles Gardner Geyh - Case Western Reserve University School of Law Scholarly Commons, acessado em maio 31, 2026, </w:t>
      </w:r>
      <w:hyperlink r:id="rId37">
        <w:r w:rsidDel="00000000" w:rsidR="00000000" w:rsidRPr="00000000">
          <w:rPr>
            <w:rFonts w:ascii="Google Sans" w:cs="Google Sans" w:eastAsia="Google Sans" w:hAnsi="Google Sans"/>
            <w:color w:val="0000ee"/>
            <w:sz w:val="24"/>
            <w:szCs w:val="24"/>
            <w:u w:val="single"/>
            <w:rtl w:val="0"/>
          </w:rPr>
          <w:t xml:space="preserve">https://scholarlycommons.law.case.edu/caselrev/vol56/iss4/4/</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Judicial Independence, Judicial Accountability, and the Role of Constitutional Norms in Congressional Regulation of the Courts - Digital Repository @ Maurer Law, acessado em maio 31, 2026, </w:t>
      </w:r>
      <w:hyperlink r:id="rId38">
        <w:r w:rsidDel="00000000" w:rsidR="00000000" w:rsidRPr="00000000">
          <w:rPr>
            <w:rFonts w:ascii="Google Sans" w:cs="Google Sans" w:eastAsia="Google Sans" w:hAnsi="Google Sans"/>
            <w:color w:val="0000ee"/>
            <w:sz w:val="24"/>
            <w:szCs w:val="24"/>
            <w:u w:val="single"/>
            <w:rtl w:val="0"/>
          </w:rPr>
          <w:t xml:space="preserve">https://www.repository.law.indiana.edu/ilj/vol78/iss1/7/</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Judging, Politics, and Accountability: A Reply to Charles Geyh - Case Western Reserve University School of Law Scholarly Commons, acessado em maio 31, 2026, </w:t>
      </w:r>
      <w:hyperlink r:id="rId39">
        <w:r w:rsidDel="00000000" w:rsidR="00000000" w:rsidRPr="00000000">
          <w:rPr>
            <w:rFonts w:ascii="Google Sans" w:cs="Google Sans" w:eastAsia="Google Sans" w:hAnsi="Google Sans"/>
            <w:color w:val="0000ee"/>
            <w:sz w:val="24"/>
            <w:szCs w:val="24"/>
            <w:u w:val="single"/>
            <w:rtl w:val="0"/>
          </w:rPr>
          <w:t xml:space="preserve">https://scholarlycommons.law.case.edu/cgi/viewcontent.cgi?article=1662&amp;context=caselrev</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TRANSITION AND CONTINUING PROFESSIONAL DEVELOPMENT IN AFGHANISTAN AND BEYOND: Ten lessons from idlo, acessado em maio 31, 2026, </w:t>
      </w:r>
      <w:hyperlink r:id="rId40">
        <w:r w:rsidDel="00000000" w:rsidR="00000000" w:rsidRPr="00000000">
          <w:rPr>
            <w:rFonts w:ascii="Google Sans" w:cs="Google Sans" w:eastAsia="Google Sans" w:hAnsi="Google Sans"/>
            <w:color w:val="0000ee"/>
            <w:sz w:val="24"/>
            <w:szCs w:val="24"/>
            <w:u w:val="single"/>
            <w:rtl w:val="0"/>
          </w:rPr>
          <w:t xml:space="preserve">https://www.idlo.int/sites/default/files/pdfs/publications/IDLO-LLB-%20JTTP-Afghanistan.pdf</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Daniela Piana - GDR NoST, acessado em maio 31, 2026, </w:t>
      </w:r>
      <w:hyperlink r:id="rId41">
        <w:r w:rsidDel="00000000" w:rsidR="00000000" w:rsidRPr="00000000">
          <w:rPr>
            <w:rFonts w:ascii="Google Sans" w:cs="Google Sans" w:eastAsia="Google Sans" w:hAnsi="Google Sans"/>
            <w:color w:val="0000ee"/>
            <w:sz w:val="24"/>
            <w:szCs w:val="24"/>
            <w:u w:val="single"/>
            <w:rtl w:val="0"/>
          </w:rPr>
          <w:t xml:space="preserve">http://www.nost.fr/wp-content/uploads/2018/09/CV_daniela-piana.pdf</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Judicial Training in Turkey in Light of Constitutional Traditions and Europeanization - LSU Law Digital Commons, acessado em maio 31, 2026, </w:t>
      </w:r>
      <w:hyperlink r:id="rId42">
        <w:r w:rsidDel="00000000" w:rsidR="00000000" w:rsidRPr="00000000">
          <w:rPr>
            <w:rFonts w:ascii="Google Sans" w:cs="Google Sans" w:eastAsia="Google Sans" w:hAnsi="Google Sans"/>
            <w:color w:val="0000ee"/>
            <w:sz w:val="24"/>
            <w:szCs w:val="24"/>
            <w:u w:val="single"/>
            <w:rtl w:val="0"/>
          </w:rPr>
          <w:t xml:space="preserve">https://digitalcommons.law.lsu.edu/cgi/viewcontent.cgi?article=1044&amp;context=jcls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Networking the Rule of Law: How Change Agents Reshape Judicial Governance in the EU, acessado em maio 31, 2026, </w:t>
      </w:r>
      <w:hyperlink r:id="rId43">
        <w:r w:rsidDel="00000000" w:rsidR="00000000" w:rsidRPr="00000000">
          <w:rPr>
            <w:rFonts w:ascii="Google Sans" w:cs="Google Sans" w:eastAsia="Google Sans" w:hAnsi="Google Sans"/>
            <w:color w:val="0000ee"/>
            <w:sz w:val="24"/>
            <w:szCs w:val="24"/>
            <w:u w:val="single"/>
            <w:rtl w:val="0"/>
          </w:rPr>
          <w:t xml:space="preserve">https://www.routledge.com/Networking-the-Rule-of-Law-How-Change-Agents-Reshape-Judicial-Governance-in-the-EU/Dallara-Piana/p/book/9781138564145</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the Pilot Project - European Judicial Training Network (EJTN), acessado em maio 31, 2026, </w:t>
      </w:r>
      <w:hyperlink r:id="rId44">
        <w:r w:rsidDel="00000000" w:rsidR="00000000" w:rsidRPr="00000000">
          <w:rPr>
            <w:rFonts w:ascii="Google Sans" w:cs="Google Sans" w:eastAsia="Google Sans" w:hAnsi="Google Sans"/>
            <w:color w:val="0000ee"/>
            <w:sz w:val="24"/>
            <w:szCs w:val="24"/>
            <w:u w:val="single"/>
            <w:rtl w:val="0"/>
          </w:rPr>
          <w:t xml:space="preserve">https://ejtn.eu/wp-content/uploads/2022/12/Study_Best_Practices_EJTN.pdf</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Horizontal learning in the quality of justice, acessado em maio 31, 2026, </w:t>
      </w:r>
      <w:hyperlink r:id="rId45">
        <w:r w:rsidDel="00000000" w:rsidR="00000000" w:rsidRPr="00000000">
          <w:rPr>
            <w:rFonts w:ascii="Google Sans" w:cs="Google Sans" w:eastAsia="Google Sans" w:hAnsi="Google Sans"/>
            <w:color w:val="0000ee"/>
            <w:sz w:val="24"/>
            <w:szCs w:val="24"/>
            <w:u w:val="single"/>
            <w:rtl w:val="0"/>
          </w:rPr>
          <w:t xml:space="preserve">https://www.crui.it/index.php?option=com_dropfiles&amp;format=&amp;task=frontfile.download&amp;catid=54&amp;id=184&amp;Itemid=1000000000000</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Initial Training of Justice Professionals Serving the Rule of Law – Report - European Commission, acessado em maio 31, 2026, </w:t>
      </w:r>
      <w:hyperlink r:id="rId46">
        <w:r w:rsidDel="00000000" w:rsidR="00000000" w:rsidRPr="00000000">
          <w:rPr>
            <w:rFonts w:ascii="Google Sans" w:cs="Google Sans" w:eastAsia="Google Sans" w:hAnsi="Google Sans"/>
            <w:color w:val="0000ee"/>
            <w:sz w:val="24"/>
            <w:szCs w:val="24"/>
            <w:u w:val="single"/>
            <w:rtl w:val="0"/>
          </w:rPr>
          <w:t xml:space="preserve">https://commission.europa.eu/system/files/2022-06/conference_report-initial_training_of_justice_professionals_serving_the_rule_of_law-en.pdf</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CHALLENGES OF JUDICIAL EDUCATION AND TRAINING: A COMPARATIVE PERSPECTIVE, acessado em maio 31, 2026, </w:t>
      </w:r>
      <w:hyperlink r:id="rId47">
        <w:r w:rsidDel="00000000" w:rsidR="00000000" w:rsidRPr="00000000">
          <w:rPr>
            <w:rFonts w:ascii="Google Sans" w:cs="Google Sans" w:eastAsia="Google Sans" w:hAnsi="Google Sans"/>
            <w:color w:val="0000ee"/>
            <w:sz w:val="24"/>
            <w:szCs w:val="24"/>
            <w:u w:val="single"/>
            <w:rtl w:val="0"/>
          </w:rPr>
          <w:t xml:space="preserve">https://judicialstudiesjournal.ie/assets/uploads/documents/2023%20Special%20edition/9.%20Cros%20and%20Enright%20Final.pdf</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 judicial training catalogue - ENM, acessado em maio 31, 2026, </w:t>
      </w:r>
      <w:hyperlink r:id="rId48">
        <w:r w:rsidDel="00000000" w:rsidR="00000000" w:rsidRPr="00000000">
          <w:rPr>
            <w:rFonts w:ascii="Google Sans" w:cs="Google Sans" w:eastAsia="Google Sans" w:hAnsi="Google Sans"/>
            <w:color w:val="0000ee"/>
            <w:sz w:val="24"/>
            <w:szCs w:val="24"/>
            <w:u w:val="single"/>
            <w:rtl w:val="0"/>
          </w:rPr>
          <w:t xml:space="preserve">https://www.enm.justice.fr/api/getFile/sites/default/files/2025-10/Catalogue_DI_EN_2026_Web.pdf</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Educating Judges: Towards Improving Justice. A Survey of Global Practice - Brill, acessado em maio 31, 2026, </w:t>
      </w:r>
      <w:hyperlink r:id="rId49">
        <w:r w:rsidDel="00000000" w:rsidR="00000000" w:rsidRPr="00000000">
          <w:rPr>
            <w:rFonts w:ascii="Google Sans" w:cs="Google Sans" w:eastAsia="Google Sans" w:hAnsi="Google Sans"/>
            <w:color w:val="0000ee"/>
            <w:sz w:val="24"/>
            <w:szCs w:val="24"/>
            <w:u w:val="single"/>
            <w:rtl w:val="0"/>
          </w:rPr>
          <w:t xml:space="preserve">https://brill.com/display/book/9789004279261/B9789004279261-s001.pdf</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Resoluções ENAMAT | Escola Judicial - TRT5, acessado em maio 31, 2026, </w:t>
      </w:r>
      <w:hyperlink r:id="rId50">
        <w:r w:rsidDel="00000000" w:rsidR="00000000" w:rsidRPr="00000000">
          <w:rPr>
            <w:rFonts w:ascii="Google Sans" w:cs="Google Sans" w:eastAsia="Google Sans" w:hAnsi="Google Sans"/>
            <w:color w:val="0000ee"/>
            <w:sz w:val="24"/>
            <w:szCs w:val="24"/>
            <w:u w:val="single"/>
            <w:rtl w:val="0"/>
          </w:rPr>
          <w:t xml:space="preserve">https://escolajudicial.trt5.jus.br/resolucoes-enamat</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Artigo: ''Juízes do Trabalho e Escola Judicial'', por Denis Molarinho e Ricardo Fraga, desembargadores do Trabalho da 4ª Região - TRT4, acessado em maio 31, 2026, </w:t>
      </w:r>
      <w:hyperlink r:id="rId51">
        <w:r w:rsidDel="00000000" w:rsidR="00000000" w:rsidRPr="00000000">
          <w:rPr>
            <w:rFonts w:ascii="Google Sans" w:cs="Google Sans" w:eastAsia="Google Sans" w:hAnsi="Google Sans"/>
            <w:color w:val="0000ee"/>
            <w:sz w:val="24"/>
            <w:szCs w:val="24"/>
            <w:u w:val="single"/>
            <w:rtl w:val="0"/>
          </w:rPr>
          <w:t xml:space="preserve">https://www.trt4.jus.br/portais/escola/modulos/noticias/401464</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Reforma do Judiciário: veja as principais alterações realizadas pela Emenda Constitucional nº45/2004 - TST, acessado em maio 31, 2026, </w:t>
      </w:r>
      <w:hyperlink r:id="rId52">
        <w:r w:rsidDel="00000000" w:rsidR="00000000" w:rsidRPr="00000000">
          <w:rPr>
            <w:rFonts w:ascii="Google Sans" w:cs="Google Sans" w:eastAsia="Google Sans" w:hAnsi="Google Sans"/>
            <w:color w:val="0000ee"/>
            <w:sz w:val="24"/>
            <w:szCs w:val="24"/>
            <w:u w:val="single"/>
            <w:rtl w:val="0"/>
          </w:rPr>
          <w:t xml:space="preserve">https://www.tst.jus.br/-/reforma-do-judici%C3%A1rio-veja-as-principais-altera%C3%A7%C3%B5es-realizadas-pela-emenda-constitucional-n%C2%BA45/2004</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Enfam encerra primeira formação inicial de magistrados de 2026, acessado em maio 31, 2026, </w:t>
      </w:r>
      <w:hyperlink r:id="rId53">
        <w:r w:rsidDel="00000000" w:rsidR="00000000" w:rsidRPr="00000000">
          <w:rPr>
            <w:rFonts w:ascii="Google Sans" w:cs="Google Sans" w:eastAsia="Google Sans" w:hAnsi="Google Sans"/>
            <w:color w:val="0000ee"/>
            <w:sz w:val="24"/>
            <w:szCs w:val="24"/>
            <w:u w:val="single"/>
            <w:rtl w:val="0"/>
          </w:rPr>
          <w:t xml:space="preserve">https://www.enfam.jus.br/enfam-encerra-primeira-formacao-inicial-de-magistrados-de-2026/</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ENAMAT - Escola Nacional de Formação e Aperfeiçoamento de Magistrados do Trabalho - ENAMAT, acessado em maio 31, 2026, </w:t>
      </w:r>
      <w:hyperlink r:id="rId54">
        <w:r w:rsidDel="00000000" w:rsidR="00000000" w:rsidRPr="00000000">
          <w:rPr>
            <w:rFonts w:ascii="Google Sans" w:cs="Google Sans" w:eastAsia="Google Sans" w:hAnsi="Google Sans"/>
            <w:color w:val="0000ee"/>
            <w:sz w:val="24"/>
            <w:szCs w:val="24"/>
            <w:u w:val="single"/>
            <w:rtl w:val="0"/>
          </w:rPr>
          <w:t xml:space="preserve">https://www.enamat.jus.br/</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Sobre a Escola - ENAMAT, acessado em maio 31, 2026, </w:t>
      </w:r>
      <w:hyperlink r:id="rId55">
        <w:r w:rsidDel="00000000" w:rsidR="00000000" w:rsidRPr="00000000">
          <w:rPr>
            <w:rFonts w:ascii="Google Sans" w:cs="Google Sans" w:eastAsia="Google Sans" w:hAnsi="Google Sans"/>
            <w:color w:val="0000ee"/>
            <w:sz w:val="24"/>
            <w:szCs w:val="24"/>
            <w:u w:val="single"/>
            <w:rtl w:val="0"/>
          </w:rPr>
          <w:t xml:space="preserve">https://www.enamat.jus.br/institucional/sobre-a-escola</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Enfam investe na visão humanística do juiz nos dois anos de existência, acessado em maio 31, 2026, </w:t>
      </w:r>
      <w:hyperlink r:id="rId56">
        <w:r w:rsidDel="00000000" w:rsidR="00000000" w:rsidRPr="00000000">
          <w:rPr>
            <w:rFonts w:ascii="Google Sans" w:cs="Google Sans" w:eastAsia="Google Sans" w:hAnsi="Google Sans"/>
            <w:color w:val="0000ee"/>
            <w:sz w:val="24"/>
            <w:szCs w:val="24"/>
            <w:u w:val="single"/>
            <w:rtl w:val="0"/>
          </w:rPr>
          <w:t xml:space="preserve">https://www.enfam.jus.br/enfam-investe-na-visao-humanistica-do-juiz-nos-dois-anos-de-existencia/</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influência da liderança feminina em ações do CNJ para impulsionar a presença de mulheres no Poder Judiciário - Revista da Defensoria Pública do Distrito Federal, acessado em maio 31, 2026, </w:t>
      </w:r>
      <w:hyperlink r:id="rId57">
        <w:r w:rsidDel="00000000" w:rsidR="00000000" w:rsidRPr="00000000">
          <w:rPr>
            <w:rFonts w:ascii="Google Sans" w:cs="Google Sans" w:eastAsia="Google Sans" w:hAnsi="Google Sans"/>
            <w:color w:val="0000ee"/>
            <w:sz w:val="24"/>
            <w:szCs w:val="24"/>
            <w:u w:val="single"/>
            <w:rtl w:val="0"/>
          </w:rPr>
          <w:t xml:space="preserve">https://revista.defensoria.df.gov.br/index.php/revista/article/download/286/362/1466</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Número regular - Revista da Defensoria Pública do Distrito Federal, acessado em maio 31, 2026, </w:t>
      </w:r>
      <w:hyperlink r:id="rId58">
        <w:r w:rsidDel="00000000" w:rsidR="00000000" w:rsidRPr="00000000">
          <w:rPr>
            <w:rFonts w:ascii="Google Sans" w:cs="Google Sans" w:eastAsia="Google Sans" w:hAnsi="Google Sans"/>
            <w:color w:val="0000ee"/>
            <w:sz w:val="24"/>
            <w:szCs w:val="24"/>
            <w:u w:val="single"/>
            <w:rtl w:val="0"/>
          </w:rPr>
          <w:t xml:space="preserve">https://revista.defensoria.df.gov.br/index.php/revista/issue/download/20/RDPDF%20Vol.%206%20N.%203%202024</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Capacitações na Plataforma Digital do Poder Judiciário - Portal CNJ, acessado em maio 31, 2026, </w:t>
      </w:r>
      <w:hyperlink r:id="rId59">
        <w:r w:rsidDel="00000000" w:rsidR="00000000" w:rsidRPr="00000000">
          <w:rPr>
            <w:rFonts w:ascii="Google Sans" w:cs="Google Sans" w:eastAsia="Google Sans" w:hAnsi="Google Sans"/>
            <w:color w:val="0000ee"/>
            <w:sz w:val="24"/>
            <w:szCs w:val="24"/>
            <w:u w:val="single"/>
            <w:rtl w:val="0"/>
          </w:rPr>
          <w:t xml:space="preserve">https://www.cnj.jus.br/formacao-e-capacitacao/pdpj/</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Cursos abertos - Portal CNJ, acessado em maio 31, 2026, </w:t>
      </w:r>
      <w:hyperlink r:id="rId60">
        <w:r w:rsidDel="00000000" w:rsidR="00000000" w:rsidRPr="00000000">
          <w:rPr>
            <w:rFonts w:ascii="Google Sans" w:cs="Google Sans" w:eastAsia="Google Sans" w:hAnsi="Google Sans"/>
            <w:color w:val="0000ee"/>
            <w:sz w:val="24"/>
            <w:szCs w:val="24"/>
            <w:u w:val="single"/>
            <w:rtl w:val="0"/>
          </w:rPr>
          <w:t xml:space="preserve">https://www.cnj.jus.br/formacao-e-capacitacao/cursos-abertos/</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Capacitação - Portal CNJ, acessado em maio 31, 2026, </w:t>
      </w:r>
      <w:hyperlink r:id="rId61">
        <w:r w:rsidDel="00000000" w:rsidR="00000000" w:rsidRPr="00000000">
          <w:rPr>
            <w:rFonts w:ascii="Google Sans" w:cs="Google Sans" w:eastAsia="Google Sans" w:hAnsi="Google Sans"/>
            <w:color w:val="0000ee"/>
            <w:sz w:val="24"/>
            <w:szCs w:val="24"/>
            <w:u w:val="single"/>
            <w:rtl w:val="0"/>
          </w:rPr>
          <w:t xml:space="preserve">https://www.cnj.jus.br/capacitacao/</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Capacitações - Portal CNJ, acessado em maio 31, 2026, </w:t>
      </w:r>
      <w:hyperlink r:id="rId62">
        <w:r w:rsidDel="00000000" w:rsidR="00000000" w:rsidRPr="00000000">
          <w:rPr>
            <w:rFonts w:ascii="Google Sans" w:cs="Google Sans" w:eastAsia="Google Sans" w:hAnsi="Google Sans"/>
            <w:color w:val="0000ee"/>
            <w:sz w:val="24"/>
            <w:szCs w:val="24"/>
            <w:u w:val="single"/>
            <w:rtl w:val="0"/>
          </w:rPr>
          <w:t xml:space="preserve">https://www.cnj.jus.br/tecnologia-da-informacao-e-comunicacao/justica-4-0/capacitacoes/</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CNJ está com inscrições abertas para vários cursos on line - TJCE, acessado em maio 31, 2026, </w:t>
      </w:r>
      <w:hyperlink r:id="rId63">
        <w:r w:rsidDel="00000000" w:rsidR="00000000" w:rsidRPr="00000000">
          <w:rPr>
            <w:rFonts w:ascii="Google Sans" w:cs="Google Sans" w:eastAsia="Google Sans" w:hAnsi="Google Sans"/>
            <w:color w:val="0000ee"/>
            <w:sz w:val="24"/>
            <w:szCs w:val="24"/>
            <w:u w:val="single"/>
            <w:rtl w:val="0"/>
          </w:rPr>
          <w:t xml:space="preserve">https://www.tjce.jus.br/esmec/post/cnj-esta-com-inscricoes-abertas-para-varios-cursos-on-line/</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Analytics: como medir o impacto das ações de desenvolvimento - Qulture Rocks, acessado em maio 31, 2026, </w:t>
      </w:r>
      <w:hyperlink r:id="rId64">
        <w:r w:rsidDel="00000000" w:rsidR="00000000" w:rsidRPr="00000000">
          <w:rPr>
            <w:rFonts w:ascii="Google Sans" w:cs="Google Sans" w:eastAsia="Google Sans" w:hAnsi="Google Sans"/>
            <w:color w:val="0000ee"/>
            <w:sz w:val="24"/>
            <w:szCs w:val="24"/>
            <w:u w:val="single"/>
            <w:rtl w:val="0"/>
          </w:rPr>
          <w:t xml:space="preserve">https://www.qulture.rocks/blog/learning-analytics</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Learning Analytics and Educational Data Mining, acessado em maio 31, 2026, </w:t>
      </w:r>
      <w:hyperlink r:id="rId65">
        <w:r w:rsidDel="00000000" w:rsidR="00000000" w:rsidRPr="00000000">
          <w:rPr>
            <w:rFonts w:ascii="Google Sans" w:cs="Google Sans" w:eastAsia="Google Sans" w:hAnsi="Google Sans"/>
            <w:color w:val="0000ee"/>
            <w:sz w:val="24"/>
            <w:szCs w:val="24"/>
            <w:u w:val="single"/>
            <w:rtl w:val="0"/>
          </w:rPr>
          <w:t xml:space="preserve">https://learninganalytics.upenn.edu/ryanbaker/Chapter12BakerSiemensv3.pdf</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analytics - Advance HE, acessado em maio 31, 2026, </w:t>
      </w:r>
      <w:hyperlink r:id="rId66">
        <w:r w:rsidDel="00000000" w:rsidR="00000000" w:rsidRPr="00000000">
          <w:rPr>
            <w:rFonts w:ascii="Google Sans" w:cs="Google Sans" w:eastAsia="Google Sans" w:hAnsi="Google Sans"/>
            <w:color w:val="0000ee"/>
            <w:sz w:val="24"/>
            <w:szCs w:val="24"/>
            <w:u w:val="single"/>
            <w:rtl w:val="0"/>
          </w:rPr>
          <w:t xml:space="preserve">https://www.advance-he.ac.uk/knowledge-hub/learning-analytics-0</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Learning Analytics - Sites at Dartmouth, acessado em maio 31, 2026, </w:t>
      </w:r>
      <w:hyperlink r:id="rId67">
        <w:r w:rsidDel="00000000" w:rsidR="00000000" w:rsidRPr="00000000">
          <w:rPr>
            <w:rFonts w:ascii="Google Sans" w:cs="Google Sans" w:eastAsia="Google Sans" w:hAnsi="Google Sans"/>
            <w:color w:val="0000ee"/>
            <w:sz w:val="24"/>
            <w:szCs w:val="24"/>
            <w:u w:val="single"/>
            <w:rtl w:val="0"/>
          </w:rPr>
          <w:t xml:space="preserve">https://sites.dartmouth.edu/learninganalytics/2015/04/21/definition-of-learning-analytics/</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Pathway to Learning Engineering | Siemens, acessado em maio 31, 2026, </w:t>
      </w:r>
      <w:hyperlink r:id="rId68">
        <w:r w:rsidDel="00000000" w:rsidR="00000000" w:rsidRPr="00000000">
          <w:rPr>
            <w:rFonts w:ascii="Google Sans" w:cs="Google Sans" w:eastAsia="Google Sans" w:hAnsi="Google Sans"/>
            <w:color w:val="0000ee"/>
            <w:sz w:val="24"/>
            <w:szCs w:val="24"/>
            <w:u w:val="single"/>
            <w:rtl w:val="0"/>
          </w:rPr>
          <w:t xml:space="preserve">https://www.siemens.com/en-us/company/academic-future-workforce/pathway-to-learning-engineering/</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FRAMEWORK FOR EFFECTIVE JUDICIAL TRAINING AND CAPACITY BUILDING IN POST-CONFLICT COUNTRIES: ORGANIZATION-TASK-PERSON MODEL - R Discovery, acessado em maio 31, 2026, </w:t>
      </w:r>
      <w:hyperlink r:id="rId69">
        <w:r w:rsidDel="00000000" w:rsidR="00000000" w:rsidRPr="00000000">
          <w:rPr>
            <w:rFonts w:ascii="Google Sans" w:cs="Google Sans" w:eastAsia="Google Sans" w:hAnsi="Google Sans"/>
            <w:color w:val="0000ee"/>
            <w:sz w:val="24"/>
            <w:szCs w:val="24"/>
            <w:u w:val="single"/>
            <w:rtl w:val="0"/>
          </w:rPr>
          <w:t xml:space="preserve">https://discovery.researcher.life/article/a-framework-for-effective-judicial-training-and-capacity-building-in-post-conflict-countries-organization-task-person-model/46474b90231a34cca04dcb90c51dc31c</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Translating Learning into Numbers: A Generic Framework for Learning Analytics, acessado em maio 31, 2026, </w:t>
      </w:r>
      <w:hyperlink r:id="rId70">
        <w:r w:rsidDel="00000000" w:rsidR="00000000" w:rsidRPr="00000000">
          <w:rPr>
            <w:rFonts w:ascii="Google Sans" w:cs="Google Sans" w:eastAsia="Google Sans" w:hAnsi="Google Sans"/>
            <w:color w:val="0000ee"/>
            <w:sz w:val="24"/>
            <w:szCs w:val="24"/>
            <w:u w:val="single"/>
            <w:rtl w:val="0"/>
          </w:rPr>
          <w:t xml:space="preserve">https://www.semanticscholar.org/paper/Translating-Learning-into-Numbers%3A-A-Generic-for-Greller-Drachsler/d1bd219962defaeb326c3b51fb4fb1086c5b7b28</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Turning Learning into Numbers - A Learning Analytics Framework. - ResearchGate, acessado em maio 31,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https://www.researchgate.net/publication/228096895_Turning_Learning_into_Numbers_-_A_Learning_Analytics_Framework</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Translating Learning into Numbers: A Generic Framework for Learning Analytics, acessado em maio 31, 2026,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https://www.researchgate.net/publication/234057371_Translating_Learning_into_Numbers_A_Generic_Framework_for_Learning_Analytics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Handbook of Learning Analytics, acessado em maio 31, 2026, </w:t>
      </w:r>
      <w:hyperlink r:id="rId73">
        <w:r w:rsidDel="00000000" w:rsidR="00000000" w:rsidRPr="00000000">
          <w:rPr>
            <w:rFonts w:ascii="Google Sans" w:cs="Google Sans" w:eastAsia="Google Sans" w:hAnsi="Google Sans"/>
            <w:color w:val="0000ee"/>
            <w:sz w:val="24"/>
            <w:szCs w:val="24"/>
            <w:u w:val="single"/>
            <w:rtl w:val="0"/>
          </w:rPr>
          <w:t xml:space="preserve">https://solaresearch.org/wp-content/uploads/2017/05/hla17.pdf</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Kirkpatrick Model, acessado em maio 31, 2026, </w:t>
      </w:r>
      <w:hyperlink r:id="rId74">
        <w:r w:rsidDel="00000000" w:rsidR="00000000" w:rsidRPr="00000000">
          <w:rPr>
            <w:rFonts w:ascii="Google Sans" w:cs="Google Sans" w:eastAsia="Google Sans" w:hAnsi="Google Sans"/>
            <w:color w:val="0000ee"/>
            <w:sz w:val="24"/>
            <w:szCs w:val="24"/>
            <w:u w:val="single"/>
            <w:rtl w:val="0"/>
          </w:rPr>
          <w:t xml:space="preserve">https://www.kirkpatrickpartners.com/the-kirkpatrick-model/</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Kirkpatrick Model: How to Use All 4 Levels to Evaluate Training - Valamis, acessado em maio 31, 2026, </w:t>
      </w:r>
      <w:hyperlink r:id="rId75">
        <w:r w:rsidDel="00000000" w:rsidR="00000000" w:rsidRPr="00000000">
          <w:rPr>
            <w:rFonts w:ascii="Google Sans" w:cs="Google Sans" w:eastAsia="Google Sans" w:hAnsi="Google Sans"/>
            <w:color w:val="0000ee"/>
            <w:sz w:val="24"/>
            <w:szCs w:val="24"/>
            <w:u w:val="single"/>
            <w:rtl w:val="0"/>
          </w:rPr>
          <w:t xml:space="preserve">https://www.valamis.com/hub/kirkpatrick-model</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Kirkpatrick vs Phillips ROI Model: Which Evaluation Framework ..., acessado em maio 31, 2026, </w:t>
      </w:r>
      <w:hyperlink r:id="rId76">
        <w:r w:rsidDel="00000000" w:rsidR="00000000" w:rsidRPr="00000000">
          <w:rPr>
            <w:rFonts w:ascii="Google Sans" w:cs="Google Sans" w:eastAsia="Google Sans" w:hAnsi="Google Sans"/>
            <w:color w:val="0000ee"/>
            <w:sz w:val="24"/>
            <w:szCs w:val="24"/>
            <w:u w:val="single"/>
            <w:rtl w:val="0"/>
          </w:rPr>
          <w:t xml:space="preserve">https://www.trostlearning.com/blog/kirkpatrick-vs-phillips-roi-model-which-evaluation-framework-should-hr-professionals-adopt/</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Benefits of Training and Development | PDF | Leisure - Scribd, acessado em maio 31, 2026, </w:t>
      </w:r>
      <w:hyperlink r:id="rId77">
        <w:r w:rsidDel="00000000" w:rsidR="00000000" w:rsidRPr="00000000">
          <w:rPr>
            <w:rFonts w:ascii="Google Sans" w:cs="Google Sans" w:eastAsia="Google Sans" w:hAnsi="Google Sans"/>
            <w:color w:val="0000ee"/>
            <w:sz w:val="24"/>
            <w:szCs w:val="24"/>
            <w:u w:val="single"/>
            <w:rtl w:val="0"/>
          </w:rPr>
          <w:t xml:space="preserve">https://www.scribd.com/doc/239634287/Aguinis-Kraiger-2009-ARP</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Benefits of Training and Development for Individuals and Teams, Organizations, and Society, acessado em maio 31, 2026,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https://www.researchgate.net/publication/23443664_Benefits_of_Training_and_Development_for_Individuals_and_Teams_Organizations_and_Society</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Benefits of training and development for individuals and teams, organizations, and society., acessado em maio 31, 2026, </w:t>
      </w:r>
      <w:hyperlink r:id="rId79">
        <w:r w:rsidDel="00000000" w:rsidR="00000000" w:rsidRPr="00000000">
          <w:rPr>
            <w:rFonts w:ascii="Google Sans" w:cs="Google Sans" w:eastAsia="Google Sans" w:hAnsi="Google Sans"/>
            <w:color w:val="0000ee"/>
            <w:sz w:val="24"/>
            <w:szCs w:val="24"/>
            <w:u w:val="single"/>
            <w:rtl w:val="0"/>
          </w:rPr>
          <w:t xml:space="preserve">https://www.semanticscholar.org/paper/Benefits-of-training-and-development-for-and-teams%2C-Aguinis-Kraiger/7780dd3b58606ec9439b2a6f86929978945c9cc2</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Kirkpatrick Model: Four Levels of Training Evaluation (With Examples, Free Template, &amp; FAQ) | Devlin Peck, acessado em maio 31, 2026, </w:t>
      </w:r>
      <w:hyperlink r:id="rId80">
        <w:r w:rsidDel="00000000" w:rsidR="00000000" w:rsidRPr="00000000">
          <w:rPr>
            <w:rFonts w:ascii="Google Sans" w:cs="Google Sans" w:eastAsia="Google Sans" w:hAnsi="Google Sans"/>
            <w:color w:val="0000ee"/>
            <w:sz w:val="24"/>
            <w:szCs w:val="24"/>
            <w:u w:val="single"/>
            <w:rtl w:val="0"/>
          </w:rPr>
          <w:t xml:space="preserve">https://www.devlinpeck.com/content/kirkpatrick-model-evaluation</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Phillips ROI Model (Phillips Learning Evaluation Model) - Accessplanit, acessado em maio 31, 2026, </w:t>
      </w:r>
      <w:hyperlink r:id="rId81">
        <w:r w:rsidDel="00000000" w:rsidR="00000000" w:rsidRPr="00000000">
          <w:rPr>
            <w:rFonts w:ascii="Google Sans" w:cs="Google Sans" w:eastAsia="Google Sans" w:hAnsi="Google Sans"/>
            <w:color w:val="0000ee"/>
            <w:sz w:val="24"/>
            <w:szCs w:val="24"/>
            <w:u w:val="single"/>
            <w:rtl w:val="0"/>
          </w:rPr>
          <w:t xml:space="preserve">https://www.accessplanit.com/en-gb/ap-blogs/phillips-roi-model</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Training Evaluation Models | SafetyCulture, acessado em maio 31, 2026, </w:t>
      </w:r>
      <w:hyperlink r:id="rId82">
        <w:r w:rsidDel="00000000" w:rsidR="00000000" w:rsidRPr="00000000">
          <w:rPr>
            <w:rFonts w:ascii="Google Sans" w:cs="Google Sans" w:eastAsia="Google Sans" w:hAnsi="Google Sans"/>
            <w:color w:val="0000ee"/>
            <w:sz w:val="24"/>
            <w:szCs w:val="24"/>
            <w:u w:val="single"/>
            <w:rtl w:val="0"/>
          </w:rPr>
          <w:t xml:space="preserve">https://safetyculture.com/topics/training-evaluation/training-evaluation-models</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Modelo de Kirkpatrick: o guia completo para avaliar treinamentos em 4 níveis - Twygo, acessado em maio 31, 2026, </w:t>
      </w:r>
      <w:hyperlink r:id="rId83">
        <w:r w:rsidDel="00000000" w:rsidR="00000000" w:rsidRPr="00000000">
          <w:rPr>
            <w:rFonts w:ascii="Google Sans" w:cs="Google Sans" w:eastAsia="Google Sans" w:hAnsi="Google Sans"/>
            <w:color w:val="0000ee"/>
            <w:sz w:val="24"/>
            <w:szCs w:val="24"/>
            <w:u w:val="single"/>
            <w:rtl w:val="0"/>
          </w:rPr>
          <w:t xml:space="preserve">https://twygo.com/blog/modelo-de-kirkpatrick/</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Phillips Model for calculating training ROI - HCM Deck Blog, acessado em maio 31, 2026, </w:t>
      </w:r>
      <w:hyperlink r:id="rId84">
        <w:r w:rsidDel="00000000" w:rsidR="00000000" w:rsidRPr="00000000">
          <w:rPr>
            <w:rFonts w:ascii="Google Sans" w:cs="Google Sans" w:eastAsia="Google Sans" w:hAnsi="Google Sans"/>
            <w:color w:val="0000ee"/>
            <w:sz w:val="24"/>
            <w:szCs w:val="24"/>
            <w:u w:val="single"/>
            <w:rtl w:val="0"/>
          </w:rPr>
          <w:t xml:space="preserve">https://hcmdeck.com/en/blog/the-fifth-level-of-the-new-kirkpatrick-model-or-why-and-how-to-calculate-training-roi/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dlo.int/sites/default/files/pdfs/publications/IDLO-LLB-%20JTTP-Afghanistan.pdf" TargetMode="External"/><Relationship Id="rId84" Type="http://schemas.openxmlformats.org/officeDocument/2006/relationships/hyperlink" Target="https://hcmdeck.com/en/blog/the-fifth-level-of-the-new-kirkpatrick-model-or-why-and-how-to-calculate-training-roi/" TargetMode="External"/><Relationship Id="rId83" Type="http://schemas.openxmlformats.org/officeDocument/2006/relationships/hyperlink" Target="https://twygo.com/blog/modelo-de-kirkpatrick/" TargetMode="External"/><Relationship Id="rId42" Type="http://schemas.openxmlformats.org/officeDocument/2006/relationships/hyperlink" Target="https://digitalcommons.law.lsu.edu/cgi/viewcontent.cgi?article=1044&amp;context=jcls" TargetMode="External"/><Relationship Id="rId41" Type="http://schemas.openxmlformats.org/officeDocument/2006/relationships/hyperlink" Target="http://www.nost.fr/wp-content/uploads/2018/09/CV_daniela-piana.pdf" TargetMode="External"/><Relationship Id="rId44" Type="http://schemas.openxmlformats.org/officeDocument/2006/relationships/hyperlink" Target="https://ejtn.eu/wp-content/uploads/2022/12/Study_Best_Practices_EJTN.pdf" TargetMode="External"/><Relationship Id="rId43" Type="http://schemas.openxmlformats.org/officeDocument/2006/relationships/hyperlink" Target="https://www.routledge.com/Networking-the-Rule-of-Law-How-Change-Agents-Reshape-Judicial-Governance-in-the-EU/Dallara-Piana/p/book/9781138564145" TargetMode="External"/><Relationship Id="rId46" Type="http://schemas.openxmlformats.org/officeDocument/2006/relationships/hyperlink" Target="https://commission.europa.eu/system/files/2022-06/conference_report-initial_training_of_justice_professionals_serving_the_rule_of_law-en.pdf" TargetMode="External"/><Relationship Id="rId45" Type="http://schemas.openxmlformats.org/officeDocument/2006/relationships/hyperlink" Target="https://www.crui.it/index.php?option=com_dropfiles&amp;format&amp;task=frontfile.download&amp;catid=54&amp;id=184&amp;Itemid=1000000000000" TargetMode="External"/><Relationship Id="rId80" Type="http://schemas.openxmlformats.org/officeDocument/2006/relationships/hyperlink" Target="https://www.devlinpeck.com/content/kirkpatrick-model-evaluation" TargetMode="External"/><Relationship Id="rId82" Type="http://schemas.openxmlformats.org/officeDocument/2006/relationships/hyperlink" Target="https://safetyculture.com/topics/training-evaluation/training-evaluation-models" TargetMode="External"/><Relationship Id="rId81" Type="http://schemas.openxmlformats.org/officeDocument/2006/relationships/hyperlink" Target="https://www.accessplanit.com/en-gb/ap-blogs/phillips-roi-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ks.harvard.edu/publications/good-enough-governance-revisited-0" TargetMode="External"/><Relationship Id="rId48" Type="http://schemas.openxmlformats.org/officeDocument/2006/relationships/hyperlink" Target="https://www.enm.justice.fr/api/getFile/sites/default/files/2025-10/Catalogue_DI_EN_2026_Web.pdf" TargetMode="External"/><Relationship Id="rId47" Type="http://schemas.openxmlformats.org/officeDocument/2006/relationships/hyperlink" Target="https://judicialstudiesjournal.ie/assets/uploads/documents/2023%20Special%20edition/9.%20Cros%20and%20Enright%20Final.pdf" TargetMode="External"/><Relationship Id="rId49" Type="http://schemas.openxmlformats.org/officeDocument/2006/relationships/hyperlink" Target="https://brill.com/display/book/9789004279261/B9789004279261-s001.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hepolicypractice.com/sites/default/files/2023-02/Good%2520enough%2520governance.pdf" TargetMode="External"/><Relationship Id="rId8" Type="http://schemas.openxmlformats.org/officeDocument/2006/relationships/hyperlink" Target="https://www.europarl.europa.eu/RegData/etudes/BRIE/2017/599411/EPRS_BRI(2017)599411_EN.pdf" TargetMode="External"/><Relationship Id="rId73" Type="http://schemas.openxmlformats.org/officeDocument/2006/relationships/hyperlink" Target="https://solaresearch.org/wp-content/uploads/2017/05/hla17.pdf" TargetMode="External"/><Relationship Id="rId72" Type="http://schemas.openxmlformats.org/officeDocument/2006/relationships/hyperlink" Target="https://www.researchgate.net/publication/234057371_Translating_Learning_into_Numbers_A_Generic_Framework_for_Learning_Analytics" TargetMode="External"/><Relationship Id="rId31" Type="http://schemas.openxmlformats.org/officeDocument/2006/relationships/hyperlink" Target="https://digitalcommons.law.utulsa.edu/cgi/viewcontent.cgi?article=1802&amp;context=tlr" TargetMode="External"/><Relationship Id="rId75" Type="http://schemas.openxmlformats.org/officeDocument/2006/relationships/hyperlink" Target="https://www.valamis.com/hub/kirkpatrick-model" TargetMode="External"/><Relationship Id="rId30" Type="http://schemas.openxmlformats.org/officeDocument/2006/relationships/hyperlink" Target="https://www.barnesandnoble.com/w/the-faces-of-justice-and-state-authority-mirjan-r-damaska/1123791980" TargetMode="External"/><Relationship Id="rId74" Type="http://schemas.openxmlformats.org/officeDocument/2006/relationships/hyperlink" Target="https://www.kirkpatrickpartners.com/the-kirkpatrick-model/" TargetMode="External"/><Relationship Id="rId33" Type="http://schemas.openxmlformats.org/officeDocument/2006/relationships/hyperlink" Target="https://www.slideshare.net/slideshow/the-faces-of-justice-and-state-authority-a-comparative-approach-to-the-legal-process-mirjan-r-damaska-susan-fisher/278971093" TargetMode="External"/><Relationship Id="rId77" Type="http://schemas.openxmlformats.org/officeDocument/2006/relationships/hyperlink" Target="https://www.scribd.com/doc/239634287/Aguinis-Kraiger-2009-ARP" TargetMode="External"/><Relationship Id="rId32" Type="http://schemas.openxmlformats.org/officeDocument/2006/relationships/hyperlink" Target="https://api.pageplace.de/preview/DT0400.9780300191288_A23633838/preview-9780300191288_A23633838.pdf" TargetMode="External"/><Relationship Id="rId76" Type="http://schemas.openxmlformats.org/officeDocument/2006/relationships/hyperlink" Target="https://www.trostlearning.com/blog/kirkpatrick-vs-phillips-roi-model-which-evaluation-framework-should-hr-professionals-adopt/" TargetMode="External"/><Relationship Id="rId35" Type="http://schemas.openxmlformats.org/officeDocument/2006/relationships/hyperlink" Target="https://www.repository.law.indiana.edu/facpub/303/" TargetMode="External"/><Relationship Id="rId79" Type="http://schemas.openxmlformats.org/officeDocument/2006/relationships/hyperlink" Target="https://www.semanticscholar.org/paper/Benefits-of-training-and-development-for-and-teams%2C-Aguinis-Kraiger/7780dd3b58606ec9439b2a6f86929978945c9cc2" TargetMode="External"/><Relationship Id="rId34" Type="http://schemas.openxmlformats.org/officeDocument/2006/relationships/hyperlink" Target="https://teses.usp.br/teses/disponiveis/2/2137/tde-21082017-142413/publico/dissertacao_versao_integral_Joao_Eberhardt_Francisco.pdf" TargetMode="External"/><Relationship Id="rId78" Type="http://schemas.openxmlformats.org/officeDocument/2006/relationships/hyperlink" Target="https://www.researchgate.net/publication/23443664_Benefits_of_Training_and_Development_for_Individuals_and_Teams_Organizations_and_Society" TargetMode="External"/><Relationship Id="rId71" Type="http://schemas.openxmlformats.org/officeDocument/2006/relationships/hyperlink" Target="https://www.researchgate.net/publication/228096895_Turning_Learning_into_Numbers_-_A_Learning_Analytics_Framework" TargetMode="External"/><Relationship Id="rId70" Type="http://schemas.openxmlformats.org/officeDocument/2006/relationships/hyperlink" Target="https://www.semanticscholar.org/paper/Translating-Learning-into-Numbers%3A-A-Generic-for-Greller-Drachsler/d1bd219962defaeb326c3b51fb4fb1086c5b7b28" TargetMode="External"/><Relationship Id="rId37" Type="http://schemas.openxmlformats.org/officeDocument/2006/relationships/hyperlink" Target="https://scholarlycommons.law.case.edu/caselrev/vol56/iss4/4/" TargetMode="External"/><Relationship Id="rId36" Type="http://schemas.openxmlformats.org/officeDocument/2006/relationships/hyperlink" Target="https://scholarship.law.unc.edu/cgi/viewcontent.cgi?article=1213&amp;context=faculty_publications" TargetMode="External"/><Relationship Id="rId39" Type="http://schemas.openxmlformats.org/officeDocument/2006/relationships/hyperlink" Target="https://scholarlycommons.law.case.edu/cgi/viewcontent.cgi?article=1662&amp;context=caselrev" TargetMode="External"/><Relationship Id="rId38" Type="http://schemas.openxmlformats.org/officeDocument/2006/relationships/hyperlink" Target="https://www.repository.law.indiana.edu/ilj/vol78/iss1/7/" TargetMode="External"/><Relationship Id="rId62" Type="http://schemas.openxmlformats.org/officeDocument/2006/relationships/hyperlink" Target="https://www.cnj.jus.br/tecnologia-da-informacao-e-comunicacao/justica-4-0/capacitacoes/" TargetMode="External"/><Relationship Id="rId61" Type="http://schemas.openxmlformats.org/officeDocument/2006/relationships/hyperlink" Target="https://www.cnj.jus.br/capacitacao/" TargetMode="External"/><Relationship Id="rId20" Type="http://schemas.openxmlformats.org/officeDocument/2006/relationships/hyperlink" Target="https://www.researchgate.net/publication/229525187_Capacity_Leadership_and_Organizational_Performance_Testing_the_Black_Box_Model_of_Public_Management" TargetMode="External"/><Relationship Id="rId64" Type="http://schemas.openxmlformats.org/officeDocument/2006/relationships/hyperlink" Target="https://www.qulture.rocks/blog/learning-analytics" TargetMode="External"/><Relationship Id="rId63" Type="http://schemas.openxmlformats.org/officeDocument/2006/relationships/hyperlink" Target="https://www.tjce.jus.br/esmec/post/cnj-esta-com-inscricoes-abertas-para-varios-cursos-on-line/" TargetMode="External"/><Relationship Id="rId22" Type="http://schemas.openxmlformats.org/officeDocument/2006/relationships/hyperlink" Target="https://www.researchgate.net/publication/225361657_Complexity_and_Hybrid_Public_Administration-Theoretical_and_Empirical_Challenges" TargetMode="External"/><Relationship Id="rId66" Type="http://schemas.openxmlformats.org/officeDocument/2006/relationships/hyperlink" Target="https://www.advance-he.ac.uk/knowledge-hub/learning-analytics-0" TargetMode="External"/><Relationship Id="rId21" Type="http://schemas.openxmlformats.org/officeDocument/2006/relationships/hyperlink" Target="https://www.pefa.org/sites/pefa/files/PEFA%20Presentation%20-Serdar%20Yilmaz_0.pdf" TargetMode="External"/><Relationship Id="rId65" Type="http://schemas.openxmlformats.org/officeDocument/2006/relationships/hyperlink" Target="https://learninganalytics.upenn.edu/ryanbaker/Chapter12BakerSiemensv3.pdf" TargetMode="External"/><Relationship Id="rId24" Type="http://schemas.openxmlformats.org/officeDocument/2006/relationships/hyperlink" Target="https://pmc.ncbi.nlm.nih.gov/articles/PMC3056008/" TargetMode="External"/><Relationship Id="rId68" Type="http://schemas.openxmlformats.org/officeDocument/2006/relationships/hyperlink" Target="https://www.siemens.com/en-us/company/academic-future-workforce/pathway-to-learning-engineering/" TargetMode="External"/><Relationship Id="rId23" Type="http://schemas.openxmlformats.org/officeDocument/2006/relationships/hyperlink" Target="https://www.tandfonline.com/doi/full/10.1080/15309576.2025.2549297" TargetMode="External"/><Relationship Id="rId67" Type="http://schemas.openxmlformats.org/officeDocument/2006/relationships/hyperlink" Target="https://sites.dartmouth.edu/learninganalytics/2015/04/21/definition-of-learning-analytics/" TargetMode="External"/><Relationship Id="rId60" Type="http://schemas.openxmlformats.org/officeDocument/2006/relationships/hyperlink" Target="https://www.cnj.jus.br/formacao-e-capacitacao/cursos-abertos/" TargetMode="External"/><Relationship Id="rId26" Type="http://schemas.openxmlformats.org/officeDocument/2006/relationships/hyperlink" Target="https://pmc.ncbi.nlm.nih.gov/articles/PMC9350260/" TargetMode="External"/><Relationship Id="rId25" Type="http://schemas.openxmlformats.org/officeDocument/2006/relationships/hyperlink" Target="https://www.emerald.com/books/edited-volume/12782/chapter/83113590/Chapter-2-Post-NPM-Reforms-Whole-of-Government" TargetMode="External"/><Relationship Id="rId69" Type="http://schemas.openxmlformats.org/officeDocument/2006/relationships/hyperlink" Target="https://discovery.researcher.life/article/a-framework-for-effective-judicial-training-and-capacity-building-in-post-conflict-countries-organization-task-person-model/46474b90231a34cca04dcb90c51dc31c" TargetMode="External"/><Relationship Id="rId28" Type="http://schemas.openxmlformats.org/officeDocument/2006/relationships/hyperlink" Target="https://ejtn.eu/wp-content/uploads/2022/12/2019-056-Training-guide-v5_FINAL.pdf" TargetMode="External"/><Relationship Id="rId27" Type="http://schemas.openxmlformats.org/officeDocument/2006/relationships/hyperlink" Target="https://www.undp.org/liberia/press-releases/liberias-judiciary-revives-judicial-education-peer-peer-training" TargetMode="External"/><Relationship Id="rId29" Type="http://schemas.openxmlformats.org/officeDocument/2006/relationships/hyperlink" Target="https://biblioteca.cejamericas.org/bitstream/handle/2015/5202/judicialtraining.pdf?sequence=1&amp;isAllowed=y" TargetMode="External"/><Relationship Id="rId51" Type="http://schemas.openxmlformats.org/officeDocument/2006/relationships/hyperlink" Target="https://www.trt4.jus.br/portais/escola/modulos/noticias/401464" TargetMode="External"/><Relationship Id="rId50" Type="http://schemas.openxmlformats.org/officeDocument/2006/relationships/hyperlink" Target="https://escolajudicial.trt5.jus.br/resolucoes-enamat" TargetMode="External"/><Relationship Id="rId53" Type="http://schemas.openxmlformats.org/officeDocument/2006/relationships/hyperlink" Target="https://www.enfam.jus.br/enfam-encerra-primeira-formacao-inicial-de-magistrados-de-2026/" TargetMode="External"/><Relationship Id="rId52" Type="http://schemas.openxmlformats.org/officeDocument/2006/relationships/hyperlink" Target="https://www.tst.jus.br/-/reforma-do-judici%C3%A1rio-veja-as-principais-altera%C3%A7%C3%B5es-realizadas-pela-emenda-constitucional-n%C2%BA45/2004" TargetMode="External"/><Relationship Id="rId11" Type="http://schemas.openxmlformats.org/officeDocument/2006/relationships/hyperlink" Target="https://gsdrc.org/document-library/good-enough-governance-revisited/" TargetMode="External"/><Relationship Id="rId55" Type="http://schemas.openxmlformats.org/officeDocument/2006/relationships/hyperlink" Target="https://www.enamat.jus.br/institucional/sobre-a-escola" TargetMode="External"/><Relationship Id="rId10" Type="http://schemas.openxmlformats.org/officeDocument/2006/relationships/hyperlink" Target="https://dergipark.org.tr/tr/download/article-file/2543363" TargetMode="External"/><Relationship Id="rId54" Type="http://schemas.openxmlformats.org/officeDocument/2006/relationships/hyperlink" Target="https://www.enamat.jus.br/" TargetMode="External"/><Relationship Id="rId13" Type="http://schemas.openxmlformats.org/officeDocument/2006/relationships/hyperlink" Target="https://ideas.repec.org/a/oec/dcdkaa/5kz990fw74nw.html" TargetMode="External"/><Relationship Id="rId57" Type="http://schemas.openxmlformats.org/officeDocument/2006/relationships/hyperlink" Target="https://revista.defensoria.df.gov.br/index.php/revista/article/download/286/362/1466" TargetMode="External"/><Relationship Id="rId12" Type="http://schemas.openxmlformats.org/officeDocument/2006/relationships/hyperlink" Target="https://courses.washington.edu/pbaf531/Grindle_GoodEnoughGovRevisited.pdf" TargetMode="External"/><Relationship Id="rId56" Type="http://schemas.openxmlformats.org/officeDocument/2006/relationships/hyperlink" Target="https://www.enfam.jus.br/enfam-investe-na-visao-humanistica-do-juiz-nos-dois-anos-de-existencia/" TargetMode="External"/><Relationship Id="rId15" Type="http://schemas.openxmlformats.org/officeDocument/2006/relationships/hyperlink" Target="https://www.fao.org/fileadmin/templates/capacitybuilding/pdf/DAC_paper_final.pdf" TargetMode="External"/><Relationship Id="rId59" Type="http://schemas.openxmlformats.org/officeDocument/2006/relationships/hyperlink" Target="https://www.cnj.jus.br/formacao-e-capacitacao/pdpj/" TargetMode="External"/><Relationship Id="rId14" Type="http://schemas.openxmlformats.org/officeDocument/2006/relationships/hyperlink" Target="http://content-ext.undp.org/aplaws_publications/1449053/PN_Capacity_Development.pdf" TargetMode="External"/><Relationship Id="rId58" Type="http://schemas.openxmlformats.org/officeDocument/2006/relationships/hyperlink" Target="https://revista.defensoria.df.gov.br/index.php/revista/issue/download/20/RDPDF%20Vol.%206%20N.%203%202024" TargetMode="External"/><Relationship Id="rId17" Type="http://schemas.openxmlformats.org/officeDocument/2006/relationships/hyperlink" Target="https://scispace.com/pdf/effective-resource-management-of-governments-and-corruption-57y925cx4a.pdf" TargetMode="External"/><Relationship Id="rId16" Type="http://schemas.openxmlformats.org/officeDocument/2006/relationships/hyperlink" Target="https://www.oecd.org/en/toolkits/derec/evaluation-reports/2008/120172.html" TargetMode="External"/><Relationship Id="rId19" Type="http://schemas.openxmlformats.org/officeDocument/2006/relationships/hyperlink" Target="https://www.researchgate.net/publication/5153642_Government_Performance_Why_Management_Matters" TargetMode="External"/><Relationship Id="rId18" Type="http://schemas.openxmlformats.org/officeDocument/2006/relationships/hyperlink" Target="https://www.emerald.com/ijpsm/article/35/1/61/151126/Determinants-of-network-effectiveness-evid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