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ENAJU e Institucionalização da Educação Corporativa Judicial</w:t>
      </w:r>
    </w:p>
    <w:p>
      <w:pPr>
        <w:pStyle w:val="Author"/>
      </w:pPr>
      <w:r>
        <w:t xml:space="preserve">Igor Caires Machado</w:t>
      </w:r>
    </w:p>
    <w:p>
      <w:pPr>
        <w:pStyle w:val="Author"/>
      </w:pPr>
      <w:r>
        <w:t xml:space="preserve">Fabio Lopes Fernandes</w:t>
      </w:r>
    </w:p>
    <w:p>
      <w:pPr>
        <w:pStyle w:val="Author"/>
      </w:pPr>
      <w:r>
        <w:t xml:space="preserve">Daniel Ribeiro Surdi Avelar</w:t>
      </w:r>
    </w:p>
    <w:p>
      <w:pPr>
        <w:pStyle w:val="Author"/>
      </w:pPr>
      <w:r>
        <w:t xml:space="preserve">Paulo Marcus de Farias</w:t>
      </w:r>
    </w:p>
    <w:p>
      <w:pPr>
        <w:pStyle w:val="FirstParagraph"/>
      </w:pPr>
      <w:r>
        <w:rPr>
          <w:b/>
          <w:bCs/>
        </w:rPr>
        <w:t xml:space="preserve">ENAJU e Institucionalização da Educação Corporativa Judicial</w:t>
      </w:r>
    </w:p>
    <w:p>
      <w:pPr>
        <w:pStyle w:val="BodyText"/>
      </w:pPr>
      <w:r>
        <w:rPr>
          <w:b/>
          <w:bCs/>
        </w:rPr>
        <w:t xml:space="preserve">Igor Caires Machado</w:t>
      </w:r>
    </w:p>
    <w:p>
      <w:pPr>
        <w:pStyle w:val="BodyText"/>
      </w:pPr>
      <w:r>
        <w:rPr>
          <w:b/>
          <w:bCs/>
        </w:rPr>
        <w:t xml:space="preserve">Fabio Lopes Fernandes</w:t>
      </w:r>
    </w:p>
    <w:p>
      <w:pPr>
        <w:pStyle w:val="BodyText"/>
      </w:pPr>
      <w:r>
        <w:rPr>
          <w:b/>
          <w:bCs/>
        </w:rPr>
        <w:t xml:space="preserve">Daniel Ribeiro Surdi Avelar</w:t>
      </w:r>
    </w:p>
    <w:p>
      <w:pPr>
        <w:pStyle w:val="BodyText"/>
      </w:pPr>
      <w:r>
        <w:rPr>
          <w:b/>
          <w:bCs/>
        </w:rPr>
        <w:t xml:space="preserve">Paulo Marcus de Farias</w:t>
      </w:r>
    </w:p>
    <w:p>
      <w:pPr>
        <w:pStyle w:val="BodyText"/>
      </w:pPr>
      <w:r>
        <w:rPr>
          <w:i/>
          <w:iCs/>
        </w:rPr>
        <w:t xml:space="preserve">Conselho Nacional de Justiça</w:t>
      </w:r>
    </w:p>
    <w:p>
      <w:pPr>
        <w:pStyle w:val="BodyText"/>
      </w:pPr>
      <w:r>
        <w:t xml:space="preserve">Eixo Temático: Formação e Desenvolvimento de Pessoas no Judiciário</w:t>
      </w:r>
    </w:p>
    <w:p>
      <w:pPr>
        <w:pStyle w:val="BodyText"/>
      </w:pPr>
      <w:r>
        <w:rPr>
          <w:b/>
          <w:bCs/>
        </w:rPr>
        <w:t xml:space="preserve">Resumo</w:t>
      </w:r>
    </w:p>
    <w:p>
      <w:pPr>
        <w:pStyle w:val="BodyText"/>
      </w:pPr>
      <w:r>
        <w:t xml:space="preserve">Este relatório técnico reconstrói a trajetória de institucionalização da educação corporativa no Poder Judiciário brasileiro, das primeiras escolas judiciais à criação da Escola Nacional do Judiciário (ENAJU) pela Resolução CNJ n. 643/2025. A análise histórico-documental identifica cinco fases: era pré-institucional (1977–2003), constitucionalização com a EC 45/2004 e a ENFAM (2004–2008), expansão para servidores com o CEAJud (2009–2011), consolidação normativa com as Resoluções CNJ n. 159/2012 e 192/2014 (2012–2024), e maturidade sistêmica com a ENAJU (2025). Os resultados indicam que a consolidação da política foi favorecida pela capacidade regulatória do CNJ, pelo legado das escolas judiciais e pelo alinhamento entre formação, gestão por competências e planejamento estratégico. Como produtos e alcance destacam-se a plataforma de educação a distância do CNJ, a regulação de cursos para magistrados, a articulação de escolas judiciais e a disponibilização de capacitações em portal unificado. O relatório também identifica desafios de financiamento, heterogeneidade entre tribunais, resistência à padronização e fragilidade das métricas de impacto. O caso oferece implicações práticas para a consolidação da ENAJU e para a replicação de arranjos de governança educacional em organizações públicas complexas.</w:t>
      </w:r>
    </w:p>
    <w:p>
      <w:pPr>
        <w:pStyle w:val="BodyText"/>
      </w:pPr>
      <w:r>
        <w:rPr>
          <w:b/>
          <w:bCs/>
        </w:rPr>
        <w:t xml:space="preserve">Palavras-chave:</w:t>
      </w:r>
      <w:r>
        <w:t xml:space="preserve"> </w:t>
      </w:r>
      <w:r>
        <w:t xml:space="preserve">educação corporativa judicial; ENAJU; institucionalização; formação de servidores; gestão por competências.</w:t>
      </w:r>
    </w:p>
    <w:p>
      <w:pPr>
        <w:pStyle w:val="BodyText"/>
      </w:pPr>
      <w:r>
        <w:rPr>
          <w:b/>
          <w:bCs/>
        </w:rPr>
        <w:t xml:space="preserve">Abstract</w:t>
      </w:r>
    </w:p>
    <w:p>
      <w:pPr>
        <w:pStyle w:val="BodyText"/>
      </w:pPr>
      <w:r>
        <w:t xml:space="preserve">This technical report reconstructs the institutionalization of corporate education in the Brazilian Judiciary, from early judicial schools to the creation of the National School of the Judiciary (ENAJU) by CNJ Resolution n. 643/2025. The historical-documentary analysis identifies five phases: pre-institutional development, constitutionalization, expansion to civil servants, normative consolidation, and systemic maturity with ENAJU. The results indicate that the policy was strengthened by CNJ regulatory capacity, the legacy of judicial schools, and the alignment between training, competency-based management, and strategic planning. The report also identifies challenges related to funding, institutional heterogeneity, standardization, and impact assessment.</w:t>
      </w:r>
    </w:p>
    <w:p>
      <w:pPr>
        <w:pStyle w:val="BodyText"/>
      </w:pPr>
      <w:r>
        <w:rPr>
          <w:b/>
          <w:bCs/>
        </w:rPr>
        <w:t xml:space="preserve">Keywords:</w:t>
      </w:r>
      <w:r>
        <w:t xml:space="preserve"> </w:t>
      </w:r>
      <w:r>
        <w:t xml:space="preserve">judicial corporate education; ENAJU; institutionalization; civil servant training; competency-based management.</w:t>
      </w:r>
    </w:p>
    <w:p>
      <w:pPr>
        <w:pStyle w:val="BodyText"/>
      </w:pPr>
      <w:r>
        <w:rPr>
          <w:b/>
          <w:bCs/>
        </w:rPr>
        <w:t xml:space="preserve">1. INTRODUÇÃO</w:t>
      </w:r>
    </w:p>
    <w:p>
      <w:pPr>
        <w:pStyle w:val="BodyText"/>
      </w:pPr>
      <w:r>
        <w:t xml:space="preserve">O Poder Judiciário brasileiro emprega cerca de 300 mil servidores e 18 mil magistrados distribuídos por mais de 90 tribunais em todas as unidades da federação (CNJ, 2024). Gerir o desenvolvimento profissional desse contingente — com a heterogeneidade de competências, a capilaridade territorial e a complexidade funcional inerentes à prestação jurisdicional — constitui um desafio relevante da administração pública nacional.</w:t>
      </w:r>
    </w:p>
    <w:p>
      <w:pPr>
        <w:pStyle w:val="BodyText"/>
      </w:pPr>
      <w:r>
        <w:t xml:space="preserve">Este relatório técnico reconstrói a trajetória institucional da educação corporativa no Poder Judiciário brasileiro, desde as primeiras escolas de magistratura dos anos 1970 até a criação da Escola Nacional do Judiciário (ENAJU) em 2025. O recorte analítico privilegia o processo pelo qual iniciativas formativas fragmentadas se converteram em estruturas permanentes, dotadas de normas, recursos, instâncias de coordenação e instrumentos de gestão.</w:t>
      </w:r>
    </w:p>
    <w:p>
      <w:pPr>
        <w:pStyle w:val="BodyText"/>
      </w:pPr>
      <w:r>
        <w:t xml:space="preserve">O eixo interpretativo do trabalho é que a educação corporativa judicial percorreu uma trajetória de institucionalização marcada por dois marcos principais: a Emenda Constitucional n. 45/2004, que criou o CNJ e a ENFAM e vinculou a formação à carreira da magistratura; e a Resolução CNJ n. 643/2025, que transformou o CEAJud na ENAJU e fortaleceu a coordenação nacional da formação de servidores. Entre esses marcos, as Resoluções CNJ n. 111/2010, 126/2011, 159/2012 e 192/2014 e a Resolução ENFAM n. 1/2023 sedimentaram progressivamente a política de formação como componente da governança judicial.</w:t>
      </w:r>
    </w:p>
    <w:p>
      <w:pPr>
        <w:pStyle w:val="BodyText"/>
      </w:pPr>
      <w:r>
        <w:t xml:space="preserve">A relevância deste estudo reside em três contribuições: (a) sistematiza, com base documental, uma trajetória institucional de cinquenta anos; (b) descreve o processo de desenvolvimento da política, seus fatores facilitadores e dificultadores; e (c) oferece aos gestores públicos um modelo analítico para compreender produtos, alcance, impactos potenciais, riscos e possibilidades de replicação.</w:t>
      </w:r>
    </w:p>
    <w:p>
      <w:pPr>
        <w:pStyle w:val="BodyText"/>
      </w:pPr>
      <w:r>
        <w:rPr>
          <w:b/>
          <w:bCs/>
        </w:rPr>
        <w:t xml:space="preserve">2. FUNDAMENTOS ANALÍTICOS DA EDUCAÇÃO CORPORATIVA JUDICIAL</w:t>
      </w:r>
    </w:p>
    <w:p>
      <w:pPr>
        <w:pStyle w:val="BodyText"/>
      </w:pPr>
      <w:r>
        <w:t xml:space="preserve">A educação corporativa corresponde à organização sistemática de processos de aprendizagem orientados às estratégias institucionais. Diferentemente de treinamentos pontuais, ela pressupõe continuidade, alinhamento com objetivos organizacionais e integração entre competências técnicas, comportamentais e éticas (Allen, 2002; Meister, 1998). No setor público, essa abordagem ganha relevância quando vinculada ao desenvolvimento de capacidades estatais e à melhoria de serviços entregues à sociedade (OCDE, 2008).</w:t>
      </w:r>
    </w:p>
    <w:p>
      <w:pPr>
        <w:pStyle w:val="BodyText"/>
      </w:pPr>
      <w:r>
        <w:t xml:space="preserve">A gestão por competências é o referencial mais diretamente associado à política de formação dos servidores do Poder Judiciário. A noção de competência articula conhecimentos, habilidades e atitudes mobilizados em situações concretas de trabalho, permitindo relacionar desenvolvimento profissional, desempenho organizacional e objetivos estratégicos (Fleury &amp; Fleury, 2001). No setor público brasileiro, esse enfoque também aparece associado à profissionalização da gestão de pessoas e à construção de trilhas formativas mais aderentes às necessidades institucionais (Dutra, 2004; Pantoja et al., 2010).</w:t>
      </w:r>
    </w:p>
    <w:p>
      <w:pPr>
        <w:pStyle w:val="BodyText"/>
      </w:pPr>
      <w:r>
        <w:t xml:space="preserve">No Judiciário, a educação corporativa tem uma dimensão adicional: precisa articular independência institucional, diversidade de ramos de justiça, capilaridade territorial e padrões mínimos de qualidade. Por isso, a formação de magistrados e servidores não se limita à oferta de cursos. Ela envolve governança, financiamento, credenciamento, redes de escolas, tecnologias educacionais, avaliação e mecanismos de coordenação nacional.</w:t>
      </w:r>
    </w:p>
    <w:p>
      <w:pPr>
        <w:pStyle w:val="BodyText"/>
      </w:pPr>
      <w:r>
        <w:t xml:space="preserve">A institucionalização é utilizada neste relatório como noção auxiliar para compreender a passagem de iniciativas dispersas para estruturas estáveis de formação. O foco, portanto, não é desenvolver uma discussão teórica extensa, mas explicar como normas, órgãos, redes e instrumentos de gestão contribuíram para consolidar a educação corporativa judicial como prática de governança.</w:t>
      </w:r>
    </w:p>
    <w:p>
      <w:pPr>
        <w:pStyle w:val="BodyText"/>
      </w:pPr>
      <w:r>
        <w:rPr>
          <w:b/>
          <w:bCs/>
        </w:rPr>
        <w:t xml:space="preserve">3. METODOLOGIA</w:t>
      </w:r>
    </w:p>
    <w:p>
      <w:pPr>
        <w:pStyle w:val="BodyText"/>
      </w:pPr>
      <w:r>
        <w:t xml:space="preserve">Esta pesquisa adota delineamento histórico-documental, com análise descritivo-institucional da política de formação no Poder Judiciário. O corpus primário é composto por 14 documentos normativos federais — emenda constitucional, resoluções do CNJ e da ENFAM e instrução normativa — selecionados por relevância direta para o processo de institucionalização da educação corporativa judicial entre 1977 e 2025. O corpus secundário inclui literatura científica, documentos institucionais do CNJ, da ENFAM e da ENAJU e dados administrativos disponíveis sobre formação judicial.</w:t>
      </w:r>
    </w:p>
    <w:p>
      <w:pPr>
        <w:pStyle w:val="BodyText"/>
      </w:pPr>
      <w:r>
        <w:t xml:space="preserve">A análise segue três etapas: (1) periodização em fases com base nos marcos institucionais identificados; (2) análise de conteúdo temática dos normativos, com categorias relacionadas a criação de órgãos, definição de políticas nacionais, autonomia das escolas, gestão por competências, redes de cooperação e governança; e (3) sistematização dos produtos, alcance, impactos potenciais, riscos e possibilidades de replicação.</w:t>
      </w:r>
    </w:p>
    <w:p>
      <w:pPr>
        <w:pStyle w:val="BodyText"/>
      </w:pPr>
      <w:r>
        <w:t xml:space="preserve">A validade interna é assegurada pela triangulação entre fontes normativas, literatura científica e dados administrativos do CNJ. Trata-se de pesquisa qualitativa de natureza descritivo-analítica, compatível com a modalidade de relatório técnico do EnAJUS. As limitações incluem a ausência de dados primários de avaliação de impacto, a dependência de fontes documentais e a impossibilidade de inferir efeitos causais da formação sobre a qualidade ou a celeridade da prestação jurisdicional.</w:t>
      </w:r>
    </w:p>
    <w:tbl>
      <w:tblPr>
        <w:tblStyle w:val="Table"/>
        <w:tblW w:type="pct" w:w="5000"/>
        <w:tblLayout w:type="fixed"/>
        <w:tblLook w:firstRow="0" w:lastRow="0" w:firstColumn="0" w:lastColumn="0" w:noHBand="0" w:noVBand="0" w:val="0000"/>
      </w:tblPr>
      <w:tblGrid>
        <w:gridCol w:w="7920"/>
      </w:tblGrid>
      <w:tr>
        <w:tc>
          <w:tcPr/>
          <w:bookmarkStart w:id="9" w:name="tbl-matriz-metodologica"/>
          <w:p>
            <w:pPr>
              <w:jc w:val="center"/>
            </w:pPr>
            <w:pPr>
              <w:jc w:val="left"/>
              <w:spacing w:before="200"/>
              <w:pStyle w:val="ImageCaption"/>
            </w:pPr>
            <w:r>
              <w:t xml:space="preserve">Tabela 1: Matriz metodológica do relatório técnico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Dimensão metodológica</w:t>
                  </w:r>
                </w:p>
              </w:tc>
              <w:tc>
                <w:tcPr/>
                <w:p>
                  <w:pPr>
                    <w:pStyle w:val="Compact"/>
                    <w:jc w:val="center"/>
                  </w:pPr>
                  <w:r>
                    <w:t xml:space="preserve">Especificação no estudo</w:t>
                  </w:r>
                </w:p>
              </w:tc>
              <w:tc>
                <w:tcPr/>
                <w:p>
                  <w:pPr>
                    <w:pStyle w:val="Compact"/>
                    <w:jc w:val="center"/>
                  </w:pPr>
                  <w:r>
                    <w:t xml:space="preserve">Função no relatório técnico</w:t>
                  </w:r>
                </w:p>
              </w:tc>
            </w:tr>
            <w:tr>
              <w:tc>
                <w:tcPr/>
                <w:p>
                  <w:pPr>
                    <w:pStyle w:val="Compact"/>
                    <w:jc w:val="center"/>
                  </w:pPr>
                  <w:r>
                    <w:t xml:space="preserve">Delineamento</w:t>
                  </w:r>
                </w:p>
              </w:tc>
              <w:tc>
                <w:tcPr/>
                <w:p>
                  <w:pPr>
                    <w:pStyle w:val="Compact"/>
                    <w:jc w:val="center"/>
                  </w:pPr>
                  <w:r>
                    <w:t xml:space="preserve">Pesquisa histórico-documental com análise institucional</w:t>
                  </w:r>
                </w:p>
              </w:tc>
              <w:tc>
                <w:tcPr/>
                <w:p>
                  <w:pPr>
                    <w:pStyle w:val="Compact"/>
                    <w:jc w:val="center"/>
                  </w:pPr>
                  <w:r>
                    <w:t xml:space="preserve">Reconstruir a trajetória de institucionalização da educação corporativa judicial</w:t>
                  </w:r>
                </w:p>
              </w:tc>
            </w:tr>
            <w:tr>
              <w:tc>
                <w:tcPr/>
                <w:p>
                  <w:pPr>
                    <w:pStyle w:val="Compact"/>
                    <w:jc w:val="center"/>
                  </w:pPr>
                  <w:r>
                    <w:t xml:space="preserve">Corpus primário</w:t>
                  </w:r>
                </w:p>
              </w:tc>
              <w:tc>
                <w:tcPr/>
                <w:p>
                  <w:pPr>
                    <w:pStyle w:val="Compact"/>
                    <w:jc w:val="center"/>
                  </w:pPr>
                  <w:r>
                    <w:t xml:space="preserve">14 documentos normativos federais, incluindo emenda constitucional, resoluções do CNJ e da ENFAM e instrução normativa</w:t>
                  </w:r>
                </w:p>
              </w:tc>
              <w:tc>
                <w:tcPr/>
                <w:p>
                  <w:pPr>
                    <w:pStyle w:val="Compact"/>
                    <w:jc w:val="center"/>
                  </w:pPr>
                  <w:r>
                    <w:t xml:space="preserve">Identificar marcos formais de criação, regulação, coordenação e financiamento</w:t>
                  </w:r>
                </w:p>
              </w:tc>
            </w:tr>
            <w:tr>
              <w:tc>
                <w:tcPr/>
                <w:p>
                  <w:pPr>
                    <w:pStyle w:val="Compact"/>
                    <w:jc w:val="center"/>
                  </w:pPr>
                  <w:r>
                    <w:t xml:space="preserve">Corpus secundário</w:t>
                  </w:r>
                </w:p>
              </w:tc>
              <w:tc>
                <w:tcPr/>
                <w:p>
                  <w:pPr>
                    <w:pStyle w:val="Compact"/>
                    <w:jc w:val="center"/>
                  </w:pPr>
                  <w:r>
                    <w:t xml:space="preserve">Literatura científica, documentos institucionais e dados administrativos disponíveis</w:t>
                  </w:r>
                </w:p>
              </w:tc>
              <w:tc>
                <w:tcPr/>
                <w:p>
                  <w:pPr>
                    <w:pStyle w:val="Compact"/>
                    <w:jc w:val="center"/>
                  </w:pPr>
                  <w:r>
                    <w:t xml:space="preserve">Sustentar a interpretação conceitual e a descrição da experiência</w:t>
                  </w:r>
                </w:p>
              </w:tc>
            </w:tr>
            <w:tr>
              <w:tc>
                <w:tcPr/>
                <w:p>
                  <w:pPr>
                    <w:pStyle w:val="Compact"/>
                    <w:jc w:val="center"/>
                  </w:pPr>
                  <w:r>
                    <w:t xml:space="preserve">Estratégia analítica</w:t>
                  </w:r>
                </w:p>
              </w:tc>
              <w:tc>
                <w:tcPr/>
                <w:p>
                  <w:pPr>
                    <w:pStyle w:val="Compact"/>
                    <w:jc w:val="center"/>
                  </w:pPr>
                  <w:r>
                    <w:t xml:space="preserve">Periodização, análise temática dos normativos e sistematização de resultados</w:t>
                  </w:r>
                </w:p>
              </w:tc>
              <w:tc>
                <w:tcPr/>
                <w:p>
                  <w:pPr>
                    <w:pStyle w:val="Compact"/>
                    <w:jc w:val="center"/>
                  </w:pPr>
                  <w:r>
                    <w:t xml:space="preserve">Organizar a experiência institucional por fases, categorias e evidências disponíveis</w:t>
                  </w:r>
                </w:p>
              </w:tc>
            </w:tr>
            <w:tr>
              <w:tc>
                <w:tcPr/>
                <w:p>
                  <w:pPr>
                    <w:pStyle w:val="Compact"/>
                    <w:jc w:val="center"/>
                  </w:pPr>
                  <w:r>
                    <w:t xml:space="preserve">Validade interna</w:t>
                  </w:r>
                </w:p>
              </w:tc>
              <w:tc>
                <w:tcPr/>
                <w:p>
                  <w:pPr>
                    <w:pStyle w:val="Compact"/>
                    <w:jc w:val="center"/>
                  </w:pPr>
                  <w:r>
                    <w:t xml:space="preserve">Triangulação entre normas, literatura e dados administrativos do CNJ</w:t>
                  </w:r>
                </w:p>
              </w:tc>
              <w:tc>
                <w:tcPr/>
                <w:p>
                  <w:pPr>
                    <w:pStyle w:val="Compact"/>
                    <w:jc w:val="center"/>
                  </w:pPr>
                  <w:r>
                    <w:t xml:space="preserve">Reduzir dependência de fonte única e qualificar a inferência descritivo-analítica</w:t>
                  </w:r>
                </w:p>
              </w:tc>
            </w:tr>
            <w:tr>
              <w:tc>
                <w:tcPr/>
                <w:p>
                  <w:pPr>
                    <w:pStyle w:val="Compact"/>
                    <w:jc w:val="center"/>
                  </w:pPr>
                  <w:r>
                    <w:t xml:space="preserve">Limitações</w:t>
                  </w:r>
                </w:p>
              </w:tc>
              <w:tc>
                <w:tcPr/>
                <w:p>
                  <w:pPr>
                    <w:pStyle w:val="Compact"/>
                    <w:jc w:val="center"/>
                  </w:pPr>
                  <w:r>
                    <w:t xml:space="preserve">Ausência de dados primários de impacto e assimetria de informações internacionais</w:t>
                  </w:r>
                </w:p>
              </w:tc>
              <w:tc>
                <w:tcPr/>
                <w:p>
                  <w:pPr>
                    <w:pStyle w:val="Compact"/>
                    <w:jc w:val="center"/>
                  </w:pPr>
                  <w:r>
                    <w:t xml:space="preserve">Delimitar o alcance das conclusões sobre efetividade e causalidade</w:t>
                  </w:r>
                </w:p>
              </w:tc>
            </w:tr>
          </w:tbl>
          <w:bookmarkEnd w:id="9"/>
          <w:p/>
        </w:tc>
      </w:tr>
    </w:tbl>
    <w:p>
      <w:pPr>
        <w:pStyle w:val="BodyText"/>
      </w:pPr>
      <w:r>
        <w:rPr>
          <w:b/>
          <w:bCs/>
        </w:rPr>
        <w:t xml:space="preserve">4. RESULTADOS: AS CINCO FASES DA INSTITUCIONALIZAÇÃO</w:t>
      </w:r>
    </w:p>
    <w:tbl>
      <w:tblPr>
        <w:tblStyle w:val="Table"/>
        <w:tblW w:type="pct" w:w="5000"/>
        <w:tblLayout w:type="fixed"/>
        <w:tblLook w:firstRow="0" w:lastRow="0" w:firstColumn="0" w:lastColumn="0" w:noHBand="0" w:noVBand="0" w:val="0000"/>
      </w:tblPr>
      <w:tblGrid>
        <w:gridCol w:w="7920"/>
      </w:tblGrid>
      <w:tr>
        <w:tc>
          <w:tcPr/>
          <w:bookmarkStart w:id="13" w:name="fig-linha-tempo"/>
          <w:p>
            <w:pPr>
              <w:jc w:val="center"/>
            </w:pPr>
            <w:pPr>
              <w:jc w:val="left"/>
              <w:spacing w:before="200"/>
              <w:pStyle w:val="ImageCaption"/>
            </w:pPr>
            <w:r>
              <w:t xml:space="preserve">Figura 1: Linha do tempo da institucionalização da educação corporativa judicial</w:t>
            </w:r>
          </w:p>
          <w:p>
            <w:pPr>
              <w:jc w:val="center"/>
            </w:pPr>
            <w:r>
              <w:drawing>
                <wp:inline>
                  <wp:extent cx="5334000" cy="603997"/>
                  <wp:effectExtent b="0" l="0" r="0" t="0"/>
                  <wp:docPr descr="" title="" id="11" name="Picture"/>
                  <a:graphic>
                    <a:graphicData uri="http://schemas.openxmlformats.org/drawingml/2006/picture">
                      <pic:pic>
                        <pic:nvPicPr>
                          <pic:cNvPr descr="artigo_completo_enajus_apa_files\figure-docx\mermaid-figure-1.png" id="12" name="Picture"/>
                          <pic:cNvPicPr>
                            <a:picLocks noChangeArrowheads="1" noChangeAspect="1"/>
                          </pic:cNvPicPr>
                        </pic:nvPicPr>
                        <pic:blipFill>
                          <a:blip r:embed="rId10"/>
                          <a:stretch>
                            <a:fillRect/>
                          </a:stretch>
                        </pic:blipFill>
                        <pic:spPr bwMode="auto">
                          <a:xfrm>
                            <a:off x="0" y="0"/>
                            <a:ext cx="5334000" cy="603997"/>
                          </a:xfrm>
                          <a:prstGeom prst="rect">
                            <a:avLst/>
                          </a:prstGeom>
                          <a:noFill/>
                          <a:ln w="9525">
                            <a:noFill/>
                            <a:headEnd/>
                            <a:tailEnd/>
                          </a:ln>
                        </pic:spPr>
                      </pic:pic>
                    </a:graphicData>
                  </a:graphic>
                </wp:inline>
              </w:drawing>
            </w:r>
          </w:p>
          <w:bookmarkEnd w:id="13"/>
        </w:tc>
      </w:tr>
    </w:tbl>
    <w:p>
      <w:pPr>
        <w:pStyle w:val="BodyText"/>
      </w:pPr>
      <w:r>
        <w:rPr>
          <w:b/>
          <w:bCs/>
        </w:rPr>
        <w:t xml:space="preserve">4.1 Fase 1 — Era Pré-Institucional (1977–2003): o voluntarismo como semente</w:t>
      </w:r>
    </w:p>
    <w:p>
      <w:pPr>
        <w:pStyle w:val="BodyText"/>
      </w:pPr>
      <w:r>
        <w:t xml:space="preserve">A história da educação no Poder Judiciário brasileiro não começa com qualquer resolução federal. Ela começa nas décadas de 1970 e 1980, quando magistrados mobilizados pelo ideal de qualificação intelectual fundaram, no âmbito dos próprios Tribunais de Justiça estaduais, as primeiras escolas da magistratura. A obra pioneira do Desembargador Bittencourt, "O Juiz" (1966), é considerada o marco intelectual que introduziu no Brasil a discussão sobre a necessidade de escolas específicas para o preparo de magistrados, defendendo que os tribunais deveriam exigir frequência a cursos como requisito para o início do trabalho na vara — ideia revolucionária para a época.</w:t>
      </w:r>
    </w:p>
    <w:p>
      <w:pPr>
        <w:pStyle w:val="BodyText"/>
      </w:pPr>
      <w:r>
        <w:t xml:space="preserve">A Escola Judicial Desembargador Edésio Fernandes, criada pelo Tribunal de Justiça de Minas Gerais em 1977, é considerada a pioneira nacional. Ao longo das décadas seguintes, o movimento se expandiu de forma orgânica e descentralizada: o Rio Grande do Sul criou a Escola da Associação dos Juízes do Rio Grande do Sul (AJURIS), que se tornou referência pedagógica nacional; outros estados seguiram trajetórias similares. No plano federal, o Conselho da Justiça Federal criou o Centro de Estudos Judiciários (CEJ), e os Tribunais Regionais Federais foram fundando suas próprias escolas — a ESMAF (1ª Região), a EMARF (2ª Região), a EMAG (3ª Região) e a EMAGIS (4ª Região). Na Justiça do Trabalho, as escolas dos Tribunais Regionais do Trabalho percorreram caminho semelhante.</w:t>
      </w:r>
    </w:p>
    <w:p>
      <w:pPr>
        <w:pStyle w:val="BodyText"/>
      </w:pPr>
      <w:r>
        <w:t xml:space="preserve">Esse processo espontâneo demonstrava consciência coletiva sobre a necessidade de formação contínua, mas sem uma política nacional coordenada o resultado era desigual: escolas bem estruturadas nos grandes centros coexistiam com ausência institucional em regiões mais vulneráveis. A formação dependia da iniciativa de determinados tribunais e lideranças institucionais, sem coordenação nacional estável; e seu foco era exclusivamente nos magistrados — a formação dos servidores estava ausente da agenda nacional. Esta fase formou repertórios, redes e práticas que seriam posteriormente aproveitados na construção de uma política nacional.</w:t>
      </w:r>
    </w:p>
    <w:p>
      <w:pPr>
        <w:pStyle w:val="BodyText"/>
      </w:pPr>
      <w:r>
        <w:rPr>
          <w:b/>
          <w:bCs/>
        </w:rPr>
        <w:t xml:space="preserve">4.2 Fase 2 — Constitucionalização (2004–2008): a ruptura de paradigma</w:t>
      </w:r>
    </w:p>
    <w:p>
      <w:pPr>
        <w:pStyle w:val="BodyText"/>
      </w:pPr>
      <w:r>
        <w:t xml:space="preserve">A virada histórica veio com a Emenda Constitucional n. 45, promulgada em 8 de dezembro de 2004, fruto de mais de uma década de debates sobre a chamada "Reforma do Judiciário". Para a educação corporativa judicial, a EC 45 operou três transformações fundamentais.</w:t>
      </w:r>
    </w:p>
    <w:p>
      <w:pPr>
        <w:pStyle w:val="BodyText"/>
      </w:pPr>
      <w:r>
        <w:t xml:space="preserve">Primeira: instituiu o Conselho Nacional de Justiça (CNJ) como órgão de controle da atuação administrativa e financeira do Poder Judiciário, dotando o sistema de um ente com capacidade de formular políticas nacionais vinculantes para todos os tribunais. Segunda: alterou o art. 93 da Constituição Federal, que passou a exigir que a promoção por merecimento pressupusesse "frequência e aproveitamento em cursos reconhecidos por escola judicial ou de aperfeiçoamento" — elevando a formação continuada a dever constitucional, e não mais iniciativa voluntária. Terceira: criou a Escola Nacional de Formação e Aperfeiçoamento de Magistrados (ENFAM), vinculada ao Superior Tribunal de Justiça, com missão de regulamentar, autorizar e fiscalizar os cursos oficiais para ingresso, vitaliciamento e promoção na carreira da magistratura.</w:t>
      </w:r>
    </w:p>
    <w:p>
      <w:pPr>
        <w:pStyle w:val="BodyText"/>
      </w:pPr>
      <w:r>
        <w:t xml:space="preserve">A ENFAM foi instalada em 30 de novembro de 2006, com estrutura de governança que reúne o diretor-geral, o vice-diretor, dois ministros do STJ e quatro magistrados representando a Justiça Estadual e a Federal. Essa composição vincula a escola a uma instância central da governança judicial nacional. No mesmo ano, o Tribunal Superior do Trabalho instituiu a Escola Nacional de Formação e Aperfeiçoamento de Magistrados do Trabalho (ENAMAT) pela Resolução Administrativa TST n. 1.140/2006, consolidando um modelo de especialização por ramo de justiça.</w:t>
      </w:r>
    </w:p>
    <w:p>
      <w:pPr>
        <w:pStyle w:val="BodyText"/>
      </w:pPr>
      <w:r>
        <w:t xml:space="preserve">O modelo adotado pela ENFAM é o de regulador de rede: não oferece cursos diretamente a todos os juízes, mas regula, credencia e fiscaliza as escolas dos tribunais, que executam os programas formativos segundo as diretrizes nacionais. Esse modelo descentralizado-regulado articula a autonomia dos tribunais com a padronização mínima nacional. A EC 45 produziu assim uma mudança institucional: a formação judicial deixou de depender apenas de iniciativas locais e passou a contar com marcos constitucionais explícitos e ente regulador nacional.</w:t>
      </w:r>
    </w:p>
    <w:p>
      <w:pPr>
        <w:pStyle w:val="BodyText"/>
      </w:pPr>
      <w:r>
        <w:rPr>
          <w:b/>
          <w:bCs/>
        </w:rPr>
        <w:t xml:space="preserve">4.3 Fase 3 — Expansão para Servidores (2009–2011): o CEAJud como resposta sistêmica</w:t>
      </w:r>
    </w:p>
    <w:p>
      <w:pPr>
        <w:pStyle w:val="BodyText"/>
      </w:pPr>
      <w:r>
        <w:t xml:space="preserve">Com a ENFAM ocupando o espaço da formação de magistrados, o CNJ voltou seu olhar para o segmento que compõe a imensa maioria do funcionalismo judicial: os servidores. Em 2009, a Instrução Normativa CNJ n. 25 instituiu o Programa de Educação Corporativa (PEC), primeiro ensaio de uma política coordenada de capacitação de servidores. No mesmo período, o CNJ promoveu seu primeiro ciclo de planejamento estratégico nacional, com metas anuais vinculantes para todos os tribunais que incorporaram a formação como vetor de desempenho institucional.</w:t>
      </w:r>
    </w:p>
    <w:p>
      <w:pPr>
        <w:pStyle w:val="BodyText"/>
      </w:pPr>
      <w:r>
        <w:t xml:space="preserve">O 3º Encontro Nacional do Poder Judiciário, em 2010, aprovou como ação estratégica a criação de um centro nacional voltado à capacitação de servidores. Em resposta, foi editada a Resolução CNJ n. 111, de 6 de abril de 2010, que instituiu o Centro de Formação e Aperfeiçoamento de Servidores do Poder Judiciário (CEAJud) como unidade administrativa do CNJ. A mesma resolução determinava que tribunais sem unidade de educação corporativa as constituíssem em até 60 dias, sinalizando a intenção de criar um órgão central e induzir a constituição de uma rede nacional de formação.</w:t>
      </w:r>
    </w:p>
    <w:p>
      <w:pPr>
        <w:pStyle w:val="BodyText"/>
      </w:pPr>
      <w:r>
        <w:t xml:space="preserve">A Resolução CNJ n. 126/2011 avançou ao criar o Plano Nacional de Capacitação Judicial (PNCJ) e o Sistema Nacional de Capacitação Judicial, estabelecendo mecanismos de integração entre o CEAJud e as escolas judiciais dos tribunais. Era o primeiro esboço de uma arquitetura sistêmica: uma rede, não apenas um centro. O CEAJud desempenhou papel vital na disseminação de sistemas nacionais — como o Banco Nacional de Medidas Penais e Prisões (BNMP) — por meio de cursos autoinstrucionais que permitiram o treinamento rápido de toda a força de trabalho judiciária em novos instrumentos de gestão.</w:t>
      </w:r>
    </w:p>
    <w:p>
      <w:pPr>
        <w:pStyle w:val="BodyText"/>
      </w:pPr>
      <w:r>
        <w:rPr>
          <w:b/>
          <w:bCs/>
        </w:rPr>
        <w:t xml:space="preserve">4.4 Fase 4 — Consolidação Normativa (2012–2024): autonomia, competências e rede</w:t>
      </w:r>
    </w:p>
    <w:p>
      <w:pPr>
        <w:pStyle w:val="BodyText"/>
      </w:pPr>
      <w:r>
        <w:t xml:space="preserve">O ciclo normativo de 2012 a 2024 densificou a arquitetura institucional em três dimensões: autonomia das escolas, gestão por competências e cooperação em rede.</w:t>
      </w:r>
    </w:p>
    <w:p>
      <w:pPr>
        <w:pStyle w:val="BodyText"/>
      </w:pPr>
      <w:r>
        <w:t xml:space="preserve">A Resolução CNJ n. 159, de 12 de novembro de 2012, garantiu às escolas judiciais autonomia orçamentária e status de unidade gestora responsável, com dotação específica e competência para ordenação de despesas. Antes dela, muitas escolas judiciais eram meras extensões das secretarias de recursos humanos, sem orçamento próprio ou autonomia de decisão. A norma também padronizou critérios de pontuação para promoção e vitaliciamento baseados em carga horária e aproveitamento, e regulamentou a remuneração da docência interna — reconhecendo o magistrado-professor como figura institucional com direitos e responsabilidades definidos.</w:t>
      </w:r>
    </w:p>
    <w:p>
      <w:pPr>
        <w:pStyle w:val="BodyText"/>
      </w:pPr>
      <w:r>
        <w:t xml:space="preserve">A Resolução CNJ n. 192, de 8 de maio de 2014, foi o marco normativo mais estruturante do período. Ela instituiu a Política Nacional de Formação e Aperfeiçoamento dos Servidores do Poder Judiciário, incorporando o paradigma da gestão por competências e vinculando normativamente a capacitação ao planejamento estratégico do Judiciário. Seus princípios orientadores — educação permanente, responsabilidade compartilhada entre servidor, gestor e unidade formadora, integração entre formação e planejamento estratégico — aproximaram a formação de servidores do planejamento institucional. Com ela, a capacitação de servidores se converteu de iniciativa administrativa pontual em política estruturada no Judiciário.</w:t>
      </w:r>
    </w:p>
    <w:p>
      <w:pPr>
        <w:pStyle w:val="BodyText"/>
      </w:pPr>
      <w:r>
        <w:t xml:space="preserve">No plano da ENFAM, a Resolução n. 2/2016 regulamentou em detalhes os programas de formação inicial e continuada de magistrados, definindo estrutura de cursos, cargas horárias e requisitos de credenciamento. O Banco Nacional de Formadores (BNF), mantido pela ENFAM, reforçou o controle de qualidade pedagógica com um cadastro de profissionais certificados para atuar em cursos oficiais.</w:t>
      </w:r>
    </w:p>
    <w:p>
      <w:pPr>
        <w:pStyle w:val="BodyText"/>
      </w:pPr>
      <w:r>
        <w:t xml:space="preserve">A criação da Rede Nacional de Escolas Judiciais e da Magistratura (RENEJUM), instituída pela Resolução ENFAM n. 1/2023, representou um desdobramento relevante dessa fase. A RENEJUM permite o compartilhamento de calendários, cursos e tecnologias entre as escolas estaduais, federais e especializadas, evitando redundâncias e otimizando o uso de recursos públicos. Sob coordenação da ENFAM, a rede favorece a circulação de práticas pedagógicas e reforça o modelo descentralizado-colaborativo do Judiciário brasileiro.</w:t>
      </w:r>
    </w:p>
    <w:p>
      <w:pPr>
        <w:pStyle w:val="BodyText"/>
      </w:pPr>
      <w:r>
        <w:rPr>
          <w:b/>
          <w:bCs/>
        </w:rPr>
        <w:t xml:space="preserve">4.5 Fase 5 — Maturidade Sistêmica (2025): a ENAJU como órgão central</w:t>
      </w:r>
    </w:p>
    <w:p>
      <w:pPr>
        <w:pStyle w:val="BodyText"/>
      </w:pPr>
      <w:r>
        <w:t xml:space="preserve">O ciclo se completa em 22 de setembro de 2025, quando o Plenário do CNJ aprovou, por 14 votos a 1, a Resolução CNJ n. 643/2025, que transformou o CEAJud na Escola Nacional do Judiciário (ENAJU). A mudança não rompe com o passado, mas eleva o patamar institucional da política: passa-se do modelo de centro administrativo de capacitação para o modelo de escola nacional com missão estratégica definida.</w:t>
      </w:r>
    </w:p>
    <w:p>
      <w:pPr>
        <w:pStyle w:val="BodyText"/>
      </w:pPr>
      <w:r>
        <w:t xml:space="preserve">A ENAJU assume o papel de órgão central do Sistema Nacional de Formação e Aperfeiçoamento de Servidores do Poder Judiciário, com atribuições explicitamente elencadas na Resolução n. 643/2025: formular, implementar e revisar — em conjunto com tribunais e escolas judiciais — a Política Nacional de Formação e Aperfeiçoamento de Servidores; promover a articulação com as escolas judiciais e centros de formação dos tribunais, incentivando cooperação técnica e compartilhamento de conteúdos; oferecer cursos presenciais, a distância e híbridos orientados ao desenvolvimento de competências; desenvolver projetos de transformação digital voltados à inovação na gestão judicial; e promover eventos, pesquisas e intercâmbio de boas práticas entre tribunais de todo o Brasil.</w:t>
      </w:r>
    </w:p>
    <w:p>
      <w:pPr>
        <w:pStyle w:val="BodyText"/>
      </w:pPr>
      <w:r>
        <w:t xml:space="preserve">Em outubro de 2025, a Presidência do CNJ instituiu, pela Portaria n. 362/2025, um Grupo de Trabalho para estruturar a governança interna e o regulamento da nova escola. Simultaneamente, a ENFAM atualizou seu marco normativo com a Resolução n. 2/2025, revisão completa da norma de 2016, que alinha a política de formação de magistrados aos desafios contemporâneos — transformação digital, ensino híbrido, formação de formadores e cursos internacionais (Res. ENFAM n. 4/2025).</w:t>
      </w:r>
    </w:p>
    <w:p>
      <w:pPr>
        <w:pStyle w:val="BodyText"/>
      </w:pPr>
      <w:r>
        <w:t xml:space="preserve">O Quadro 1 sintetiza a arquitetura dual resultante, que representa o estado atual de maturidade do sistema nacional:</w:t>
      </w:r>
    </w:p>
    <w:p>
      <w:pPr>
        <w:pStyle w:val="BodyText"/>
      </w:pPr>
      <w:r>
        <w:rPr>
          <w:b/>
          <w:bCs/>
        </w:rPr>
        <w:t xml:space="preserve">Quadro 1 — Arquitetura Dual do Sistema Nacional de Educação Corporativa Judicial</w:t>
      </w:r>
    </w:p>
    <w:tbl>
      <w:tblPr>
        <w:tblStyle w:val="Table"/>
        <w:tblW w:type="pct" w:w="4933"/>
        <w:tblLayout w:type="fixed"/>
        <w:tblLook w:firstRow="0" w:lastRow="0" w:firstColumn="0" w:lastColumn="0" w:noHBand="0" w:noVBand="0" w:val="0000"/>
      </w:tblPr>
      <w:tblGrid>
        <w:gridCol w:w="956"/>
        <w:gridCol w:w="3136"/>
        <w:gridCol w:w="3720"/>
      </w:tblGrid>
      <w:tr>
        <w:tc>
          <w:tcPr/>
          <w:p>
            <w:pPr>
              <w:pStyle w:val="Compact"/>
              <w:jc w:val="left"/>
            </w:pPr>
            <w:r>
              <w:rPr>
                <w:b/>
                <w:bCs/>
              </w:rPr>
              <w:t xml:space="preserve">Dimensão</w:t>
            </w:r>
          </w:p>
        </w:tc>
        <w:tc>
          <w:tcPr/>
          <w:p>
            <w:pPr>
              <w:pStyle w:val="Compact"/>
              <w:jc w:val="left"/>
            </w:pPr>
            <w:r>
              <w:rPr>
                <w:b/>
                <w:bCs/>
              </w:rPr>
              <w:t xml:space="preserve">ENFAM</w:t>
            </w:r>
          </w:p>
        </w:tc>
        <w:tc>
          <w:tcPr/>
          <w:p>
            <w:pPr>
              <w:pStyle w:val="Compact"/>
              <w:jc w:val="left"/>
            </w:pPr>
            <w:r>
              <w:rPr>
                <w:b/>
                <w:bCs/>
              </w:rPr>
              <w:t xml:space="preserve">ENAJU</w:t>
            </w:r>
          </w:p>
        </w:tc>
      </w:tr>
      <w:tr>
        <w:tc>
          <w:tcPr/>
          <w:p>
            <w:pPr>
              <w:pStyle w:val="Compact"/>
              <w:jc w:val="left"/>
            </w:pPr>
            <w:r>
              <w:t xml:space="preserve">Público-alvo</w:t>
            </w:r>
          </w:p>
        </w:tc>
        <w:tc>
          <w:tcPr/>
          <w:p>
            <w:pPr>
              <w:pStyle w:val="Compact"/>
              <w:jc w:val="left"/>
            </w:pPr>
            <w:r>
              <w:t xml:space="preserve">Magistrados (federais e estaduais)</w:t>
            </w:r>
          </w:p>
        </w:tc>
        <w:tc>
          <w:tcPr/>
          <w:p>
            <w:pPr>
              <w:pStyle w:val="Compact"/>
              <w:jc w:val="left"/>
            </w:pPr>
            <w:r>
              <w:t xml:space="preserve">Servidores do Poder Judiciário</w:t>
            </w:r>
          </w:p>
        </w:tc>
      </w:tr>
      <w:tr>
        <w:tc>
          <w:tcPr/>
          <w:p>
            <w:pPr>
              <w:pStyle w:val="Compact"/>
              <w:jc w:val="left"/>
            </w:pPr>
            <w:r>
              <w:t xml:space="preserve">Ancoragem</w:t>
            </w:r>
          </w:p>
        </w:tc>
        <w:tc>
          <w:tcPr/>
          <w:p>
            <w:pPr>
              <w:pStyle w:val="Compact"/>
              <w:jc w:val="left"/>
            </w:pPr>
            <w:r>
              <w:t xml:space="preserve">Constitucional — EC 45/2004, art. 105, parágrafo único</w:t>
            </w:r>
          </w:p>
        </w:tc>
        <w:tc>
          <w:tcPr/>
          <w:p>
            <w:pPr>
              <w:pStyle w:val="Compact"/>
              <w:jc w:val="left"/>
            </w:pPr>
            <w:r>
              <w:t xml:space="preserve">Normativa — Res. CNJ n. 643/2025</w:t>
            </w:r>
          </w:p>
        </w:tc>
      </w:tr>
      <w:tr>
        <w:tc>
          <w:tcPr/>
          <w:p>
            <w:pPr>
              <w:pStyle w:val="Compact"/>
              <w:jc w:val="left"/>
            </w:pPr>
            <w:r>
              <w:t xml:space="preserve">Vinculação</w:t>
            </w:r>
          </w:p>
        </w:tc>
        <w:tc>
          <w:tcPr/>
          <w:p>
            <w:pPr>
              <w:pStyle w:val="Compact"/>
              <w:jc w:val="left"/>
            </w:pPr>
            <w:r>
              <w:t xml:space="preserve">Superior Tribunal de Justiça (STJ)</w:t>
            </w:r>
          </w:p>
        </w:tc>
        <w:tc>
          <w:tcPr/>
          <w:p>
            <w:pPr>
              <w:pStyle w:val="Compact"/>
              <w:jc w:val="left"/>
            </w:pPr>
            <w:r>
              <w:t xml:space="preserve">Conselho Nacional de Justiça (CNJ)</w:t>
            </w:r>
          </w:p>
        </w:tc>
      </w:tr>
      <w:tr>
        <w:tc>
          <w:tcPr/>
          <w:p>
            <w:pPr>
              <w:pStyle w:val="Compact"/>
              <w:jc w:val="left"/>
            </w:pPr>
            <w:r>
              <w:t xml:space="preserve">Papel central</w:t>
            </w:r>
          </w:p>
        </w:tc>
        <w:tc>
          <w:tcPr/>
          <w:p>
            <w:pPr>
              <w:pStyle w:val="Compact"/>
              <w:jc w:val="left"/>
            </w:pPr>
            <w:r>
              <w:t xml:space="preserve">Regulação, credenciamento e fiscalização de cursos</w:t>
            </w:r>
          </w:p>
        </w:tc>
        <w:tc>
          <w:tcPr/>
          <w:p>
            <w:pPr>
              <w:pStyle w:val="Compact"/>
              <w:jc w:val="left"/>
            </w:pPr>
            <w:r>
              <w:t xml:space="preserve">Formulação, coordenação e execução da política nacional de formação</w:t>
            </w:r>
          </w:p>
        </w:tc>
      </w:tr>
      <w:tr>
        <w:tc>
          <w:tcPr/>
          <w:p>
            <w:pPr>
              <w:pStyle w:val="Compact"/>
              <w:jc w:val="left"/>
            </w:pPr>
            <w:r>
              <w:t xml:space="preserve">Modelo</w:t>
            </w:r>
          </w:p>
        </w:tc>
        <w:tc>
          <w:tcPr/>
          <w:p>
            <w:pPr>
              <w:pStyle w:val="Compact"/>
              <w:jc w:val="left"/>
            </w:pPr>
            <w:r>
              <w:t xml:space="preserve">Regulador de rede (credencia escolas dos tribunais)</w:t>
            </w:r>
          </w:p>
        </w:tc>
        <w:tc>
          <w:tcPr/>
          <w:p>
            <w:pPr>
              <w:pStyle w:val="Compact"/>
              <w:jc w:val="left"/>
            </w:pPr>
            <w:r>
              <w:t xml:space="preserve">Órgão central de sistema nacional</w:t>
            </w:r>
          </w:p>
        </w:tc>
      </w:tr>
      <w:tr>
        <w:tc>
          <w:tcPr/>
          <w:p>
            <w:pPr>
              <w:pStyle w:val="Compact"/>
              <w:jc w:val="left"/>
            </w:pPr>
            <w:r>
              <w:t xml:space="preserve">Norma vigente</w:t>
            </w:r>
          </w:p>
        </w:tc>
        <w:tc>
          <w:tcPr/>
          <w:p>
            <w:pPr>
              <w:pStyle w:val="Compact"/>
              <w:jc w:val="left"/>
            </w:pPr>
            <w:r>
              <w:t xml:space="preserve">Res. ENFAM n. 2/2025</w:t>
            </w:r>
          </w:p>
        </w:tc>
        <w:tc>
          <w:tcPr/>
          <w:p>
            <w:pPr>
              <w:pStyle w:val="Compact"/>
              <w:jc w:val="left"/>
            </w:pPr>
            <w:r>
              <w:t xml:space="preserve">Res. CNJ n. 643/2025</w:t>
            </w:r>
          </w:p>
        </w:tc>
      </w:tr>
      <w:tr>
        <w:tc>
          <w:tcPr/>
          <w:p>
            <w:pPr>
              <w:pStyle w:val="Compact"/>
              <w:jc w:val="left"/>
            </w:pPr>
            <w:r>
              <w:t xml:space="preserve">Rede articulada</w:t>
            </w:r>
          </w:p>
        </w:tc>
        <w:tc>
          <w:tcPr/>
          <w:p>
            <w:pPr>
              <w:pStyle w:val="Compact"/>
              <w:jc w:val="left"/>
            </w:pPr>
            <w:r>
              <w:t xml:space="preserve">RENEJUM — Res. ENFAM n. 1/2023</w:t>
            </w:r>
          </w:p>
        </w:tc>
        <w:tc>
          <w:tcPr/>
          <w:p>
            <w:pPr>
              <w:pStyle w:val="Compact"/>
              <w:jc w:val="left"/>
            </w:pPr>
            <w:r>
              <w:t xml:space="preserve">Escolas dos tribunais + portal EAD unificado</w:t>
            </w:r>
          </w:p>
        </w:tc>
      </w:tr>
    </w:tbl>
    <w:p>
      <w:pPr>
        <w:pStyle w:val="BodyText"/>
      </w:pPr>
      <w:r>
        <w:rPr>
          <w:i/>
          <w:iCs/>
        </w:rPr>
        <w:t xml:space="preserve">Fonte: elaboração própria com base em EC 45/2004, Res. ENFAM n. 2/2025 e Res. CNJ n. 643/2025.</w:t>
      </w:r>
    </w:p>
    <w:tbl>
      <w:tblPr>
        <w:tblStyle w:val="Table"/>
        <w:tblW w:type="pct" w:w="5000"/>
        <w:tblLayout w:type="fixed"/>
        <w:tblLook w:firstRow="0" w:lastRow="0" w:firstColumn="0" w:lastColumn="0" w:noHBand="0" w:noVBand="0" w:val="0000"/>
      </w:tblPr>
      <w:tblGrid>
        <w:gridCol w:w="7920"/>
      </w:tblGrid>
      <w:tr>
        <w:tc>
          <w:tcPr/>
          <w:bookmarkStart w:id="17" w:name="fig-arquitetura-dual"/>
          <w:p>
            <w:pPr>
              <w:jc w:val="center"/>
            </w:pPr>
            <w:pPr>
              <w:jc w:val="left"/>
              <w:spacing w:before="200"/>
              <w:pStyle w:val="ImageCaption"/>
            </w:pPr>
            <w:r>
              <w:t xml:space="preserve">Figura 2: Arquitetura institucional do sistema nacional de educação corporativa judicial</w:t>
            </w:r>
          </w:p>
          <w:p>
            <w:pPr>
              <w:jc w:val="center"/>
            </w:pPr>
            <w:r>
              <w:drawing>
                <wp:inline>
                  <wp:extent cx="5334000" cy="1984561"/>
                  <wp:effectExtent b="0" l="0" r="0" t="0"/>
                  <wp:docPr descr="" title="" id="15" name="Picture"/>
                  <a:graphic>
                    <a:graphicData uri="http://schemas.openxmlformats.org/drawingml/2006/picture">
                      <pic:pic>
                        <pic:nvPicPr>
                          <pic:cNvPr descr="artigo_completo_enajus_apa_files\figure-docx\mermaid-figure-2.png" id="16" name="Picture"/>
                          <pic:cNvPicPr>
                            <a:picLocks noChangeArrowheads="1" noChangeAspect="1"/>
                          </pic:cNvPicPr>
                        </pic:nvPicPr>
                        <pic:blipFill>
                          <a:blip r:embed="rId14"/>
                          <a:stretch>
                            <a:fillRect/>
                          </a:stretch>
                        </pic:blipFill>
                        <pic:spPr bwMode="auto">
                          <a:xfrm>
                            <a:off x="0" y="0"/>
                            <a:ext cx="5334000" cy="1984561"/>
                          </a:xfrm>
                          <a:prstGeom prst="rect">
                            <a:avLst/>
                          </a:prstGeom>
                          <a:noFill/>
                          <a:ln w="9525">
                            <a:noFill/>
                            <a:headEnd/>
                            <a:tailEnd/>
                          </a:ln>
                        </pic:spPr>
                      </pic:pic>
                    </a:graphicData>
                  </a:graphic>
                </wp:inline>
              </w:drawing>
            </w:r>
          </w:p>
          <w:bookmarkEnd w:id="17"/>
        </w:tc>
      </w:tr>
    </w:tbl>
    <w:p>
      <w:pPr>
        <w:pStyle w:val="BodyText"/>
      </w:pPr>
      <w:r>
        <w:rPr>
          <w:b/>
          <w:bCs/>
        </w:rPr>
        <w:t xml:space="preserve">5. IMPLICAÇÕES INSTITUCIONAIS DA ARQUITETURA ATUAL</w:t>
      </w:r>
    </w:p>
    <w:p>
      <w:pPr>
        <w:pStyle w:val="BodyText"/>
      </w:pPr>
      <w:r>
        <w:t xml:space="preserve">A arquitetura atual da educação corporativa judicial combina coordenação nacional e execução descentralizada. A ENFAM regula a formação de magistrados, a ENAJU assume a coordenação da formação de servidores e as escolas judiciais dos tribunais preservam papel central na oferta, adaptação e capilarização das ações educacionais. Essa combinação responde a uma característica estrutural do Judiciário brasileiro: a necessidade de produzir padrões mínimos nacionais sem eliminar a autonomia administrativa e a diversidade regional dos tribunais.</w:t>
      </w:r>
    </w:p>
    <w:p>
      <w:pPr>
        <w:pStyle w:val="BodyText"/>
      </w:pPr>
      <w:r>
        <w:t xml:space="preserve">Em perspectiva complementar, a experiência brasileira diferencia-se de modelos mais centralizados e de arranjos predominantemente voluntários ou cooperativos. Sua especificidade reside menos em uma excepcionalidade internacional e mais na solução institucional construída para um Judiciário federativo, com múltiplos tribunais, públicos profissionais distintos e necessidade de coordenação nacional. Essa leitura reforça o foco técnico do relatório: compreender como a criação da ENAJU consolida uma política de formação com alcance sistêmico, mas ainda dependente de governança, financiamento, avaliação e cooperação em rede.</w:t>
      </w:r>
    </w:p>
    <w:p>
      <w:pPr>
        <w:pStyle w:val="BodyText"/>
      </w:pPr>
      <w:r>
        <w:rPr>
          <w:b/>
          <w:bCs/>
        </w:rPr>
        <w:t xml:space="preserve">6. FATORES FACILITADORES E DIFICULTADORES</w:t>
      </w:r>
    </w:p>
    <w:p>
      <w:pPr>
        <w:pStyle w:val="BodyText"/>
      </w:pPr>
      <w:r>
        <w:rPr>
          <w:b/>
          <w:bCs/>
          <w:i/>
          <w:iCs/>
        </w:rPr>
        <w:t xml:space="preserve">6.1 Fatores facilitadores</w:t>
      </w:r>
    </w:p>
    <w:p>
      <w:pPr>
        <w:pStyle w:val="BodyText"/>
      </w:pPr>
      <w:r>
        <w:t xml:space="preserve">O principal fator facilitador foi a existência de uma reforma constitucional estruturante — a EC 45/2004 — que criou simultaneamente o órgão regulador (CNJ), a escola nacional de magistrados (ENFAM) e o requisito constitucional de formação. Esse tripé normativo conferiu maior estabilidade institucional ao processo, reduzindo sua dependência de agendas administrativas episódicas.</w:t>
      </w:r>
    </w:p>
    <w:p>
      <w:pPr>
        <w:pStyle w:val="BodyText"/>
      </w:pPr>
      <w:r>
        <w:t xml:space="preserve">O segundo fator foi a capacidade regulatória e de planejamento do CNJ, que a partir de 2009 desenvolveu ciclos sucessivos de planejamento estratégico nacional com metas anuais vinculantes, incorporando progressivamente a formação como indicador de desempenho institucional. A articulação entre educação corporativa e estratégia organizacional — consolidada pela Resolução CNJ n. 192/2014 — transformou a capacitação de custo em investimento estratégico mensurável.</w:t>
      </w:r>
    </w:p>
    <w:p>
      <w:pPr>
        <w:pStyle w:val="BodyText"/>
      </w:pPr>
      <w:r>
        <w:t xml:space="preserve">O terceiro fator foi o legado das escolas associativas pré-2004. Embora fragmentadas, as escolas estaduais e federais criadas antes da EC 45 constituíram competências, redes profissionais e tradições pedagógicas que foram aproveitadas pelo novo sistema. O Colégio Permanente de Diretores de Escolas Estaduais da Magistratura (Copedem) é expressão dessa continuidade: articulou as escolas estaduais durante todo o período e segue como fórum relevante de interlocução com o CNJ e a ENFAM.</w:t>
      </w:r>
    </w:p>
    <w:p>
      <w:pPr>
        <w:pStyle w:val="BodyText"/>
      </w:pPr>
      <w:r>
        <w:rPr>
          <w:b/>
          <w:bCs/>
          <w:i/>
          <w:iCs/>
        </w:rPr>
        <w:t xml:space="preserve">6.2 Fatores dificultadores</w:t>
      </w:r>
    </w:p>
    <w:p>
      <w:pPr>
        <w:pStyle w:val="BodyText"/>
      </w:pPr>
      <w:r>
        <w:t xml:space="preserve">O principal dificultador foi a heterogeneidade de capacidades institucionais entre tribunais. A distância entre as escolas bem estruturadas dos grandes tribunais e a ausência institucional em regiões menos desenvolvidas é um desafio recorrente que nenhum normativo isolado conseguiu superar. A exigência da Resolução CNJ n. 111/2010 de constituição de unidades de formação em 60 dias não garantiu capacidade operacional real nos tribunais de menor porte.</w:t>
      </w:r>
    </w:p>
    <w:p>
      <w:pPr>
        <w:pStyle w:val="BodyText"/>
      </w:pPr>
      <w:r>
        <w:t xml:space="preserve">O segundo dificultador foi a resistência à padronização em contexto de autonomia federativa. O modelo descentralizado-regulado da ENFAM pressupõe que as escolas dos tribunais sigam diretrizes nacionais, mas a cultura de autonomia institucional dos tribunais gera tensões permanentes entre uniformidade pedagógica e diversidade curricular. Esse é o ponto de maior fricção do sistema, e também o que mais demanda capacidade de negociação política do CNJ e da ENFAM.</w:t>
      </w:r>
    </w:p>
    <w:p>
      <w:pPr>
        <w:pStyle w:val="BodyText"/>
      </w:pPr>
      <w:r>
        <w:t xml:space="preserve">O terceiro dificultador foi a necessidade de financiamento específico para escolas sem tradição orçamentária própria. A Resolução CNJ n. 159/2012 foi precisamente a resposta normativa a esse obstáculo, mas sua implementação efetiva variou significativamente entre tribunais, criando assimetrias persistentes na capacidade de execução.</w:t>
      </w:r>
    </w:p>
    <w:p>
      <w:pPr>
        <w:pStyle w:val="BodyText"/>
      </w:pPr>
      <w:r>
        <w:rPr>
          <w:b/>
          <w:bCs/>
        </w:rPr>
        <w:t xml:space="preserve">7. PRODUTOS, ALCANCE, IMPACTOS POTENCIAIS E RISCOS</w:t>
      </w:r>
    </w:p>
    <w:p>
      <w:pPr>
        <w:pStyle w:val="BodyText"/>
      </w:pPr>
      <w:r>
        <w:t xml:space="preserve">Para evitar a leitura dos resultados apenas como sequência normativa, a Figura 3 sintetiza o modelo lógico da institucionalização analisada, distinguindo legado, mecanismos de coordenação, produtos, alcance, impactos potenciais e condições críticas de efetividade.</w:t>
      </w:r>
    </w:p>
    <w:tbl>
      <w:tblPr>
        <w:tblStyle w:val="Table"/>
        <w:tblW w:type="pct" w:w="5000"/>
        <w:tblLayout w:type="fixed"/>
        <w:tblLook w:firstRow="0" w:lastRow="0" w:firstColumn="0" w:lastColumn="0" w:noHBand="0" w:noVBand="0" w:val="0000"/>
      </w:tblPr>
      <w:tblGrid>
        <w:gridCol w:w="7920"/>
      </w:tblGrid>
      <w:tr>
        <w:tc>
          <w:tcPr/>
          <w:bookmarkStart w:id="21" w:name="fig-modelo-logico"/>
          <w:p>
            <w:pPr>
              <w:jc w:val="center"/>
            </w:pPr>
            <w:pPr>
              <w:jc w:val="left"/>
              <w:spacing w:before="200"/>
              <w:pStyle w:val="ImageCaption"/>
            </w:pPr>
            <w:r>
              <w:t xml:space="preserve">Figura 3: Modelo lógico da institucionalização da educação corporativa judicial</w:t>
            </w:r>
          </w:p>
          <w:p>
            <w:pPr>
              <w:pStyle w:val="Compact"/>
              <w:jc w:val="center"/>
            </w:pPr>
            <w:r>
              <w:drawing>
                <wp:inline>
                  <wp:extent cx="5334000" cy="2154115"/>
                  <wp:effectExtent b="0" l="0" r="0" t="0"/>
                  <wp:docPr descr="" title="" id="19" name="Picture"/>
                  <a:graphic>
                    <a:graphicData uri="http://schemas.openxmlformats.org/drawingml/2006/picture">
                      <pic:pic>
                        <pic:nvPicPr>
                          <pic:cNvPr descr="figuras/modelo-logico-institucionalizacao.png" id="20" name="Picture"/>
                          <pic:cNvPicPr>
                            <a:picLocks noChangeArrowheads="1" noChangeAspect="1"/>
                          </pic:cNvPicPr>
                        </pic:nvPicPr>
                        <pic:blipFill>
                          <a:blip r:embed="rId18"/>
                          <a:stretch>
                            <a:fillRect/>
                          </a:stretch>
                        </pic:blipFill>
                        <pic:spPr bwMode="auto">
                          <a:xfrm>
                            <a:off x="0" y="0"/>
                            <a:ext cx="5334000" cy="2154115"/>
                          </a:xfrm>
                          <a:prstGeom prst="rect">
                            <a:avLst/>
                          </a:prstGeom>
                          <a:noFill/>
                          <a:ln w="9525">
                            <a:noFill/>
                            <a:headEnd/>
                            <a:tailEnd/>
                          </a:ln>
                        </pic:spPr>
                      </pic:pic>
                    </a:graphicData>
                  </a:graphic>
                </wp:inline>
              </w:drawing>
            </w:r>
          </w:p>
          <w:bookmarkEnd w:id="21"/>
        </w:tc>
      </w:tr>
    </w:tbl>
    <w:p>
      <w:pPr>
        <w:pStyle w:val="BodyText"/>
      </w:pPr>
      <w:r>
        <w:t xml:space="preserve">Os dados disponíveis demonstram produtos e alcance relevantes do sistema nacional de educação corporativa judicial. O portal de EaD do CNJ — operado pelo CEAJud e herdado pela ENAJU — capacitou mais de 420 mil pessoas entre servidores e cidadãos ao longo de quinze anos de operação. A ENFAM regula cursos para aproximadamente 18 mil magistrados distribuídos por dezenas de escolas credenciadas. A RENEJUM articula em rede escolas estaduais, federais e especializadas de todo o país, reduzindo redundâncias e ampliando o alcance da formação com os mesmos recursos. Com o novo portal da ENAJU, mais de 200 capacitações de escolas judiciais de todo o Brasil estão disponíveis em plataforma unificada, ampliando o acesso ao conhecimento dentro do Judiciário (CNJ, 2025).</w:t>
      </w:r>
    </w:p>
    <w:tbl>
      <w:tblPr>
        <w:tblStyle w:val="Table"/>
        <w:tblW w:type="pct" w:w="5000"/>
        <w:tblLayout w:type="fixed"/>
        <w:tblLook w:firstRow="0" w:lastRow="0" w:firstColumn="0" w:lastColumn="0" w:noHBand="0" w:noVBand="0" w:val="0000"/>
      </w:tblPr>
      <w:tblGrid>
        <w:gridCol w:w="7920"/>
      </w:tblGrid>
      <w:tr>
        <w:tc>
          <w:tcPr/>
          <w:bookmarkStart w:id="22" w:name="tbl-produtos-alcance-impactos"/>
          <w:p>
            <w:pPr>
              <w:jc w:val="center"/>
            </w:pPr>
            <w:pPr>
              <w:jc w:val="left"/>
              <w:spacing w:before="200"/>
              <w:pStyle w:val="ImageCaption"/>
            </w:pPr>
            <w:r>
              <w:t xml:space="preserve">Tabela 2: Distinção analítica entre produtos, alcance e impactos potenciais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Nível de evidência</w:t>
                  </w:r>
                </w:p>
              </w:tc>
              <w:tc>
                <w:tcPr/>
                <w:p>
                  <w:pPr>
                    <w:pStyle w:val="Compact"/>
                    <w:jc w:val="center"/>
                  </w:pPr>
                  <w:r>
                    <w:t xml:space="preserve">Indicadores mencionados no estudo</w:t>
                  </w:r>
                </w:p>
              </w:tc>
              <w:tc>
                <w:tcPr/>
                <w:p>
                  <w:pPr>
                    <w:pStyle w:val="Compact"/>
                    <w:jc w:val="center"/>
                  </w:pPr>
                  <w:r>
                    <w:t xml:space="preserve">Leitura metodológica</w:t>
                  </w:r>
                </w:p>
              </w:tc>
            </w:tr>
            <w:tr>
              <w:tc>
                <w:tcPr/>
                <w:p>
                  <w:pPr>
                    <w:pStyle w:val="Compact"/>
                    <w:jc w:val="center"/>
                  </w:pPr>
                  <w:r>
                    <w:t xml:space="preserve">Produtos</w:t>
                  </w:r>
                </w:p>
              </w:tc>
              <w:tc>
                <w:tcPr/>
                <w:p>
                  <w:pPr>
                    <w:pStyle w:val="Compact"/>
                    <w:jc w:val="center"/>
                  </w:pPr>
                  <w:r>
                    <w:t xml:space="preserve">Portal de EaD, cursos regulados, escolas credenciadas, capacitações disponíveis em plataforma unificada</w:t>
                  </w:r>
                </w:p>
              </w:tc>
              <w:tc>
                <w:tcPr/>
                <w:p>
                  <w:pPr>
                    <w:pStyle w:val="Compact"/>
                    <w:jc w:val="center"/>
                  </w:pPr>
                  <w:r>
                    <w:t xml:space="preserve">Entregas institucionais diretamente observáveis</w:t>
                  </w:r>
                </w:p>
              </w:tc>
            </w:tr>
            <w:tr>
              <w:tc>
                <w:tcPr/>
                <w:p>
                  <w:pPr>
                    <w:pStyle w:val="Compact"/>
                    <w:jc w:val="center"/>
                  </w:pPr>
                  <w:r>
                    <w:t xml:space="preserve">Alcance</w:t>
                  </w:r>
                </w:p>
              </w:tc>
              <w:tc>
                <w:tcPr/>
                <w:p>
                  <w:pPr>
                    <w:pStyle w:val="Compact"/>
                    <w:jc w:val="center"/>
                  </w:pPr>
                  <w:r>
                    <w:t xml:space="preserve">Mais de 420 mil pessoas capacitadas, aproximadamente 18 mil magistrados abrangidos, dezenas de escolas articuladas</w:t>
                  </w:r>
                </w:p>
              </w:tc>
              <w:tc>
                <w:tcPr/>
                <w:p>
                  <w:pPr>
                    <w:pStyle w:val="Compact"/>
                    <w:jc w:val="center"/>
                  </w:pPr>
                  <w:r>
                    <w:t xml:space="preserve">Escala e capilaridade da política de formação</w:t>
                  </w:r>
                </w:p>
              </w:tc>
            </w:tr>
            <w:tr>
              <w:tc>
                <w:tcPr/>
                <w:p>
                  <w:pPr>
                    <w:pStyle w:val="Compact"/>
                    <w:jc w:val="center"/>
                  </w:pPr>
                  <w:r>
                    <w:t xml:space="preserve">Impactos potenciais</w:t>
                  </w:r>
                </w:p>
              </w:tc>
              <w:tc>
                <w:tcPr/>
                <w:p>
                  <w:pPr>
                    <w:pStyle w:val="Compact"/>
                    <w:jc w:val="center"/>
                  </w:pPr>
                  <w:r>
                    <w:t xml:space="preserve">Gestão por competências, padronização mínima, cooperação em rede e fortalecimento da governança</w:t>
                  </w:r>
                </w:p>
              </w:tc>
              <w:tc>
                <w:tcPr/>
                <w:p>
                  <w:pPr>
                    <w:pStyle w:val="Compact"/>
                    <w:jc w:val="center"/>
                  </w:pPr>
                  <w:r>
                    <w:t xml:space="preserve">Efeitos plausíveis que demandam avaliação específica para inferência causal</w:t>
                  </w:r>
                </w:p>
              </w:tc>
            </w:tr>
            <w:tr>
              <w:tc>
                <w:tcPr/>
                <w:p>
                  <w:pPr>
                    <w:pStyle w:val="Compact"/>
                    <w:jc w:val="center"/>
                  </w:pPr>
                  <w:r>
                    <w:t xml:space="preserve">Limites de mensuração</w:t>
                  </w:r>
                </w:p>
              </w:tc>
              <w:tc>
                <w:tcPr/>
                <w:p>
                  <w:pPr>
                    <w:pStyle w:val="Compact"/>
                    <w:jc w:val="center"/>
                  </w:pPr>
                  <w:r>
                    <w:t xml:space="preserve">Ausência de dados primários de avaliação de impacto</w:t>
                  </w:r>
                </w:p>
              </w:tc>
              <w:tc>
                <w:tcPr/>
                <w:p>
                  <w:pPr>
                    <w:pStyle w:val="Compact"/>
                    <w:jc w:val="center"/>
                  </w:pPr>
                  <w:r>
                    <w:t xml:space="preserve">Cautela quanto à associação entre formação e melhoria direta da prestação jurisdicional</w:t>
                  </w:r>
                </w:p>
              </w:tc>
            </w:tr>
          </w:tbl>
          <w:bookmarkEnd w:id="22"/>
          <w:p/>
        </w:tc>
      </w:tr>
    </w:tbl>
    <w:p>
      <w:pPr>
        <w:pStyle w:val="BodyText"/>
      </w:pPr>
      <w:r>
        <w:t xml:space="preserve">Os principais riscos associados à política não decorrem da ausência de oferta, mas da conversão de escala em efetividade. A ampliação de cursos e plataformas precisa ser acompanhada por critérios de qualidade pedagógica, mecanismos de avaliação, financiamento estável e estratégias para reduzir assimetrias entre tribunais.</w:t>
      </w:r>
    </w:p>
    <w:p>
      <w:pPr>
        <w:pStyle w:val="BodyText"/>
      </w:pPr>
      <w:r>
        <w:t xml:space="preserve">No plano qualitativo, a principal transformação foi a passagem do paradigma da "capacitação pontual" — treinamentos isolados sem vínculo estratégico — para a "gestão por competências" — formação articulada aos objetivos institucionais e ao planejamento estratégico. Essa mudança de paradigma, consolidada pela Resolução CNJ n. 192/2014, alterou a lógica de atuação das escolas judiciais e dos gestores de pessoas nos tribunais: de executores de demandas pontuais a formuladores de política de formação orientada por competências e resultados.</w:t>
      </w:r>
    </w:p>
    <w:p>
      <w:pPr>
        <w:pStyle w:val="BodyText"/>
      </w:pPr>
      <w:r>
        <w:t xml:space="preserve">O caso da educação corporativa judicial brasileira oferece lições replicáveis para outros poderes e esferas da administração pública. Três elementos do modelo são especialmente transferíveis: (a) a criação de um órgão central com mandato normativo explícito — o equivalente da ENAJU para o Executivo federal é a Escola Nacional de Administração Pública (ENAP), que passou por processo similar de fortalecimento; (b) a articulação entre norma nacional e rede descentralizada de execução, que preserva a autonomia institucional sem abrir mão de padrões mínimos de qualidade; e (c) o vínculo normativo entre formação e planejamento estratégico, que transforma a educação corporativa de custo administrativo em investimento de valor estratégico mensurável e avaliável.</w:t>
      </w:r>
    </w:p>
    <w:p>
      <w:pPr>
        <w:pStyle w:val="BodyText"/>
      </w:pPr>
      <w:r>
        <w:t xml:space="preserve">Para sistemas judiciários de países em desenvolvimento — especialmente na América Latina —, o modelo brasileiro oferece uma trajetória documentada de como se pode construir, em cinquenta anos, um sistema nacional de formação a partir de iniciativas voluntárias dispersas, por meio de reformas constitucionais estruturantes, capacidade regulatória centralizada e cooperação federativa induzida.</w:t>
      </w:r>
    </w:p>
    <w:p>
      <w:pPr>
        <w:pStyle w:val="BodyText"/>
      </w:pPr>
      <w:r>
        <w:rPr>
          <w:b/>
          <w:bCs/>
        </w:rPr>
        <w:t xml:space="preserve">8. CONCLUSÕES</w:t>
      </w:r>
    </w:p>
    <w:p>
      <w:pPr>
        <w:pStyle w:val="BodyText"/>
      </w:pPr>
      <w:r>
        <w:t xml:space="preserve">A trajetória analisada indica que a qualificação continuada de magistrados e servidores passou a ser tratada como componente estratégico da capacidade institucional do Judiciário. Cada norma editada ao longo desse caminho — a EC 45, as Resoluções CNJ n. 111, 126, 159, 192 e 643, as Resoluções ENFAM n. 2/2016 e 2/2025 — formalizou etapas de uma política progressivamente orientada ao desenvolvimento de pessoas e à melhoria da prestação jurisdicional.</w:t>
      </w:r>
    </w:p>
    <w:p>
      <w:pPr>
        <w:pStyle w:val="BodyText"/>
      </w:pPr>
      <w:r>
        <w:t xml:space="preserve">O modelo atual, com a ENFAM regulando a formação dos magistrados e a ENAJU coordenando a educação dos servidores, apoiado por uma rede capilar de escolas nos tribunais articuladas pela RENEJUM, representa a maturidade institucional desse processo. A arquitetura resultante combina coordenação nacional, especialização por público-alvo e execução descentralizada em rede.</w:t>
      </w:r>
    </w:p>
    <w:p>
      <w:pPr>
        <w:pStyle w:val="BodyText"/>
      </w:pPr>
      <w:r>
        <w:t xml:space="preserve">O desafio que permanece — e que a Portaria CNJ n. 362/2025 já sinalizou ao criar o grupo de trabalho para estruturar a governança da ENAJU — é consolidar essa arquitetura em uma escola nacional com estrutura robusta, financiamento adequado, projeto pedagógico consistente e capacidade de responder a um cenário judicial em transformação pela inteligência artificial e pela digitalização dos processos. A criação da ENAJU é, nesse sentido, uma etapa relevante de consolidação institucional, mas sua efetividade dependerá de governança, avaliação, inovação pedagógica e redução das assimetrias entre tribunais.</w:t>
      </w:r>
    </w:p>
    <w:p>
      <w:pPr>
        <w:pStyle w:val="BodyText"/>
      </w:pPr>
      <w:r>
        <w:t xml:space="preserve">Para a agenda de pesquisa, os achados deste trabalho apontam quatro prioridades: (a) desenvolvimento de avaliações de impacto com desenho quasi-experimental para programas de formação judicial; (b) estudos de caso comparados sobre o uso de learning analytics em escolas judiciais; (c) análise da efetividade da RENEJUM como mecanismo de redução de desigualdades formativas entre tribunais; e (d) avaliação do impacto da formação de servidores na qualidade e celeridade da prestação jurisdicional — relação ainda inexplorada empiricamente na literatura brasileira.</w:t>
      </w:r>
    </w:p>
    <w:p>
      <w:pPr>
        <w:pStyle w:val="BodyText"/>
      </w:pPr>
      <w:r>
        <w:rPr>
          <w:b/>
          <w:bCs/>
        </w:rPr>
        <w:t xml:space="preserve">REFERÊNCIAS</w:t>
      </w:r>
    </w:p>
    <w:p>
      <w:pPr>
        <w:pStyle w:val="BodyText"/>
      </w:pPr>
      <w:r>
        <w:rPr>
          <w:b/>
          <w:bCs/>
        </w:rPr>
        <w:t xml:space="preserve">Allen, M.</w:t>
      </w:r>
      <w:r>
        <w:t xml:space="preserve"> </w:t>
      </w:r>
      <w:r>
        <w:t xml:space="preserve">(Ed.). (2002).</w:t>
      </w:r>
      <w:r>
        <w:t xml:space="preserve"> </w:t>
      </w:r>
      <w:r>
        <w:rPr>
          <w:i/>
          <w:iCs/>
        </w:rPr>
        <w:t xml:space="preserve">The corporate university handbook: Designing, managing, and growing a successful program.</w:t>
      </w:r>
      <w:r>
        <w:t xml:space="preserve"> </w:t>
      </w:r>
      <w:r>
        <w:t xml:space="preserve">AMACOM.</w:t>
      </w:r>
    </w:p>
    <w:p>
      <w:pPr>
        <w:pStyle w:val="BodyText"/>
      </w:pPr>
      <w:r>
        <w:rPr>
          <w:b/>
          <w:bCs/>
        </w:rPr>
        <w:t xml:space="preserve">Bittencourt, E.</w:t>
      </w:r>
      <w:r>
        <w:t xml:space="preserve"> </w:t>
      </w:r>
      <w:r>
        <w:t xml:space="preserve">(1966).</w:t>
      </w:r>
      <w:r>
        <w:t xml:space="preserve"> </w:t>
      </w:r>
      <w:r>
        <w:rPr>
          <w:i/>
          <w:iCs/>
        </w:rPr>
        <w:t xml:space="preserve">O juiz.</w:t>
      </w:r>
      <w:r>
        <w:t xml:space="preserve"> </w:t>
      </w:r>
      <w:r>
        <w:t xml:space="preserve">Editora do Autor.</w:t>
      </w:r>
    </w:p>
    <w:p>
      <w:pPr>
        <w:pStyle w:val="BodyText"/>
      </w:pPr>
      <w:r>
        <w:rPr>
          <w:b/>
          <w:bCs/>
        </w:rPr>
        <w:t xml:space="preserve">CNJ.</w:t>
      </w:r>
      <w:r>
        <w:t xml:space="preserve"> </w:t>
      </w:r>
      <w:r>
        <w:t xml:space="preserve">(2024).</w:t>
      </w:r>
      <w:r>
        <w:t xml:space="preserve"> </w:t>
      </w:r>
      <w:r>
        <w:rPr>
          <w:i/>
          <w:iCs/>
        </w:rPr>
        <w:t xml:space="preserve">Justiça em Números 2024.</w:t>
      </w:r>
      <w:r>
        <w:t xml:space="preserve"> </w:t>
      </w:r>
      <w:r>
        <w:t xml:space="preserve">Conselho Nacional de Justiça.</w:t>
      </w:r>
    </w:p>
    <w:p>
      <w:pPr>
        <w:pStyle w:val="BodyText"/>
      </w:pPr>
      <w:r>
        <w:rPr>
          <w:b/>
          <w:bCs/>
        </w:rPr>
        <w:t xml:space="preserve">CNJ.</w:t>
      </w:r>
      <w:r>
        <w:t xml:space="preserve"> </w:t>
      </w:r>
      <w:r>
        <w:t xml:space="preserve">(2025).</w:t>
      </w:r>
      <w:r>
        <w:t xml:space="preserve"> </w:t>
      </w:r>
      <w:r>
        <w:rPr>
          <w:i/>
          <w:iCs/>
        </w:rPr>
        <w:t xml:space="preserve">Escola Nacional do Judiciário promoverá capacitação profissional em novo portal.</w:t>
      </w:r>
      <w:r>
        <w:t xml:space="preserve"> </w:t>
      </w:r>
      <w:r>
        <w:t xml:space="preserve">https://www.cnj.jus.br/escola-nacional-do-judiciario-promovera-capacitacao-profissional-em-novo-portal/</w:t>
      </w:r>
    </w:p>
    <w:p>
      <w:pPr>
        <w:pStyle w:val="BodyText"/>
      </w:pPr>
      <w:r>
        <w:rPr>
          <w:b/>
          <w:bCs/>
        </w:rPr>
        <w:t xml:space="preserve">Dutra, J. S.</w:t>
      </w:r>
      <w:r>
        <w:t xml:space="preserve"> </w:t>
      </w:r>
      <w:r>
        <w:t xml:space="preserve">(2004).</w:t>
      </w:r>
      <w:r>
        <w:t xml:space="preserve"> </w:t>
      </w:r>
      <w:r>
        <w:rPr>
          <w:i/>
          <w:iCs/>
        </w:rPr>
        <w:t xml:space="preserve">Competências: conceitos e instrumentos para a gestão de pessoas na empresa moderna.</w:t>
      </w:r>
      <w:r>
        <w:t xml:space="preserve"> </w:t>
      </w:r>
      <w:r>
        <w:t xml:space="preserve">Atlas.</w:t>
      </w:r>
    </w:p>
    <w:p>
      <w:pPr>
        <w:pStyle w:val="BodyText"/>
      </w:pPr>
      <w:r>
        <w:rPr>
          <w:b/>
          <w:bCs/>
        </w:rPr>
        <w:t xml:space="preserve">Fleury, M. T. L., &amp; Fleury, A.</w:t>
      </w:r>
      <w:r>
        <w:t xml:space="preserve"> </w:t>
      </w:r>
      <w:r>
        <w:t xml:space="preserve">(2001). Construindo o conceito de competência.</w:t>
      </w:r>
      <w:r>
        <w:t xml:space="preserve"> </w:t>
      </w:r>
      <w:r>
        <w:rPr>
          <w:i/>
          <w:iCs/>
        </w:rPr>
        <w:t xml:space="preserve">Revista de Administração Contemporânea, 5</w:t>
      </w:r>
      <w:r>
        <w:t xml:space="preserve">(spe), 183–196.</w:t>
      </w:r>
    </w:p>
    <w:p>
      <w:pPr>
        <w:pStyle w:val="BodyText"/>
      </w:pPr>
      <w:r>
        <w:rPr>
          <w:b/>
          <w:bCs/>
        </w:rPr>
        <w:t xml:space="preserve">Meister, J. C.</w:t>
      </w:r>
      <w:r>
        <w:t xml:space="preserve"> </w:t>
      </w:r>
      <w:r>
        <w:t xml:space="preserve">(1998).</w:t>
      </w:r>
      <w:r>
        <w:t xml:space="preserve"> </w:t>
      </w:r>
      <w:r>
        <w:rPr>
          <w:i/>
          <w:iCs/>
        </w:rPr>
        <w:t xml:space="preserve">Corporate universities: Lessons in building a world-class work force</w:t>
      </w:r>
      <w:r>
        <w:t xml:space="preserve"> </w:t>
      </w:r>
      <w:r>
        <w:t xml:space="preserve">(rev. ed.). McGraw-Hill.</w:t>
      </w:r>
    </w:p>
    <w:p>
      <w:pPr>
        <w:pStyle w:val="BodyText"/>
      </w:pPr>
      <w:r>
        <w:rPr>
          <w:b/>
          <w:bCs/>
        </w:rPr>
        <w:t xml:space="preserve">OCDE.</w:t>
      </w:r>
      <w:r>
        <w:t xml:space="preserve"> </w:t>
      </w:r>
      <w:r>
        <w:t xml:space="preserve">(2008).</w:t>
      </w:r>
      <w:r>
        <w:t xml:space="preserve"> </w:t>
      </w:r>
      <w:r>
        <w:rPr>
          <w:i/>
          <w:iCs/>
        </w:rPr>
        <w:t xml:space="preserve">The challenge of capacity development: Working towards good practice.</w:t>
      </w:r>
      <w:r>
        <w:t xml:space="preserve"> </w:t>
      </w:r>
      <w:r>
        <w:t xml:space="preserve">OECD Publishing.</w:t>
      </w:r>
    </w:p>
    <w:p>
      <w:pPr>
        <w:pStyle w:val="BodyText"/>
      </w:pPr>
      <w:r>
        <w:rPr>
          <w:b/>
          <w:bCs/>
        </w:rPr>
        <w:t xml:space="preserve">Pantoja, M. J., Camões, M. R. S., &amp; Bergue, S. T.</w:t>
      </w:r>
      <w:r>
        <w:t xml:space="preserve"> </w:t>
      </w:r>
      <w:r>
        <w:t xml:space="preserve">(Orgs.). (2010).</w:t>
      </w:r>
      <w:r>
        <w:t xml:space="preserve"> </w:t>
      </w:r>
      <w:r>
        <w:rPr>
          <w:i/>
          <w:iCs/>
        </w:rPr>
        <w:t xml:space="preserve">Gestão de pessoas: bases teóricas e experiências no setor público.</w:t>
      </w:r>
      <w:r>
        <w:t xml:space="preserve"> </w:t>
      </w:r>
      <w:r>
        <w:t xml:space="preserve">ENAP.</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ENAJU e Institucionalização da Educação Corporativa Judicial</dc:title>
  <dc:creator>Igor Caires Machado; Fabio Lopes Fernandes; Daniel Ribeiro Surdi Avelar; Paulo Marcus de Farias</dc:creator>
  <dc:language>pt-BR</dc:language>
  <cp:keywords/>
  <dcterms:created xsi:type="dcterms:W3CDTF">2026-05-09T21:15:39Z</dcterms:created>
  <dcterms:modified xsi:type="dcterms:W3CDTF">2026-05-09T21:15:39Z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Conselho Nacional de Justiça</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execute">
    <vt:lpwstr/>
  </property>
  <property fmtid="{D5CDD505-2E9C-101B-9397-08002B2CF9AE}" pid="7" name="fig-cap-location">
    <vt:lpwstr>top</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bl-cap-location">
    <vt:lpwstr>top</vt:lpwstr>
  </property>
  <property fmtid="{D5CDD505-2E9C-101B-9397-08002B2CF9AE}" pid="13" name="toc-title">
    <vt:lpwstr>Índice</vt:lpwstr>
  </property>
</Properties>
</file>