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line="240" w:lineRule="auto"/>
        <w:jc w:val="center"/>
      </w:pPr>
      <w:r>
        <w:rPr>
          <w:rFonts w:ascii="Times New Roman" w:cs="Times New Roman" w:eastAsia="Times New Roman" w:hAnsi="Times New Roman"/>
          <w:b/>
          <w:bCs/>
          <w:sz w:val="26"/>
          <w:szCs w:val="26"/>
        </w:rPr>
        <w:t xml:space="preserve">Do Voluntarismo ao Sistema Nacional: A Criação da ENAJU e a Consolidação da Educação Corporativa no Poder Judiciário Brasileiro</w:t>
      </w:r>
    </w:p>
    <w:p>
      <w:pPr>
        <w:spacing w:after="0" w:line="240"/>
      </w:pPr>
      <w:r>
        <w:rPr>
          <w:rFonts w:ascii="Times New Roman" w:cs="Times New Roman" w:eastAsia="Times New Roman" w:hAnsi="Times New Roman"/>
          <w:sz w:val="24"/>
          <w:szCs w:val="24"/>
        </w:rPr>
        <w:t xml:space="preserve"/>
      </w:r>
    </w:p>
    <w:p>
      <w:pPr>
        <w:spacing w:after="20" w:before="0" w:line="240" w:lineRule="auto"/>
        <w:jc w:val="center"/>
      </w:pPr>
      <w:r>
        <w:rPr>
          <w:rFonts w:ascii="Times New Roman" w:cs="Times New Roman" w:eastAsia="Times New Roman" w:hAnsi="Times New Roman"/>
          <w:b/>
          <w:bCs/>
          <w:sz w:val="24"/>
          <w:szCs w:val="24"/>
        </w:rPr>
        <w:t xml:space="preserve">Igor Caires Machado</w:t>
      </w:r>
    </w:p>
    <w:p>
      <w:pPr>
        <w:spacing w:after="20" w:before="0" w:line="240" w:lineRule="auto"/>
        <w:jc w:val="center"/>
      </w:pPr>
      <w:r>
        <w:rPr>
          <w:rFonts w:ascii="Times New Roman" w:cs="Times New Roman" w:eastAsia="Times New Roman" w:hAnsi="Times New Roman"/>
          <w:b/>
          <w:bCs/>
          <w:sz w:val="24"/>
          <w:szCs w:val="24"/>
        </w:rPr>
        <w:t xml:space="preserve">Fabio Lopes Fernandes</w:t>
      </w:r>
    </w:p>
    <w:p>
      <w:pPr>
        <w:spacing w:after="20" w:before="0" w:line="240" w:lineRule="auto"/>
        <w:jc w:val="center"/>
      </w:pPr>
      <w:r>
        <w:rPr>
          <w:rFonts w:ascii="Times New Roman" w:cs="Times New Roman" w:eastAsia="Times New Roman" w:hAnsi="Times New Roman"/>
          <w:b/>
          <w:bCs/>
          <w:sz w:val="24"/>
          <w:szCs w:val="24"/>
        </w:rPr>
        <w:t xml:space="preserve">Daniel Ribeiro Surdi Avelar</w:t>
      </w:r>
    </w:p>
    <w:p>
      <w:pPr>
        <w:spacing w:after="80" w:before="0" w:line="240" w:lineRule="auto"/>
        <w:jc w:val="center"/>
      </w:pPr>
      <w:r>
        <w:rPr>
          <w:rFonts w:ascii="Times New Roman" w:cs="Times New Roman" w:eastAsia="Times New Roman" w:hAnsi="Times New Roman"/>
          <w:b/>
          <w:bCs/>
          <w:sz w:val="24"/>
          <w:szCs w:val="24"/>
        </w:rPr>
        <w:t xml:space="preserve">Paulo Marcus de Farias</w:t>
      </w:r>
    </w:p>
    <w:p>
      <w:pPr>
        <w:spacing w:after="80" w:before="0" w:line="240" w:lineRule="auto"/>
        <w:jc w:val="center"/>
      </w:pPr>
      <w:r>
        <w:rPr>
          <w:rFonts w:ascii="Times New Roman" w:cs="Times New Roman" w:eastAsia="Times New Roman" w:hAnsi="Times New Roman"/>
          <w:i/>
          <w:iCs/>
          <w:sz w:val="24"/>
          <w:szCs w:val="24"/>
        </w:rPr>
        <w:t xml:space="preserve">Conselho Nacional de Justiça</w:t>
      </w:r>
    </w:p>
    <w:p>
      <w:pPr>
        <w:spacing w:after="200" w:before="0" w:line="240" w:lineRule="auto"/>
        <w:jc w:val="center"/>
      </w:pPr>
      <w:r>
        <w:rPr>
          <w:rFonts w:ascii="Times New Roman" w:cs="Times New Roman" w:eastAsia="Times New Roman" w:hAnsi="Times New Roman"/>
          <w:sz w:val="24"/>
          <w:szCs w:val="24"/>
        </w:rPr>
        <w:t xml:space="preserve">Eixo Temático: Formação e Desenvolvimento de Pessoas no Judiciário</w:t>
      </w:r>
    </w:p>
    <w:p>
      <w:pPr>
        <w:spacing w:after="120" w:before="240" w:line="240" w:lineRule="auto"/>
        <w:jc w:val="left"/>
      </w:pPr>
      <w:r>
        <w:rPr>
          <w:rFonts w:ascii="Times New Roman" w:cs="Times New Roman" w:eastAsia="Times New Roman" w:hAnsi="Times New Roman"/>
          <w:b/>
          <w:bCs/>
          <w:sz w:val="24"/>
          <w:szCs w:val="24"/>
        </w:rPr>
        <w:t xml:space="preserve">Resumo</w:t>
      </w:r>
    </w:p>
    <w:p>
      <w:pPr>
        <w:spacing w:after="80" w:before="0" w:line="240" w:lineRule="auto"/>
        <w:jc w:val="both"/>
      </w:pPr>
      <w:r>
        <w:rPr>
          <w:rFonts w:ascii="Times New Roman" w:cs="Times New Roman" w:eastAsia="Times New Roman" w:hAnsi="Times New Roman"/>
          <w:sz w:val="24"/>
          <w:szCs w:val="24"/>
        </w:rPr>
        <w:t xml:space="preserve">Este relatório técnico reconstrói a trajetória de institucionalização da educação corporativa no Poder Judiciário brasileiro, do voluntarismo associativo dos anos 1970 à criação da Escola Nacional do Judiciário (ENAJU) pela Resolução CNJ n. 643/2025. A análise histórico-documental identifica cinco fases: era pré-institucional (1977–2003), constitucionalização com a EC 45/2004 e a ENFAM (2004–2008), expansão para servidores com o CEAJud (2009–2011), consolidação normativa com as Resoluções CNJ n. 159/2012 e 192/2014 (2012–2024), e maturidade sistêmica com a ENAJU (2025). Em perspectiva comparada com cinco sistemas internacionais — França (ENM), EUA (FJC), União Europeia (EJTN), Reino Unido (Judicial College) e América Latina —, o modelo brasileiro distingue-se pela combinação única de ancoragem constitucional, arquitetura dual-regulada (ENFAM para magistrados; ENAJU para servidores) e cooperação em rede via RENEJUM. Os resultados indicam que os principais fatores de sucesso foram a reforma constitucional estruturante de 2004, a capacidade regulatória do CNJ e o alinhamento entre formação e planejamento estratégico. Como impactos mensuráveis destacam-se: mais de 420 mil pessoas capacitadas pela plataforma EAD do CNJ, regulação de cursos para 18 mil magistrados e articulação de dezenas de escolas credenciadas. O caso oferece lições replicáveis para outros poderes e esferas da administração pública, especialmente quanto à articulação entre norma constitucional, órgão regulador central e rede descentralizada de execução como modelo de governança para políticas de formação em organizações complexas.</w:t>
      </w:r>
    </w:p>
    <w:p>
      <w:pPr>
        <w:spacing w:after="200" w:before="0" w:line="240" w:lineRule="auto"/>
        <w:jc w:val="left"/>
      </w:pPr>
      <w:r>
        <w:rPr>
          <w:rFonts w:ascii="Times New Roman" w:cs="Times New Roman" w:eastAsia="Times New Roman" w:hAnsi="Times New Roman"/>
          <w:b/>
          <w:bCs/>
          <w:sz w:val="24"/>
          <w:szCs w:val="24"/>
        </w:rPr>
        <w:t xml:space="preserve">Palavras-chave: </w:t>
      </w:r>
      <w:r>
        <w:rPr>
          <w:rFonts w:ascii="Times New Roman" w:cs="Times New Roman" w:eastAsia="Times New Roman" w:hAnsi="Times New Roman"/>
          <w:sz w:val="24"/>
          <w:szCs w:val="24"/>
        </w:rPr>
        <w:t xml:space="preserve">educação corporativa judicial; ENAJU; institucionalização; formação de servidores; gestão por competências.</w:t>
      </w:r>
    </w:p>
    <w:p>
      <w:pPr>
        <w:spacing w:after="120" w:before="240" w:line="240" w:lineRule="auto"/>
        <w:jc w:val="left"/>
      </w:pPr>
      <w:r>
        <w:rPr>
          <w:rFonts w:ascii="Times New Roman" w:cs="Times New Roman" w:eastAsia="Times New Roman" w:hAnsi="Times New Roman"/>
          <w:b/>
          <w:bCs/>
          <w:sz w:val="24"/>
          <w:szCs w:val="24"/>
        </w:rPr>
        <w:t xml:space="preserve">Abstract</w:t>
      </w:r>
    </w:p>
    <w:p>
      <w:pPr>
        <w:spacing w:after="80" w:before="0" w:line="240" w:lineRule="auto"/>
        <w:jc w:val="both"/>
      </w:pPr>
      <w:r>
        <w:rPr>
          <w:rFonts w:ascii="Times New Roman" w:cs="Times New Roman" w:eastAsia="Times New Roman" w:hAnsi="Times New Roman"/>
          <w:sz w:val="24"/>
          <w:szCs w:val="24"/>
        </w:rPr>
        <w:t xml:space="preserve">This technical report reconstructs the trajectory of institutionalization of corporate education in the Brazilian Judiciary, from the associative voluntarism of the 1970s to the creation of the National School of the Judiciary (ENAJU) by CNJ Resolution n. 643/2025. The historical-documentary analysis identifies five phases: pre-institutional era (1977–2003), constitutionalization with EC 45/2004 and ENFAM (2004–2008), expansion to civil servants with CEAJud (2009–2011), normative consolidation with CNJ Resolutions n. 159/2012 and 192/2014 (2012–2024), and systemic maturity with ENAJU (2025). In comparative perspective with five international systems, the Brazilian model stands out for its unique combination of constitutional anchorage, dual-regulated architecture, and network cooperation via RENEJUM. Measurable impacts include over 420,000 people trained through the CNJ's distance learning platform and regulation of courses for 18,000 magistrates.</w:t>
      </w:r>
    </w:p>
    <w:p>
      <w:pPr>
        <w:spacing w:after="300" w:before="0" w:line="240" w:lineRule="auto"/>
        <w:jc w:val="left"/>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sz w:val="24"/>
          <w:szCs w:val="24"/>
        </w:rPr>
        <w:t xml:space="preserve">judicial corporate education; ENAJU; institutionalization; civil servant training; competency-based management.</w:t>
      </w:r>
    </w:p>
    <w:p>
      <w:pPr>
        <w:spacing w:after="200" w:before="300" w:line="240" w:lineRule="auto"/>
        <w:jc w:val="center"/>
      </w:pPr>
      <w:r>
        <w:rPr>
          <w:rFonts w:ascii="Times New Roman" w:cs="Times New Roman" w:eastAsia="Times New Roman" w:hAnsi="Times New Roman"/>
          <w:b/>
          <w:bCs/>
          <w:sz w:val="24"/>
          <w:szCs w:val="24"/>
        </w:rPr>
        <w:t xml:space="preserve">1. INTRODUÇÃO</w:t>
      </w:r>
    </w:p>
    <w:p>
      <w:pPr>
        <w:spacing w:after="120" w:before="0" w:line="240" w:lineRule="auto"/>
        <w:jc w:val="both"/>
      </w:pPr>
      <w:r>
        <w:rPr>
          <w:rFonts w:ascii="Times New Roman" w:cs="Times New Roman" w:eastAsia="Times New Roman" w:hAnsi="Times New Roman"/>
          <w:sz w:val="24"/>
          <w:szCs w:val="24"/>
        </w:rPr>
        <w:t xml:space="preserve">O Poder Judiciário brasileiro emprega cerca de 300 mil servidores e 18 mil magistrados distribuídos por mais de 90 tribunais em todas as unidades da federação (CNJ, 2024). Gerir o desenvolvimento profissional desse contingente — com a heterogeneidade de competências, a capilaridade territorial e a complexidade funcional inerentes à prestação jurisdicional — constitui um dos desafios mais sofisticados da administração pública nacional.</w:t>
      </w:r>
    </w:p>
    <w:p>
      <w:pPr>
        <w:spacing w:after="120" w:before="0" w:line="240" w:lineRule="auto"/>
        <w:jc w:val="both"/>
      </w:pPr>
      <w:r>
        <w:rPr>
          <w:rFonts w:ascii="Times New Roman" w:cs="Times New Roman" w:eastAsia="Times New Roman" w:hAnsi="Times New Roman"/>
          <w:sz w:val="24"/>
          <w:szCs w:val="24"/>
        </w:rPr>
        <w:t xml:space="preserve">Este relatório técnico reconstrói a trajetória institucional da educação corporativa no Poder Judiciário brasileiro, desde as primeiras escolas de magistratura do voluntarismo associativo dos anos 1970 até a criação da Escola Nacional do Judiciário (ENAJU) em 2025. O recorte analítico privilegia o processo de institucionalização — entendida como o movimento pelo qual práticas informais e iniciativas fragmentadas se convertem em estruturas duráveis, dotadas de normas, recursos e legitimidade (Selznick, 1957; North, 1990) — e situa o caso brasileiro em perspectiva comparada internacional.</w:t>
      </w:r>
    </w:p>
    <w:p>
      <w:pPr>
        <w:spacing w:after="120" w:before="0" w:line="240" w:lineRule="auto"/>
        <w:jc w:val="both"/>
      </w:pPr>
      <w:r>
        <w:rPr>
          <w:rFonts w:ascii="Times New Roman" w:cs="Times New Roman" w:eastAsia="Times New Roman" w:hAnsi="Times New Roman"/>
          <w:sz w:val="24"/>
          <w:szCs w:val="24"/>
        </w:rPr>
        <w:t xml:space="preserve">A hipótese estruturante do trabalho é que a educação corporativa judicial brasileira percorreu um caminho de path dependence com dois critical junctures (Mahoney &amp; Thelen, 2010): o primeiro, representado pela Emenda Constitucional n. 45/2004, que constitucionalizou a formação como requisito de carreira e criou o CNJ e a ENFAM; o segundo, representado pela Resolução CNJ n. 643/2025, que transformou o CEAJud na ENAJU e completou a arquitetura dual do sistema nacional. Entre esses dois pontos de ruptura, um denso ciclo normativo — composto pelas Resoluções CNJ n. 111/2010, 126/2011, 159/2012 e 192/2014 e pela Resolução ENFAM n. 1/2023 — sedimentou progressivamente a política de formação como política de Estado, e não como iniciativa voluntária de gestores iluminados.</w:t>
      </w:r>
    </w:p>
    <w:p>
      <w:pPr>
        <w:spacing w:after="120" w:before="0" w:line="240" w:lineRule="auto"/>
        <w:jc w:val="both"/>
      </w:pPr>
      <w:r>
        <w:rPr>
          <w:rFonts w:ascii="Times New Roman" w:cs="Times New Roman" w:eastAsia="Times New Roman" w:hAnsi="Times New Roman"/>
          <w:sz w:val="24"/>
          <w:szCs w:val="24"/>
        </w:rPr>
        <w:t xml:space="preserve">A relevância deste estudo reside em três contribuições: (a) sistematiza, com base documental robusta, uma trajetória institucional de cinquenta anos raramente tratada de forma integrada na literatura; (b) situa o caso brasileiro em benchmarking com cinco sistemas internacionais, identificando especificidades e convergências; e (c) oferece aos gestores e pesquisadores da área um modelo analítico replicável para diagnóstico de maturidade institucional em outras esferas da administração pública.</w:t>
      </w:r>
    </w:p>
    <w:p>
      <w:pPr>
        <w:spacing w:after="200" w:before="300" w:line="240" w:lineRule="auto"/>
        <w:jc w:val="center"/>
      </w:pPr>
      <w:r>
        <w:rPr>
          <w:rFonts w:ascii="Times New Roman" w:cs="Times New Roman" w:eastAsia="Times New Roman" w:hAnsi="Times New Roman"/>
          <w:b/>
          <w:bCs/>
          <w:sz w:val="24"/>
          <w:szCs w:val="24"/>
        </w:rPr>
        <w:t xml:space="preserve">2. REFERENCIAL TEÓRICO</w:t>
      </w:r>
    </w:p>
    <w:p>
      <w:pPr>
        <w:spacing w:after="80" w:before="180" w:line="240" w:lineRule="auto"/>
        <w:jc w:val="left"/>
      </w:pPr>
      <w:r>
        <w:rPr>
          <w:rFonts w:ascii="Times New Roman" w:cs="Times New Roman" w:eastAsia="Times New Roman" w:hAnsi="Times New Roman"/>
          <w:b/>
          <w:bCs/>
          <w:i/>
          <w:iCs/>
          <w:sz w:val="24"/>
          <w:szCs w:val="24"/>
        </w:rPr>
        <w:t xml:space="preserve">2.1 Institucionalização e path dependence</w:t>
      </w:r>
    </w:p>
    <w:p>
      <w:pPr>
        <w:spacing w:after="120" w:before="0" w:line="240" w:lineRule="auto"/>
        <w:jc w:val="both"/>
      </w:pPr>
      <w:r>
        <w:rPr>
          <w:rFonts w:ascii="Times New Roman" w:cs="Times New Roman" w:eastAsia="Times New Roman" w:hAnsi="Times New Roman"/>
          <w:sz w:val="24"/>
          <w:szCs w:val="24"/>
        </w:rPr>
        <w:t xml:space="preserve">A teoria neo-institucionalista fornece o principal arcabouço para compreender a trajetória aqui analisada. Para Selznick (1957), institucionalização é o processo pelo qual uma organização transcende sua condição de instrumento técnico e adquire valor intrínseco, tornando-se depositária de missão, identidade e legitimidade social. North (1990) amplia essa perspectiva ao enfatizar o papel das instituições como "regras do jogo" que reduzem incertezas e estruturam incentivos para organizações e indivíduos.</w:t>
      </w:r>
    </w:p>
    <w:p>
      <w:pPr>
        <w:spacing w:after="120" w:before="0" w:line="240" w:lineRule="auto"/>
        <w:jc w:val="both"/>
      </w:pPr>
      <w:r>
        <w:rPr>
          <w:rFonts w:ascii="Times New Roman" w:cs="Times New Roman" w:eastAsia="Times New Roman" w:hAnsi="Times New Roman"/>
          <w:sz w:val="24"/>
          <w:szCs w:val="24"/>
        </w:rPr>
        <w:t xml:space="preserve">O conceito de </w:t>
      </w:r>
      <w:r>
        <w:rPr>
          <w:rFonts w:ascii="Times New Roman" w:cs="Times New Roman" w:eastAsia="Times New Roman" w:hAnsi="Times New Roman"/>
          <w:i/>
          <w:iCs/>
          <w:sz w:val="24"/>
          <w:szCs w:val="24"/>
        </w:rPr>
        <w:t xml:space="preserve">path dependence</w:t>
      </w:r>
      <w:r>
        <w:rPr>
          <w:rFonts w:ascii="Times New Roman" w:cs="Times New Roman" w:eastAsia="Times New Roman" w:hAnsi="Times New Roman"/>
          <w:sz w:val="24"/>
          <w:szCs w:val="24"/>
        </w:rPr>
        <w:t xml:space="preserve"> — dependência de trajetória — explica por que escolhas feitas em momentos anteriores constrangem opções futuras e por que reformas institucionais raramente partem do zero (Pierson, 2004). No caso da educação corporativa judicial brasileira, o legado das escolas associativas dos anos 1970–1980 criou competências, redes e expectativas que moldaram — sem determinar — o desenho das instituições nacionais criadas após 2004. Os </w:t>
      </w:r>
      <w:r>
        <w:rPr>
          <w:rFonts w:ascii="Times New Roman" w:cs="Times New Roman" w:eastAsia="Times New Roman" w:hAnsi="Times New Roman"/>
          <w:i/>
          <w:iCs/>
          <w:sz w:val="24"/>
          <w:szCs w:val="24"/>
        </w:rPr>
        <w:t xml:space="preserve">critical junctures</w:t>
      </w:r>
      <w:r>
        <w:rPr>
          <w:rFonts w:ascii="Times New Roman" w:cs="Times New Roman" w:eastAsia="Times New Roman" w:hAnsi="Times New Roman"/>
          <w:sz w:val="24"/>
          <w:szCs w:val="24"/>
        </w:rPr>
        <w:t xml:space="preserve"> são os momentos em que essa dependência é quebrada ou redirecionada por escolhas deliberadas de atores políticos (Mahoney &amp; Thelen, 2010).</w:t>
      </w:r>
    </w:p>
    <w:p>
      <w:pPr>
        <w:spacing w:after="80" w:before="180" w:line="240" w:lineRule="auto"/>
        <w:jc w:val="left"/>
      </w:pPr>
      <w:r>
        <w:rPr>
          <w:rFonts w:ascii="Times New Roman" w:cs="Times New Roman" w:eastAsia="Times New Roman" w:hAnsi="Times New Roman"/>
          <w:b/>
          <w:bCs/>
          <w:i/>
          <w:iCs/>
          <w:sz w:val="24"/>
          <w:szCs w:val="24"/>
        </w:rPr>
        <w:t xml:space="preserve">2.2 Educação corporativa e gestão por competências no setor público</w:t>
      </w:r>
    </w:p>
    <w:p>
      <w:pPr>
        <w:spacing w:after="120" w:before="0" w:line="240" w:lineRule="auto"/>
        <w:jc w:val="both"/>
      </w:pPr>
      <w:r>
        <w:rPr>
          <w:rFonts w:ascii="Times New Roman" w:cs="Times New Roman" w:eastAsia="Times New Roman" w:hAnsi="Times New Roman"/>
          <w:sz w:val="24"/>
          <w:szCs w:val="24"/>
        </w:rPr>
        <w:t xml:space="preserve">O conceito de universidade corporativa emergiu como resposta às limitações dos modelos tradicionais de treinamento, propondo o alinhamento da formação às estratégias organizacionais e a integração de competências técnicas, comportamentais e éticas em estruturas permanentes de aprendizagem (Meister, 1998; Allen, 2002). No setor público, esse modelo dialoga com a tradição do </w:t>
      </w:r>
      <w:r>
        <w:rPr>
          <w:rFonts w:ascii="Times New Roman" w:cs="Times New Roman" w:eastAsia="Times New Roman" w:hAnsi="Times New Roman"/>
          <w:i/>
          <w:iCs/>
          <w:sz w:val="24"/>
          <w:szCs w:val="24"/>
        </w:rPr>
        <w:t xml:space="preserve">capacity development</w:t>
      </w:r>
      <w:r>
        <w:rPr>
          <w:rFonts w:ascii="Times New Roman" w:cs="Times New Roman" w:eastAsia="Times New Roman" w:hAnsi="Times New Roman"/>
          <w:sz w:val="24"/>
          <w:szCs w:val="24"/>
        </w:rPr>
        <w:t xml:space="preserve"> — desenvolvimento de capacidades —, que distingue três níveis interdependentes: individual (servidores), organizacional (agências) e sistêmico (políticas e instituições) (OCDE, 2008).</w:t>
      </w:r>
    </w:p>
    <w:p>
      <w:pPr>
        <w:spacing w:after="120" w:before="0" w:line="240" w:lineRule="auto"/>
        <w:jc w:val="both"/>
      </w:pPr>
      <w:r>
        <w:rPr>
          <w:rFonts w:ascii="Times New Roman" w:cs="Times New Roman" w:eastAsia="Times New Roman" w:hAnsi="Times New Roman"/>
          <w:sz w:val="24"/>
          <w:szCs w:val="24"/>
        </w:rPr>
        <w:t xml:space="preserve">A gestão por competências (GPC), adotada como paradigma pela Resolução CNJ n. 192/2014, representa a síntese operacional desses referenciais no contexto judicial: pressupõe que a identificação, o desenvolvimento e a avaliação de competências devem estar explicitamente articulados com os objetivos estratégicos da organização e com as demandas da prestação jurisdicional (Fleury &amp; Fleury, 2001). A andragogia — teoria da aprendizagem de adultos — fundamenta as diretrizes pedagógicas da ENFAM e da ENAJU ao valorizar a experiência prévia, a orientação para problemas reais e a autonomia do aprendente (Knowles, 1980).</w:t>
      </w:r>
    </w:p>
    <w:p>
      <w:pPr>
        <w:spacing w:after="80" w:before="180" w:line="240" w:lineRule="auto"/>
        <w:jc w:val="left"/>
      </w:pPr>
      <w:r>
        <w:rPr>
          <w:rFonts w:ascii="Times New Roman" w:cs="Times New Roman" w:eastAsia="Times New Roman" w:hAnsi="Times New Roman"/>
          <w:b/>
          <w:bCs/>
          <w:i/>
          <w:iCs/>
          <w:sz w:val="24"/>
          <w:szCs w:val="24"/>
        </w:rPr>
        <w:t xml:space="preserve">2.3 Educação judicial comparada</w:t>
      </w:r>
    </w:p>
    <w:p>
      <w:pPr>
        <w:spacing w:after="120" w:before="0" w:line="240" w:lineRule="auto"/>
        <w:jc w:val="both"/>
      </w:pPr>
      <w:r>
        <w:rPr>
          <w:rFonts w:ascii="Times New Roman" w:cs="Times New Roman" w:eastAsia="Times New Roman" w:hAnsi="Times New Roman"/>
          <w:sz w:val="24"/>
          <w:szCs w:val="24"/>
        </w:rPr>
        <w:t xml:space="preserve">A formação de magistrados e servidores do Judiciário constitui subcampo específico, articulado à independência judicial, ao estado de direito e à qualidade da prestação jurisdicional (Geyh, 2006; Piana, 2010). Organismos internacionais como a International Organization for Judicial Training (IOJT) e a European Judicial Training Network (EJTN) têm promovido a sistematização de práticas comparadas, identificando que os sistemas nacionais variam em ao menos quatro dimensões: grau de centralização, vinculação à carreira, cobertura (magistrados versus servidores) e modelo de financiamento (IOJT, 2022). Esse campo, ainda incipiente na produção acadêmica global, apresenta crescimento acelerado a partir de 2010, com a educação judiciária representando parcela modesta — porém estratégica — da literatura sobre educação corporativa pública (Machado et al., 2026).</w:t>
      </w:r>
    </w:p>
    <w:p>
      <w:pPr>
        <w:spacing w:after="200" w:before="300" w:line="240" w:lineRule="auto"/>
        <w:jc w:val="center"/>
      </w:pPr>
      <w:r>
        <w:rPr>
          <w:rFonts w:ascii="Times New Roman" w:cs="Times New Roman" w:eastAsia="Times New Roman" w:hAnsi="Times New Roman"/>
          <w:b/>
          <w:bCs/>
          <w:sz w:val="24"/>
          <w:szCs w:val="24"/>
        </w:rPr>
        <w:t xml:space="preserve">3. METODOLOGIA</w:t>
      </w:r>
    </w:p>
    <w:p>
      <w:pPr>
        <w:spacing w:after="120" w:before="0" w:line="240" w:lineRule="auto"/>
        <w:jc w:val="both"/>
      </w:pPr>
      <w:r>
        <w:rPr>
          <w:rFonts w:ascii="Times New Roman" w:cs="Times New Roman" w:eastAsia="Times New Roman" w:hAnsi="Times New Roman"/>
          <w:sz w:val="24"/>
          <w:szCs w:val="24"/>
        </w:rPr>
        <w:t xml:space="preserve">Esta pesquisa adota o delineamento histórico-documental com análise institucional (neo-institucionalismo histórico). O corpus primário é composto por 14 documentos normativos federais — emenda constitucional, resoluções do CNJ e da ENFAM e instrução normativa — selecionados por relevância direta para o processo de institucionalização da educação corporativa judicial entre 1977 e 2025. O corpus secundário inclui literatura científica coletada nas bases SciELO e OpenAlex, documentos institucionais do CNJ, da ENFAM e da ENAJU, e relatórios de organismos internacionais (IOJT, EJTN, OCDE).</w:t>
      </w:r>
    </w:p>
    <w:p>
      <w:pPr>
        <w:spacing w:after="120" w:before="0" w:line="240" w:lineRule="auto"/>
        <w:jc w:val="both"/>
      </w:pPr>
      <w:r>
        <w:rPr>
          <w:rFonts w:ascii="Times New Roman" w:cs="Times New Roman" w:eastAsia="Times New Roman" w:hAnsi="Times New Roman"/>
          <w:sz w:val="24"/>
          <w:szCs w:val="24"/>
        </w:rPr>
        <w:t xml:space="preserve">A análise segue três etapas: (1) periodização em fases com base nos marcos institucionais identificados; (2) análise de conteúdo temática dos normativos, com categorias dedutivo-indutivas derivadas do referencial neo-institucionalista — especialmente os conceitos de critical junctures, path dependence e isomorfismo institucional; e (3) benchmarking internacional com cinco sistemas selecionados por critérios de relevância comparada (maturidade institucional, diversidade de modelos e disponibilidade de dados).</w:t>
      </w:r>
    </w:p>
    <w:p>
      <w:pPr>
        <w:spacing w:after="120" w:before="0" w:line="240" w:lineRule="auto"/>
        <w:jc w:val="both"/>
      </w:pPr>
      <w:r>
        <w:rPr>
          <w:rFonts w:ascii="Times New Roman" w:cs="Times New Roman" w:eastAsia="Times New Roman" w:hAnsi="Times New Roman"/>
          <w:sz w:val="24"/>
          <w:szCs w:val="24"/>
        </w:rPr>
        <w:t xml:space="preserve">A validade interna é assegurada pela triangulação entre fontes normativas, literatura científica e dados administrativos do CNJ. Trata-se de pesquisa qualitativa de natureza descritivo-analítica, compatível com a modalidade de relatório técnico do EnAJUS e com os padrões da administração pública comparada. As limitações incluem a ausência de dados primários de avaliação de impacto e a assimetria de informações entre os sistemas internacionais comparados.</w:t>
      </w:r>
    </w:p>
    <w:p>
      <w:pPr>
        <w:spacing w:after="200" w:before="300" w:line="240" w:lineRule="auto"/>
        <w:jc w:val="center"/>
      </w:pPr>
      <w:r>
        <w:rPr>
          <w:rFonts w:ascii="Times New Roman" w:cs="Times New Roman" w:eastAsia="Times New Roman" w:hAnsi="Times New Roman"/>
          <w:b/>
          <w:bCs/>
          <w:sz w:val="24"/>
          <w:szCs w:val="24"/>
        </w:rPr>
        <w:t xml:space="preserve">4. RESULTADOS: AS CINCO FASES DA INSTITUCIONALIZAÇÃO</w:t>
      </w:r>
    </w:p>
    <w:p>
      <w:pPr>
        <w:spacing w:after="120" w:before="240" w:line="240" w:lineRule="auto"/>
        <w:jc w:val="left"/>
      </w:pPr>
      <w:r>
        <w:rPr>
          <w:rFonts w:ascii="Times New Roman" w:cs="Times New Roman" w:eastAsia="Times New Roman" w:hAnsi="Times New Roman"/>
          <w:b/>
          <w:bCs/>
          <w:sz w:val="24"/>
          <w:szCs w:val="24"/>
        </w:rPr>
        <w:t xml:space="preserve">4.1 Fase 1 — Era Pré-Institucional (1977–2003): o voluntarismo como semente</w:t>
      </w:r>
    </w:p>
    <w:p>
      <w:pPr>
        <w:spacing w:after="120" w:before="0" w:line="240" w:lineRule="auto"/>
        <w:jc w:val="both"/>
      </w:pPr>
      <w:r>
        <w:rPr>
          <w:rFonts w:ascii="Times New Roman" w:cs="Times New Roman" w:eastAsia="Times New Roman" w:hAnsi="Times New Roman"/>
          <w:sz w:val="24"/>
          <w:szCs w:val="24"/>
        </w:rPr>
        <w:t xml:space="preserve">A história da educação no Poder Judiciário brasileiro não começa com qualquer resolução federal. Ela começa nas décadas de 1970 e 1980, quando magistrados mobilizados pelo ideal de qualificação intelectual fundaram, no âmbito dos próprios Tribunais de Justiça estaduais, as primeiras escolas da magistratura. A obra pioneira do Desembargador Bittencourt, "O Juiz" (1966), é considerada o marco intelectual que introduziu no Brasil a discussão sobre a necessidade de escolas específicas para o preparo de magistrados, defendendo que os tribunais deveriam exigir frequência a cursos como requisito para o início do trabalho na vara — ideia revolucionária para a época.</w:t>
      </w:r>
    </w:p>
    <w:p>
      <w:pPr>
        <w:spacing w:after="120" w:before="0" w:line="240" w:lineRule="auto"/>
        <w:jc w:val="both"/>
      </w:pPr>
      <w:r>
        <w:rPr>
          <w:rFonts w:ascii="Times New Roman" w:cs="Times New Roman" w:eastAsia="Times New Roman" w:hAnsi="Times New Roman"/>
          <w:sz w:val="24"/>
          <w:szCs w:val="24"/>
        </w:rPr>
        <w:t xml:space="preserve">A Escola Judicial Desembargador Edésio Fernandes, criada pelo Tribunal de Justiça de Minas Gerais em 1977, é considerada a pioneira nacional. Ao longo das décadas seguintes, o movimento se expandiu de forma orgânica e descentralizada: o Rio Grande do Sul criou a Escola da Associação dos Juízes do Rio Grande do Sul (AJURIS), que se tornou referência pedagógica nacional; outros estados seguiram trajetórias similares. No plano federal, o Conselho da Justiça Federal criou o Centro de Estudos Judiciários (CEJ), e os Tribunais Regionais Federais foram fundando suas próprias escolas — a ESMAF (1ª Região), a EMARF (2ª Região), a EMAG (3ª Região) e a EMAGIS (4ª Região). Na Justiça do Trabalho, as escolas dos Tribunais Regionais do Trabalho percorreram caminho semelhante.</w:t>
      </w:r>
    </w:p>
    <w:p>
      <w:pPr>
        <w:spacing w:after="120" w:before="0" w:line="240" w:lineRule="auto"/>
        <w:jc w:val="both"/>
      </w:pPr>
      <w:r>
        <w:rPr>
          <w:rFonts w:ascii="Times New Roman" w:cs="Times New Roman" w:eastAsia="Times New Roman" w:hAnsi="Times New Roman"/>
          <w:sz w:val="24"/>
          <w:szCs w:val="24"/>
        </w:rPr>
        <w:t xml:space="preserve">Esse processo espontâneo demonstrava consciência coletiva sobre a necessidade de formação contínua, mas sem uma política nacional coordenada o resultado era inevitavelmente desigual: escolas bem estruturadas nos grandes centros coexistiam com ausência institucional em regiões mais vulneráveis. A formação era um projeto de alguns tribunais iluminados, não uma política de Estado; e seu foco era exclusivamente nos magistrados — a formação dos servidores estava completamente ausente da agenda. Esta fase configura o que Mahoney e Thelen (2010) denominam "legado institucional de sedimentação": camadas sucessivas de iniciativas que, sem coordenação central, criam trajetórias diferenciadas com potencial de lock-in.</w:t>
      </w:r>
    </w:p>
    <w:p>
      <w:pPr>
        <w:spacing w:after="120" w:before="240" w:line="240" w:lineRule="auto"/>
        <w:jc w:val="left"/>
      </w:pPr>
      <w:r>
        <w:rPr>
          <w:rFonts w:ascii="Times New Roman" w:cs="Times New Roman" w:eastAsia="Times New Roman" w:hAnsi="Times New Roman"/>
          <w:b/>
          <w:bCs/>
          <w:sz w:val="24"/>
          <w:szCs w:val="24"/>
        </w:rPr>
        <w:t xml:space="preserve">4.2 Fase 2 — Constitucionalização (2004–2008): a ruptura de paradigma</w:t>
      </w:r>
    </w:p>
    <w:p>
      <w:pPr>
        <w:spacing w:after="120" w:before="0" w:line="240" w:lineRule="auto"/>
        <w:jc w:val="both"/>
      </w:pPr>
      <w:r>
        <w:rPr>
          <w:rFonts w:ascii="Times New Roman" w:cs="Times New Roman" w:eastAsia="Times New Roman" w:hAnsi="Times New Roman"/>
          <w:sz w:val="24"/>
          <w:szCs w:val="24"/>
        </w:rPr>
        <w:t xml:space="preserve">A virada histórica veio com a Emenda Constitucional n. 45, promulgada em 8 de dezembro de 2004, fruto de mais de uma década de debates sobre a chamada "Reforma do Judiciário". Para a educação corporativa judicial, a EC 45 operou três transformações fundamentais que configuram o primeiro </w:t>
      </w:r>
      <w:r>
        <w:rPr>
          <w:rFonts w:ascii="Times New Roman" w:cs="Times New Roman" w:eastAsia="Times New Roman" w:hAnsi="Times New Roman"/>
          <w:i/>
          <w:iCs/>
          <w:sz w:val="24"/>
          <w:szCs w:val="24"/>
        </w:rPr>
        <w:t xml:space="preserve">critical juncture</w:t>
      </w:r>
      <w:r>
        <w:rPr>
          <w:rFonts w:ascii="Times New Roman" w:cs="Times New Roman" w:eastAsia="Times New Roman" w:hAnsi="Times New Roman"/>
          <w:sz w:val="24"/>
          <w:szCs w:val="24"/>
        </w:rPr>
        <w:t xml:space="preserve"> da trajetória.</w:t>
      </w:r>
    </w:p>
    <w:p>
      <w:pPr>
        <w:spacing w:after="120" w:before="0" w:line="240" w:lineRule="auto"/>
        <w:jc w:val="both"/>
      </w:pPr>
      <w:r>
        <w:rPr>
          <w:rFonts w:ascii="Times New Roman" w:cs="Times New Roman" w:eastAsia="Times New Roman" w:hAnsi="Times New Roman"/>
          <w:sz w:val="24"/>
          <w:szCs w:val="24"/>
        </w:rPr>
        <w:t xml:space="preserve">Primeira: instituiu o Conselho Nacional de Justiça (CNJ) como órgão de controle da atuação administrativa e financeira do Poder Judiciário, dotando o sistema de um ente com capacidade de formular políticas nacionais vinculantes para todos os tribunais. Segunda: alterou o art. 93 da Constituição Federal, que passou a exigir que a promoção por merecimento pressupusesse "frequência e aproveitamento em cursos reconhecidos por escola judicial ou de aperfeiçoamento" — elevando a formação continuada a dever constitucional, e não mais iniciativa voluntária. Terceira: criou a Escola Nacional de Formação e Aperfeiçoamento de Magistrados (ENFAM), vinculada ao Superior Tribunal de Justiça, com missão de regulamentar, autorizar e fiscalizar os cursos oficiais para ingresso, vitaliciamento e promoção na carreira da magistratura.</w:t>
      </w:r>
    </w:p>
    <w:p>
      <w:pPr>
        <w:spacing w:after="120" w:before="0" w:line="240" w:lineRule="auto"/>
        <w:jc w:val="both"/>
      </w:pPr>
      <w:r>
        <w:rPr>
          <w:rFonts w:ascii="Times New Roman" w:cs="Times New Roman" w:eastAsia="Times New Roman" w:hAnsi="Times New Roman"/>
          <w:sz w:val="24"/>
          <w:szCs w:val="24"/>
        </w:rPr>
        <w:t xml:space="preserve">A ENFAM foi instalada em 30 de novembro de 2006, com estrutura de governança que reúne o diretor-geral, o vice-diretor, dois ministros do STJ e quatro magistrados representando a Justiça Estadual e a Federal. Essa composição garante representatividade de toda a magistratura nacional e ancora institucionalmente a escola no coração do Judiciário. No mesmo ano, o Tribunal Superior do Trabalho instituiu a Escola Nacional de Formação e Aperfeiçoamento de Magistrados do Trabalho (ENAMAT) pela Resolução Administrativa TST n. 1.140/2006, consolidando um modelo de especialização por ramo de justiça.</w:t>
      </w:r>
    </w:p>
    <w:p>
      <w:pPr>
        <w:spacing w:after="120" w:before="0" w:line="240" w:lineRule="auto"/>
        <w:jc w:val="both"/>
      </w:pPr>
      <w:r>
        <w:rPr>
          <w:rFonts w:ascii="Times New Roman" w:cs="Times New Roman" w:eastAsia="Times New Roman" w:hAnsi="Times New Roman"/>
          <w:sz w:val="24"/>
          <w:szCs w:val="24"/>
        </w:rPr>
        <w:t xml:space="preserve">O modelo adotado pela ENFAM é o de regulador de rede: não oferece cursos diretamente a todos os juízes, mas regula, credencia e fiscaliza as escolas dos tribunais, que executam os programas formativos segundo as diretrizes nacionais. Esse modelo descentralizado-regulado articula a autonomia dos tribunais com a padronização mínima nacional. A EC 45 produziu assim uma ruptura paradigmática: a formação judicial deixou de ser um projeto de alguns tribunais iluminados e passou a ser política de Estado, com marcos constitucionais explícitos e um ente regulador nacional.</w:t>
      </w:r>
    </w:p>
    <w:p>
      <w:pPr>
        <w:spacing w:after="120" w:before="240" w:line="240" w:lineRule="auto"/>
        <w:jc w:val="left"/>
      </w:pPr>
      <w:r>
        <w:rPr>
          <w:rFonts w:ascii="Times New Roman" w:cs="Times New Roman" w:eastAsia="Times New Roman" w:hAnsi="Times New Roman"/>
          <w:b/>
          <w:bCs/>
          <w:sz w:val="24"/>
          <w:szCs w:val="24"/>
        </w:rPr>
        <w:t xml:space="preserve">4.3 Fase 3 — Expansão para Servidores (2009–2011): o CEAJud como resposta sistêmica</w:t>
      </w:r>
    </w:p>
    <w:p>
      <w:pPr>
        <w:spacing w:after="120" w:before="0" w:line="240" w:lineRule="auto"/>
        <w:jc w:val="both"/>
      </w:pPr>
      <w:r>
        <w:rPr>
          <w:rFonts w:ascii="Times New Roman" w:cs="Times New Roman" w:eastAsia="Times New Roman" w:hAnsi="Times New Roman"/>
          <w:sz w:val="24"/>
          <w:szCs w:val="24"/>
        </w:rPr>
        <w:t xml:space="preserve">Com a ENFAM ocupando o espaço da formação de magistrados, o CNJ voltou seu olhar para o segmento que compõe a imensa maioria do funcionalismo judicial: os servidores. Em 2009, a Instrução Normativa CNJ n. 25 instituiu o Programa de Educação Corporativa (PEC), primeiro ensaio de uma política coordenada de capacitação de servidores. No mesmo período, o CNJ promoveu seu primeiro ciclo de planejamento estratégico nacional, com metas anuais vinculantes para todos os tribunais que incorporaram a formação como vetor de desempenho institucional.</w:t>
      </w:r>
    </w:p>
    <w:p>
      <w:pPr>
        <w:spacing w:after="120" w:before="0" w:line="240" w:lineRule="auto"/>
        <w:jc w:val="both"/>
      </w:pPr>
      <w:r>
        <w:rPr>
          <w:rFonts w:ascii="Times New Roman" w:cs="Times New Roman" w:eastAsia="Times New Roman" w:hAnsi="Times New Roman"/>
          <w:sz w:val="24"/>
          <w:szCs w:val="24"/>
        </w:rPr>
        <w:t xml:space="preserve">O 3º Encontro Nacional do Poder Judiciário, em 2010, aprovou como ação estratégica a criação de um centro nacional voltado à capacitação de servidores. Em resposta, foi editada a Resolução CNJ n. 111, de 6 de abril de 2010, que instituiu o Centro de Formação e Aperfeiçoamento de Servidores do Poder Judiciário (CEAJud) como unidade administrativa do CNJ. A mesma resolução determinava que tribunais sem unidade de educação corporativa as constituíssem em até 60 dias — sinal de que o CNJ pretendia não apenas criar um órgão central, mas induzir isomorficamente a constituição de uma rede nacional de formação (DiMaggio &amp; Powell, 1983).</w:t>
      </w:r>
    </w:p>
    <w:p>
      <w:pPr>
        <w:spacing w:after="120" w:before="0" w:line="240" w:lineRule="auto"/>
        <w:jc w:val="both"/>
      </w:pPr>
      <w:r>
        <w:rPr>
          <w:rFonts w:ascii="Times New Roman" w:cs="Times New Roman" w:eastAsia="Times New Roman" w:hAnsi="Times New Roman"/>
          <w:sz w:val="24"/>
          <w:szCs w:val="24"/>
        </w:rPr>
        <w:t xml:space="preserve">A Resolução CNJ n. 126/2011 avançou ao criar o Plano Nacional de Capacitação Judicial (PNCJ) e o Sistema Nacional de Capacitação Judicial, estabelecendo mecanismos de integração entre o CEAJud e as escolas judiciais dos tribunais. Era o primeiro esboço de uma arquitetura sistêmica: uma rede, não apenas um centro. O CEAJud desempenhou papel vital na disseminação de sistemas nacionais — como o Banco Nacional de Medidas Penais e Prisões (BNMP) — por meio de cursos autoinstrucionais que permitiram o treinamento rápido de toda a força de trabalho judiciária em novos instrumentos de gestão.</w:t>
      </w:r>
    </w:p>
    <w:p>
      <w:pPr>
        <w:spacing w:after="120" w:before="240" w:line="240" w:lineRule="auto"/>
        <w:jc w:val="left"/>
      </w:pPr>
      <w:r>
        <w:rPr>
          <w:rFonts w:ascii="Times New Roman" w:cs="Times New Roman" w:eastAsia="Times New Roman" w:hAnsi="Times New Roman"/>
          <w:b/>
          <w:bCs/>
          <w:sz w:val="24"/>
          <w:szCs w:val="24"/>
        </w:rPr>
        <w:t xml:space="preserve">4.4 Fase 4 — Consolidação Normativa (2012–2024): autonomia, competências e rede</w:t>
      </w:r>
    </w:p>
    <w:p>
      <w:pPr>
        <w:spacing w:after="120" w:before="0" w:line="240" w:lineRule="auto"/>
        <w:jc w:val="both"/>
      </w:pPr>
      <w:r>
        <w:rPr>
          <w:rFonts w:ascii="Times New Roman" w:cs="Times New Roman" w:eastAsia="Times New Roman" w:hAnsi="Times New Roman"/>
          <w:sz w:val="24"/>
          <w:szCs w:val="24"/>
        </w:rPr>
        <w:t xml:space="preserve">O ciclo normativo de 2012 a 2024 densificou a arquitetura institucional em três dimensões: autonomia das escolas, gestão por competências e cooperação em rede.</w:t>
      </w:r>
    </w:p>
    <w:p>
      <w:pPr>
        <w:spacing w:after="120" w:before="0" w:line="240" w:lineRule="auto"/>
        <w:jc w:val="both"/>
      </w:pPr>
      <w:r>
        <w:rPr>
          <w:rFonts w:ascii="Times New Roman" w:cs="Times New Roman" w:eastAsia="Times New Roman" w:hAnsi="Times New Roman"/>
          <w:sz w:val="24"/>
          <w:szCs w:val="24"/>
        </w:rPr>
        <w:t xml:space="preserve">A Resolução CNJ n. 159, de 12 de novembro de 2012, garantiu às escolas judiciais autonomia orçamentária e status de unidade gestora responsável, com dotação específica e competência para ordenação de despesas. Antes dela, muitas escolas judiciais eram meras extensões das secretarias de recursos humanos, sem orçamento próprio ou autonomia de decisão. A norma também padronizou critérios de pontuação para promoção e vitaliciamento baseados em carga horária e aproveitamento, e regulamentou a remuneração da docência interna — reconhecendo o magistrado-professor como figura institucional com direitos e responsabilidades definidos.</w:t>
      </w:r>
    </w:p>
    <w:p>
      <w:pPr>
        <w:spacing w:after="120" w:before="0" w:line="240" w:lineRule="auto"/>
        <w:jc w:val="both"/>
      </w:pPr>
      <w:r>
        <w:rPr>
          <w:rFonts w:ascii="Times New Roman" w:cs="Times New Roman" w:eastAsia="Times New Roman" w:hAnsi="Times New Roman"/>
          <w:sz w:val="24"/>
          <w:szCs w:val="24"/>
        </w:rPr>
        <w:t xml:space="preserve">A Resolução CNJ n. 192, de 8 de maio de 2014, foi o marco normativo mais estruturante do período. Ela instituiu a Política Nacional de Formação e Aperfeiçoamento dos Servidores do Poder Judiciário, incorporando o paradigma da gestão por competências e vinculando normativamente a capacitação ao planejamento estratégico do Judiciário. Seus princípios orientadores — educação permanente, responsabilidade compartilhada entre servidor, gestor e unidade formadora, integração entre formação e planejamento estratégico — representam a síntese mais sofisticada da teoria da educação corporativa pública aplicada ao Judiciário. Com ela, a capacitação de servidores se converteu de iniciativa administrativa pontual em política de Estado dentro do Judiciário.</w:t>
      </w:r>
    </w:p>
    <w:p>
      <w:pPr>
        <w:spacing w:after="120" w:before="0" w:line="240" w:lineRule="auto"/>
        <w:jc w:val="both"/>
      </w:pPr>
      <w:r>
        <w:rPr>
          <w:rFonts w:ascii="Times New Roman" w:cs="Times New Roman" w:eastAsia="Times New Roman" w:hAnsi="Times New Roman"/>
          <w:sz w:val="24"/>
          <w:szCs w:val="24"/>
        </w:rPr>
        <w:t xml:space="preserve">No plano da ENFAM, a Resolução n. 2/2016 regulamentou em detalhes os programas de formação inicial e continuada de magistrados, definindo estrutura de cursos, cargas horárias e requisitos de credenciamento. O Banco Nacional de Formadores (BNF), mantido pela ENFAM, reforçou o controle de qualidade pedagógica com um cadastro de profissionais certificados para atuar em cursos oficiais.</w:t>
      </w:r>
    </w:p>
    <w:p>
      <w:pPr>
        <w:spacing w:after="120" w:before="0" w:line="240" w:lineRule="auto"/>
        <w:jc w:val="both"/>
      </w:pPr>
      <w:r>
        <w:rPr>
          <w:rFonts w:ascii="Times New Roman" w:cs="Times New Roman" w:eastAsia="Times New Roman" w:hAnsi="Times New Roman"/>
          <w:sz w:val="24"/>
          <w:szCs w:val="24"/>
        </w:rPr>
        <w:t xml:space="preserve">O coroamento desta fase foi a Rede Nacional de Escolas Judiciais e da Magistratura (RENEJUM), instituída pela Resolução ENFAM n. 1/2023. A RENEJUM permite o compartilhamento de calendários, cursos e tecnologias entre as dezenas de escolas estaduais, federais e especializadas, evitando a redundância de esforços e otimizando o uso de recursos públicos. Sob coordenação da ENFAM, a rede socializa práticas pedagógicas inovadoras e promove excelência de forma convergente — expressão máxima do modelo descentralizado-colaborativo que caracteriza o Judiciário federativo brasileiro.</w:t>
      </w:r>
    </w:p>
    <w:p>
      <w:pPr>
        <w:spacing w:after="120" w:before="240" w:line="240" w:lineRule="auto"/>
        <w:jc w:val="left"/>
      </w:pPr>
      <w:r>
        <w:rPr>
          <w:rFonts w:ascii="Times New Roman" w:cs="Times New Roman" w:eastAsia="Times New Roman" w:hAnsi="Times New Roman"/>
          <w:b/>
          <w:bCs/>
          <w:sz w:val="24"/>
          <w:szCs w:val="24"/>
        </w:rPr>
        <w:t xml:space="preserve">4.5 Fase 5 — Maturidade Sistêmica (2025): a ENAJU como órgão central</w:t>
      </w:r>
    </w:p>
    <w:p>
      <w:pPr>
        <w:spacing w:after="120" w:before="0" w:line="240" w:lineRule="auto"/>
        <w:jc w:val="both"/>
      </w:pPr>
      <w:r>
        <w:rPr>
          <w:rFonts w:ascii="Times New Roman" w:cs="Times New Roman" w:eastAsia="Times New Roman" w:hAnsi="Times New Roman"/>
          <w:sz w:val="24"/>
          <w:szCs w:val="24"/>
        </w:rPr>
        <w:t xml:space="preserve">O ciclo se completa em 22 de setembro de 2025, quando o Plenário do CNJ aprovou, por 14 votos a 1, a Resolução CNJ n. 643/2025, que transformou o CEAJud na Escola Nacional do Judiciário (ENAJU). Esse é o segundo </w:t>
      </w:r>
      <w:r>
        <w:rPr>
          <w:rFonts w:ascii="Times New Roman" w:cs="Times New Roman" w:eastAsia="Times New Roman" w:hAnsi="Times New Roman"/>
          <w:i/>
          <w:iCs/>
          <w:sz w:val="24"/>
          <w:szCs w:val="24"/>
        </w:rPr>
        <w:t xml:space="preserve">critical juncture</w:t>
      </w:r>
      <w:r>
        <w:rPr>
          <w:rFonts w:ascii="Times New Roman" w:cs="Times New Roman" w:eastAsia="Times New Roman" w:hAnsi="Times New Roman"/>
          <w:sz w:val="24"/>
          <w:szCs w:val="24"/>
        </w:rPr>
        <w:t xml:space="preserve"> identificado: não uma ruptura com o passado, mas uma elevação qualitativa de patamar — a passagem do modelo de centro administrativo de capacitação para o modelo de escola nacional com missão estratégica definida.</w:t>
      </w:r>
    </w:p>
    <w:p>
      <w:pPr>
        <w:spacing w:after="120" w:before="0" w:line="240" w:lineRule="auto"/>
        <w:jc w:val="both"/>
      </w:pPr>
      <w:r>
        <w:rPr>
          <w:rFonts w:ascii="Times New Roman" w:cs="Times New Roman" w:eastAsia="Times New Roman" w:hAnsi="Times New Roman"/>
          <w:sz w:val="24"/>
          <w:szCs w:val="24"/>
        </w:rPr>
        <w:t xml:space="preserve">A ENAJU assume o papel de órgão central do Sistema Nacional de Formação e Aperfeiçoamento de Servidores do Poder Judiciário, com atribuições explicitamente elencadas na Resolução n. 643/2025: formular, implementar e revisar — em conjunto com tribunais e escolas judiciais — a Política Nacional de Formação e Aperfeiçoamento de Servidores; promover a articulação com as escolas judiciais e centros de formação dos tribunais, incentivando cooperação técnica e compartilhamento de conteúdos; oferecer cursos presenciais, a distância e híbridos orientados ao desenvolvimento de competências; desenvolver projetos de transformação digital voltados à inovação na gestão judicial; e promover eventos, pesquisas e intercâmbio de boas práticas entre tribunais de todo o Brasil.</w:t>
      </w:r>
    </w:p>
    <w:p>
      <w:pPr>
        <w:spacing w:after="120" w:before="0" w:line="240" w:lineRule="auto"/>
        <w:jc w:val="both"/>
      </w:pPr>
      <w:r>
        <w:rPr>
          <w:rFonts w:ascii="Times New Roman" w:cs="Times New Roman" w:eastAsia="Times New Roman" w:hAnsi="Times New Roman"/>
          <w:sz w:val="24"/>
          <w:szCs w:val="24"/>
        </w:rPr>
        <w:t xml:space="preserve">Em outubro de 2025, a Presidência do CNJ instituiu, pela Portaria n. 362/2025, um Grupo de Trabalho para estruturar a governança interna e o regulamento da nova escola. Simultaneamente, a ENFAM atualizou seu marco normativo com a Resolução n. 2/2025, revisão completa da norma de 2016, que alinha a política de formação de magistrados aos desafios contemporâneos — transformação digital, ensino híbrido, formação de formadores e cursos internacionais (Res. ENFAM n. 4/2025).</w:t>
      </w:r>
    </w:p>
    <w:p>
      <w:pPr>
        <w:spacing w:after="120" w:before="0" w:line="240" w:lineRule="auto"/>
        <w:jc w:val="both"/>
      </w:pPr>
      <w:r>
        <w:rPr>
          <w:rFonts w:ascii="Times New Roman" w:cs="Times New Roman" w:eastAsia="Times New Roman" w:hAnsi="Times New Roman"/>
          <w:sz w:val="24"/>
          <w:szCs w:val="24"/>
        </w:rPr>
        <w:t xml:space="preserve">O Quadro 1 sintetiza a arquitetura dual resultante, que representa o estado atual de maturidade do sistema nacional:</w:t>
      </w:r>
    </w:p>
    <w:p>
      <w:pPr>
        <w:spacing w:after="0" w:line="240"/>
      </w:pPr>
      <w:r>
        <w:rPr>
          <w:rFonts w:ascii="Times New Roman" w:cs="Times New Roman" w:eastAsia="Times New Roman" w:hAnsi="Times New Roman"/>
          <w:sz w:val="24"/>
          <w:szCs w:val="24"/>
        </w:rPr>
        <w:t xml:space="preserve"/>
      </w:r>
    </w:p>
    <w:p>
      <w:pPr>
        <w:spacing w:after="80" w:before="0" w:line="240" w:lineRule="auto"/>
        <w:jc w:val="center"/>
      </w:pPr>
      <w:r>
        <w:rPr>
          <w:rFonts w:ascii="Times New Roman" w:cs="Times New Roman" w:eastAsia="Times New Roman" w:hAnsi="Times New Roman"/>
          <w:b/>
          <w:bCs/>
          <w:sz w:val="24"/>
          <w:szCs w:val="24"/>
        </w:rPr>
        <w:t xml:space="preserve">Quadro 1 — Arquitetura Dual do Sistema Nacional de Educação Corporativa Judicial</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200"/>
        <w:gridCol w:w="3435"/>
        <w:gridCol w:w="3435"/>
      </w:tblGrid>
      <w:tr>
        <w:tc>
          <w:tcPr>
            <w:tcW w:type="dxa" w:w="2200"/>
            <w:tcBorders>
              <w:top w:val="single" w:color="000000" w:sz="6"/>
              <w:left w:val="single" w:color="000000" w:sz="6"/>
              <w:bottom w:val="single" w:color="000000" w:sz="6"/>
              <w:right w:val="single" w:color="000000" w:sz="6"/>
            </w:tcBorders>
            <w:shd w:fill="D9E2F3" w:val="clear"/>
            <w:tcMar>
              <w:top w:type="dxa" w:w="80"/>
              <w:left w:type="dxa" w:w="120"/>
              <w:bottom w:type="dxa" w:w="80"/>
              <w:right w:type="dxa" w:w="120"/>
            </w:tcMar>
          </w:tcPr>
          <w:p>
            <w:pPr>
              <w:spacing w:after="40" w:line="240" w:lineRule="auto"/>
              <w:jc w:val="left"/>
            </w:pPr>
            <w:r>
              <w:rPr>
                <w:rFonts w:ascii="Times New Roman" w:cs="Times New Roman" w:eastAsia="Times New Roman" w:hAnsi="Times New Roman"/>
                <w:b/>
                <w:bCs/>
                <w:sz w:val="20"/>
                <w:szCs w:val="20"/>
              </w:rPr>
              <w:t xml:space="preserve">Dimensão</w:t>
            </w:r>
          </w:p>
        </w:tc>
        <w:tc>
          <w:tcPr>
            <w:tcW w:type="dxa" w:w="3435"/>
            <w:tcBorders>
              <w:top w:val="single" w:color="000000" w:sz="6"/>
              <w:left w:val="single" w:color="000000" w:sz="6"/>
              <w:bottom w:val="single" w:color="000000" w:sz="6"/>
              <w:right w:val="single" w:color="000000" w:sz="6"/>
            </w:tcBorders>
            <w:shd w:fill="D9E2F3" w:val="clear"/>
            <w:tcMar>
              <w:top w:type="dxa" w:w="80"/>
              <w:left w:type="dxa" w:w="120"/>
              <w:bottom w:type="dxa" w:w="80"/>
              <w:right w:type="dxa" w:w="120"/>
            </w:tcMar>
          </w:tcPr>
          <w:p>
            <w:pPr>
              <w:spacing w:after="40" w:line="240" w:lineRule="auto"/>
              <w:jc w:val="left"/>
            </w:pPr>
            <w:r>
              <w:rPr>
                <w:rFonts w:ascii="Times New Roman" w:cs="Times New Roman" w:eastAsia="Times New Roman" w:hAnsi="Times New Roman"/>
                <w:b/>
                <w:bCs/>
                <w:sz w:val="20"/>
                <w:szCs w:val="20"/>
              </w:rPr>
              <w:t xml:space="preserve">ENFAM</w:t>
            </w:r>
          </w:p>
        </w:tc>
        <w:tc>
          <w:tcPr>
            <w:tcW w:type="dxa" w:w="3435"/>
            <w:tcBorders>
              <w:top w:val="single" w:color="000000" w:sz="6"/>
              <w:left w:val="single" w:color="000000" w:sz="6"/>
              <w:bottom w:val="single" w:color="000000" w:sz="6"/>
              <w:right w:val="single" w:color="000000" w:sz="6"/>
            </w:tcBorders>
            <w:shd w:fill="D9E2F3" w:val="clear"/>
            <w:tcMar>
              <w:top w:type="dxa" w:w="80"/>
              <w:left w:type="dxa" w:w="120"/>
              <w:bottom w:type="dxa" w:w="80"/>
              <w:right w:type="dxa" w:w="120"/>
            </w:tcMar>
          </w:tcPr>
          <w:p>
            <w:pPr>
              <w:spacing w:after="40" w:line="240" w:lineRule="auto"/>
              <w:jc w:val="left"/>
            </w:pPr>
            <w:r>
              <w:rPr>
                <w:rFonts w:ascii="Times New Roman" w:cs="Times New Roman" w:eastAsia="Times New Roman" w:hAnsi="Times New Roman"/>
                <w:b/>
                <w:bCs/>
                <w:sz w:val="20"/>
                <w:szCs w:val="20"/>
              </w:rPr>
              <w:t xml:space="preserve">ENAJU</w:t>
            </w:r>
          </w:p>
        </w:tc>
      </w:tr>
      <w:tr>
        <w:tc>
          <w:tcPr>
            <w:tcW w:type="dxa" w:w="22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tcPr>
          <w:p>
            <w:pPr>
              <w:spacing w:after="40" w:line="240" w:lineRule="auto"/>
              <w:jc w:val="left"/>
            </w:pPr>
            <w:r>
              <w:rPr>
                <w:rFonts w:ascii="Times New Roman" w:cs="Times New Roman" w:eastAsia="Times New Roman" w:hAnsi="Times New Roman"/>
                <w:b w:val="false"/>
                <w:bCs w:val="false"/>
                <w:sz w:val="20"/>
                <w:szCs w:val="20"/>
              </w:rPr>
              <w:t xml:space="preserve">Público-alvo</w:t>
            </w:r>
          </w:p>
        </w:tc>
        <w:tc>
          <w:tcPr>
            <w:tcW w:type="dxa" w:w="343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line="240" w:lineRule="auto"/>
              <w:jc w:val="left"/>
            </w:pPr>
            <w:r>
              <w:rPr>
                <w:rFonts w:ascii="Times New Roman" w:cs="Times New Roman" w:eastAsia="Times New Roman" w:hAnsi="Times New Roman"/>
                <w:b w:val="false"/>
                <w:bCs w:val="false"/>
                <w:sz w:val="20"/>
                <w:szCs w:val="20"/>
              </w:rPr>
              <w:t xml:space="preserve">Magistrados (federais e estaduais)</w:t>
            </w:r>
          </w:p>
        </w:tc>
        <w:tc>
          <w:tcPr>
            <w:tcW w:type="dxa" w:w="343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line="240" w:lineRule="auto"/>
              <w:jc w:val="left"/>
            </w:pPr>
            <w:r>
              <w:rPr>
                <w:rFonts w:ascii="Times New Roman" w:cs="Times New Roman" w:eastAsia="Times New Roman" w:hAnsi="Times New Roman"/>
                <w:b w:val="false"/>
                <w:bCs w:val="false"/>
                <w:sz w:val="20"/>
                <w:szCs w:val="20"/>
              </w:rPr>
              <w:t xml:space="preserve">Servidores do Poder Judiciário</w:t>
            </w:r>
          </w:p>
        </w:tc>
      </w:tr>
      <w:tr>
        <w:tc>
          <w:tcPr>
            <w:tcW w:type="dxa" w:w="22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tcPr>
          <w:p>
            <w:pPr>
              <w:spacing w:after="40" w:line="240" w:lineRule="auto"/>
              <w:jc w:val="left"/>
            </w:pPr>
            <w:r>
              <w:rPr>
                <w:rFonts w:ascii="Times New Roman" w:cs="Times New Roman" w:eastAsia="Times New Roman" w:hAnsi="Times New Roman"/>
                <w:b w:val="false"/>
                <w:bCs w:val="false"/>
                <w:sz w:val="20"/>
                <w:szCs w:val="20"/>
              </w:rPr>
              <w:t xml:space="preserve">Ancoragem</w:t>
            </w:r>
          </w:p>
        </w:tc>
        <w:tc>
          <w:tcPr>
            <w:tcW w:type="dxa" w:w="343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line="240" w:lineRule="auto"/>
              <w:jc w:val="left"/>
            </w:pPr>
            <w:r>
              <w:rPr>
                <w:rFonts w:ascii="Times New Roman" w:cs="Times New Roman" w:eastAsia="Times New Roman" w:hAnsi="Times New Roman"/>
                <w:b w:val="false"/>
                <w:bCs w:val="false"/>
                <w:sz w:val="20"/>
                <w:szCs w:val="20"/>
              </w:rPr>
              <w:t xml:space="preserve">Constitucional — EC 45/2004, art. 105, parágrafo único</w:t>
            </w:r>
          </w:p>
        </w:tc>
        <w:tc>
          <w:tcPr>
            <w:tcW w:type="dxa" w:w="343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line="240" w:lineRule="auto"/>
              <w:jc w:val="left"/>
            </w:pPr>
            <w:r>
              <w:rPr>
                <w:rFonts w:ascii="Times New Roman" w:cs="Times New Roman" w:eastAsia="Times New Roman" w:hAnsi="Times New Roman"/>
                <w:b w:val="false"/>
                <w:bCs w:val="false"/>
                <w:sz w:val="20"/>
                <w:szCs w:val="20"/>
              </w:rPr>
              <w:t xml:space="preserve">Normativa — Res. CNJ n. 643/2025</w:t>
            </w:r>
          </w:p>
        </w:tc>
      </w:tr>
      <w:tr>
        <w:tc>
          <w:tcPr>
            <w:tcW w:type="dxa" w:w="22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tcPr>
          <w:p>
            <w:pPr>
              <w:spacing w:after="40" w:line="240" w:lineRule="auto"/>
              <w:jc w:val="left"/>
            </w:pPr>
            <w:r>
              <w:rPr>
                <w:rFonts w:ascii="Times New Roman" w:cs="Times New Roman" w:eastAsia="Times New Roman" w:hAnsi="Times New Roman"/>
                <w:b w:val="false"/>
                <w:bCs w:val="false"/>
                <w:sz w:val="20"/>
                <w:szCs w:val="20"/>
              </w:rPr>
              <w:t xml:space="preserve">Vinculação</w:t>
            </w:r>
          </w:p>
        </w:tc>
        <w:tc>
          <w:tcPr>
            <w:tcW w:type="dxa" w:w="343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line="240" w:lineRule="auto"/>
              <w:jc w:val="left"/>
            </w:pPr>
            <w:r>
              <w:rPr>
                <w:rFonts w:ascii="Times New Roman" w:cs="Times New Roman" w:eastAsia="Times New Roman" w:hAnsi="Times New Roman"/>
                <w:b w:val="false"/>
                <w:bCs w:val="false"/>
                <w:sz w:val="20"/>
                <w:szCs w:val="20"/>
              </w:rPr>
              <w:t xml:space="preserve">Superior Tribunal de Justiça (STJ)</w:t>
            </w:r>
          </w:p>
        </w:tc>
        <w:tc>
          <w:tcPr>
            <w:tcW w:type="dxa" w:w="343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line="240" w:lineRule="auto"/>
              <w:jc w:val="left"/>
            </w:pPr>
            <w:r>
              <w:rPr>
                <w:rFonts w:ascii="Times New Roman" w:cs="Times New Roman" w:eastAsia="Times New Roman" w:hAnsi="Times New Roman"/>
                <w:b w:val="false"/>
                <w:bCs w:val="false"/>
                <w:sz w:val="20"/>
                <w:szCs w:val="20"/>
              </w:rPr>
              <w:t xml:space="preserve">Conselho Nacional de Justiça (CNJ)</w:t>
            </w:r>
          </w:p>
        </w:tc>
      </w:tr>
      <w:tr>
        <w:tc>
          <w:tcPr>
            <w:tcW w:type="dxa" w:w="22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tcPr>
          <w:p>
            <w:pPr>
              <w:spacing w:after="40" w:line="240" w:lineRule="auto"/>
              <w:jc w:val="left"/>
            </w:pPr>
            <w:r>
              <w:rPr>
                <w:rFonts w:ascii="Times New Roman" w:cs="Times New Roman" w:eastAsia="Times New Roman" w:hAnsi="Times New Roman"/>
                <w:b w:val="false"/>
                <w:bCs w:val="false"/>
                <w:sz w:val="20"/>
                <w:szCs w:val="20"/>
              </w:rPr>
              <w:t xml:space="preserve">Papel central</w:t>
            </w:r>
          </w:p>
        </w:tc>
        <w:tc>
          <w:tcPr>
            <w:tcW w:type="dxa" w:w="343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line="240" w:lineRule="auto"/>
              <w:jc w:val="left"/>
            </w:pPr>
            <w:r>
              <w:rPr>
                <w:rFonts w:ascii="Times New Roman" w:cs="Times New Roman" w:eastAsia="Times New Roman" w:hAnsi="Times New Roman"/>
                <w:b w:val="false"/>
                <w:bCs w:val="false"/>
                <w:sz w:val="20"/>
                <w:szCs w:val="20"/>
              </w:rPr>
              <w:t xml:space="preserve">Regulação, credenciamento e fiscalização de cursos</w:t>
            </w:r>
          </w:p>
        </w:tc>
        <w:tc>
          <w:tcPr>
            <w:tcW w:type="dxa" w:w="343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line="240" w:lineRule="auto"/>
              <w:jc w:val="left"/>
            </w:pPr>
            <w:r>
              <w:rPr>
                <w:rFonts w:ascii="Times New Roman" w:cs="Times New Roman" w:eastAsia="Times New Roman" w:hAnsi="Times New Roman"/>
                <w:b w:val="false"/>
                <w:bCs w:val="false"/>
                <w:sz w:val="20"/>
                <w:szCs w:val="20"/>
              </w:rPr>
              <w:t xml:space="preserve">Formulação, coordenação e execução da política nacional de formação</w:t>
            </w:r>
          </w:p>
        </w:tc>
      </w:tr>
      <w:tr>
        <w:tc>
          <w:tcPr>
            <w:tcW w:type="dxa" w:w="22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tcPr>
          <w:p>
            <w:pPr>
              <w:spacing w:after="40" w:line="240" w:lineRule="auto"/>
              <w:jc w:val="left"/>
            </w:pPr>
            <w:r>
              <w:rPr>
                <w:rFonts w:ascii="Times New Roman" w:cs="Times New Roman" w:eastAsia="Times New Roman" w:hAnsi="Times New Roman"/>
                <w:b w:val="false"/>
                <w:bCs w:val="false"/>
                <w:sz w:val="20"/>
                <w:szCs w:val="20"/>
              </w:rPr>
              <w:t xml:space="preserve">Modelo</w:t>
            </w:r>
          </w:p>
        </w:tc>
        <w:tc>
          <w:tcPr>
            <w:tcW w:type="dxa" w:w="343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line="240" w:lineRule="auto"/>
              <w:jc w:val="left"/>
            </w:pPr>
            <w:r>
              <w:rPr>
                <w:rFonts w:ascii="Times New Roman" w:cs="Times New Roman" w:eastAsia="Times New Roman" w:hAnsi="Times New Roman"/>
                <w:b w:val="false"/>
                <w:bCs w:val="false"/>
                <w:sz w:val="20"/>
                <w:szCs w:val="20"/>
              </w:rPr>
              <w:t xml:space="preserve">Regulador de rede (credencia escolas dos tribunais)</w:t>
            </w:r>
          </w:p>
        </w:tc>
        <w:tc>
          <w:tcPr>
            <w:tcW w:type="dxa" w:w="343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line="240" w:lineRule="auto"/>
              <w:jc w:val="left"/>
            </w:pPr>
            <w:r>
              <w:rPr>
                <w:rFonts w:ascii="Times New Roman" w:cs="Times New Roman" w:eastAsia="Times New Roman" w:hAnsi="Times New Roman"/>
                <w:b w:val="false"/>
                <w:bCs w:val="false"/>
                <w:sz w:val="20"/>
                <w:szCs w:val="20"/>
              </w:rPr>
              <w:t xml:space="preserve">Órgão central de sistema nacional</w:t>
            </w:r>
          </w:p>
        </w:tc>
      </w:tr>
      <w:tr>
        <w:tc>
          <w:tcPr>
            <w:tcW w:type="dxa" w:w="22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tcPr>
          <w:p>
            <w:pPr>
              <w:spacing w:after="40" w:line="240" w:lineRule="auto"/>
              <w:jc w:val="left"/>
            </w:pPr>
            <w:r>
              <w:rPr>
                <w:rFonts w:ascii="Times New Roman" w:cs="Times New Roman" w:eastAsia="Times New Roman" w:hAnsi="Times New Roman"/>
                <w:b w:val="false"/>
                <w:bCs w:val="false"/>
                <w:sz w:val="20"/>
                <w:szCs w:val="20"/>
              </w:rPr>
              <w:t xml:space="preserve">Norma vigente</w:t>
            </w:r>
          </w:p>
        </w:tc>
        <w:tc>
          <w:tcPr>
            <w:tcW w:type="dxa" w:w="343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line="240" w:lineRule="auto"/>
              <w:jc w:val="left"/>
            </w:pPr>
            <w:r>
              <w:rPr>
                <w:rFonts w:ascii="Times New Roman" w:cs="Times New Roman" w:eastAsia="Times New Roman" w:hAnsi="Times New Roman"/>
                <w:b w:val="false"/>
                <w:bCs w:val="false"/>
                <w:sz w:val="20"/>
                <w:szCs w:val="20"/>
              </w:rPr>
              <w:t xml:space="preserve">Res. ENFAM n. 2/2025</w:t>
            </w:r>
          </w:p>
        </w:tc>
        <w:tc>
          <w:tcPr>
            <w:tcW w:type="dxa" w:w="343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line="240" w:lineRule="auto"/>
              <w:jc w:val="left"/>
            </w:pPr>
            <w:r>
              <w:rPr>
                <w:rFonts w:ascii="Times New Roman" w:cs="Times New Roman" w:eastAsia="Times New Roman" w:hAnsi="Times New Roman"/>
                <w:b w:val="false"/>
                <w:bCs w:val="false"/>
                <w:sz w:val="20"/>
                <w:szCs w:val="20"/>
              </w:rPr>
              <w:t xml:space="preserve">Res. CNJ n. 643/2025</w:t>
            </w:r>
          </w:p>
        </w:tc>
      </w:tr>
      <w:tr>
        <w:tc>
          <w:tcPr>
            <w:tcW w:type="dxa" w:w="22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tcPr>
          <w:p>
            <w:pPr>
              <w:spacing w:after="40" w:line="240" w:lineRule="auto"/>
              <w:jc w:val="left"/>
            </w:pPr>
            <w:r>
              <w:rPr>
                <w:rFonts w:ascii="Times New Roman" w:cs="Times New Roman" w:eastAsia="Times New Roman" w:hAnsi="Times New Roman"/>
                <w:b w:val="false"/>
                <w:bCs w:val="false"/>
                <w:sz w:val="20"/>
                <w:szCs w:val="20"/>
              </w:rPr>
              <w:t xml:space="preserve">Rede articulada</w:t>
            </w:r>
          </w:p>
        </w:tc>
        <w:tc>
          <w:tcPr>
            <w:tcW w:type="dxa" w:w="343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line="240" w:lineRule="auto"/>
              <w:jc w:val="left"/>
            </w:pPr>
            <w:r>
              <w:rPr>
                <w:rFonts w:ascii="Times New Roman" w:cs="Times New Roman" w:eastAsia="Times New Roman" w:hAnsi="Times New Roman"/>
                <w:b w:val="false"/>
                <w:bCs w:val="false"/>
                <w:sz w:val="20"/>
                <w:szCs w:val="20"/>
              </w:rPr>
              <w:t xml:space="preserve">RENEJUM — Res. ENFAM n. 1/2023</w:t>
            </w:r>
          </w:p>
        </w:tc>
        <w:tc>
          <w:tcPr>
            <w:tcW w:type="dxa" w:w="343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line="240" w:lineRule="auto"/>
              <w:jc w:val="left"/>
            </w:pPr>
            <w:r>
              <w:rPr>
                <w:rFonts w:ascii="Times New Roman" w:cs="Times New Roman" w:eastAsia="Times New Roman" w:hAnsi="Times New Roman"/>
                <w:b w:val="false"/>
                <w:bCs w:val="false"/>
                <w:sz w:val="20"/>
                <w:szCs w:val="20"/>
              </w:rPr>
              <w:t xml:space="preserve">Escolas dos tribunais + portal EAD unificado</w:t>
            </w:r>
          </w:p>
        </w:tc>
      </w:tr>
    </w:tbl>
    <w:p>
      <w:pPr>
        <w:spacing w:after="200" w:before="0" w:line="240" w:lineRule="auto"/>
        <w:jc w:val="left"/>
      </w:pPr>
      <w:r>
        <w:rPr>
          <w:rFonts w:ascii="Times New Roman" w:cs="Times New Roman" w:eastAsia="Times New Roman" w:hAnsi="Times New Roman"/>
          <w:i/>
          <w:iCs/>
          <w:sz w:val="24"/>
          <w:szCs w:val="24"/>
        </w:rPr>
        <w:t xml:space="preserve">Fonte: elaboração própria com base em EC 45/2004, Res. ENFAM n. 2/2025 e Res. CNJ n. 643/2025.</w:t>
      </w:r>
    </w:p>
    <w:p>
      <w:pPr>
        <w:spacing w:after="200" w:before="300" w:line="240" w:lineRule="auto"/>
        <w:jc w:val="center"/>
      </w:pPr>
      <w:r>
        <w:rPr>
          <w:rFonts w:ascii="Times New Roman" w:cs="Times New Roman" w:eastAsia="Times New Roman" w:hAnsi="Times New Roman"/>
          <w:b/>
          <w:bCs/>
          <w:sz w:val="24"/>
          <w:szCs w:val="24"/>
        </w:rPr>
        <w:t xml:space="preserve">5. PERSPECTIVA COMPARADA INTERNACIONAL</w:t>
      </w:r>
    </w:p>
    <w:p>
      <w:pPr>
        <w:spacing w:after="120" w:before="0" w:line="240" w:lineRule="auto"/>
        <w:jc w:val="both"/>
      </w:pPr>
      <w:r>
        <w:rPr>
          <w:rFonts w:ascii="Times New Roman" w:cs="Times New Roman" w:eastAsia="Times New Roman" w:hAnsi="Times New Roman"/>
          <w:sz w:val="24"/>
          <w:szCs w:val="24"/>
        </w:rPr>
        <w:t xml:space="preserve">O benchmarking com cinco sistemas internacionais revela a singularidade e as potencialidades do modelo brasileiro, situando-o em um espectro que vai do modelo unitário-centralizado ao modelo de rede supranacional.</w:t>
      </w:r>
    </w:p>
    <w:p>
      <w:pPr>
        <w:spacing w:after="80" w:before="180" w:line="240" w:lineRule="auto"/>
        <w:jc w:val="left"/>
      </w:pPr>
      <w:r>
        <w:rPr>
          <w:rFonts w:ascii="Times New Roman" w:cs="Times New Roman" w:eastAsia="Times New Roman" w:hAnsi="Times New Roman"/>
          <w:b/>
          <w:bCs/>
          <w:i/>
          <w:iCs/>
          <w:sz w:val="24"/>
          <w:szCs w:val="24"/>
        </w:rPr>
        <w:t xml:space="preserve">5.1 França — École Nationale de la Magistrature (ENM)</w:t>
      </w:r>
    </w:p>
    <w:p>
      <w:pPr>
        <w:spacing w:after="120" w:before="0" w:line="240" w:lineRule="auto"/>
        <w:jc w:val="both"/>
      </w:pPr>
      <w:r>
        <w:rPr>
          <w:rFonts w:ascii="Times New Roman" w:cs="Times New Roman" w:eastAsia="Times New Roman" w:hAnsi="Times New Roman"/>
          <w:sz w:val="24"/>
          <w:szCs w:val="24"/>
        </w:rPr>
        <w:t xml:space="preserve">Criada em 1958, a ENM representa o modelo unitário-centralizado por excelência: escola única que concentra a formação inicial (31 meses obrigatórios) e continuada de todos os magistrados franceses, com sede em Bordeaux, autonomia orçamentária robusta e poder de seleção. A ENM não segrega a formação por ramo de justiça e opera com corpo docente próprio significativo. O modelo tem alta uniformidade pedagógica e padronização curricular, mas menor capilaridade e participação dos tribunais na definição dos conteúdos. Para candidatos ao concurso de acesso, a ENM é tanto escola de formação quanto filtro de seleção — o que confere ao sistema coerência mas também rigidez.</w:t>
      </w:r>
    </w:p>
    <w:p>
      <w:pPr>
        <w:spacing w:after="80" w:before="180" w:line="240" w:lineRule="auto"/>
        <w:jc w:val="left"/>
      </w:pPr>
      <w:r>
        <w:rPr>
          <w:rFonts w:ascii="Times New Roman" w:cs="Times New Roman" w:eastAsia="Times New Roman" w:hAnsi="Times New Roman"/>
          <w:b/>
          <w:bCs/>
          <w:i/>
          <w:iCs/>
          <w:sz w:val="24"/>
          <w:szCs w:val="24"/>
        </w:rPr>
        <w:t xml:space="preserve">5.2 Estados Unidos — Federal Judicial Center (FJC)</w:t>
      </w:r>
    </w:p>
    <w:p>
      <w:pPr>
        <w:spacing w:after="120" w:before="0" w:line="240" w:lineRule="auto"/>
        <w:jc w:val="both"/>
      </w:pPr>
      <w:r>
        <w:rPr>
          <w:rFonts w:ascii="Times New Roman" w:cs="Times New Roman" w:eastAsia="Times New Roman" w:hAnsi="Times New Roman"/>
          <w:sz w:val="24"/>
          <w:szCs w:val="24"/>
        </w:rPr>
        <w:t xml:space="preserve">O FJC, criado em 1967 junto à Suprema Corte, combina funções de pesquisa, educação e suporte técnico em uma instituição única. Diferentemente dos modelos europeus, o FJC não vincula a formação à carreira — não há requisito de frequência para promoção. Seu foco é a educação continuada voluntária, com produção de conteúdo de alta qualidade e alcance federal. A ausência de vínculo compulsório preserva a liberdade acadêmica e a autonomia dos juízes, mas reduz a adesão sistemática. O FJC é a referência mundial em pesquisa sobre administração judiciária e em desenvolvimento de materiais sobre prova científica, sendo frequentemente citado pelas escolas judiciais de todo o mundo.</w:t>
      </w:r>
    </w:p>
    <w:p>
      <w:pPr>
        <w:spacing w:after="80" w:before="180" w:line="240" w:lineRule="auto"/>
        <w:jc w:val="left"/>
      </w:pPr>
      <w:r>
        <w:rPr>
          <w:rFonts w:ascii="Times New Roman" w:cs="Times New Roman" w:eastAsia="Times New Roman" w:hAnsi="Times New Roman"/>
          <w:b/>
          <w:bCs/>
          <w:i/>
          <w:iCs/>
          <w:sz w:val="24"/>
          <w:szCs w:val="24"/>
        </w:rPr>
        <w:t xml:space="preserve">5.3 União Europeia — European Judicial Training Network (EJTN)</w:t>
      </w:r>
    </w:p>
    <w:p>
      <w:pPr>
        <w:spacing w:after="120" w:before="0" w:line="240" w:lineRule="auto"/>
        <w:jc w:val="both"/>
      </w:pPr>
      <w:r>
        <w:rPr>
          <w:rFonts w:ascii="Times New Roman" w:cs="Times New Roman" w:eastAsia="Times New Roman" w:hAnsi="Times New Roman"/>
          <w:sz w:val="24"/>
          <w:szCs w:val="24"/>
        </w:rPr>
        <w:t xml:space="preserve">Criada em 2000, a EJTN articula as escolas judiciais dos 27 países membros da UE, promovendo intercâmbio de juízes, programas de mobilidade e harmonização de conteúdos em matérias de direito europeu. A EJTN não tem poder regulatório sobre os sistemas nacionais — é uma plataforma de cooperação, não um órgão de supervisão. Seu maior legado é a integração cultural e o multilateralismo judicial: juízes de diferentes sistemas jurídicos aprendendo uns com os outros. O modelo europeu demonstra que a cooperação em rede pode produzir padronização sem hierarquia — lição particularmente relevante para sistemas federativos.</w:t>
      </w:r>
    </w:p>
    <w:p>
      <w:pPr>
        <w:spacing w:after="80" w:before="180" w:line="240" w:lineRule="auto"/>
        <w:jc w:val="left"/>
      </w:pPr>
      <w:r>
        <w:rPr>
          <w:rFonts w:ascii="Times New Roman" w:cs="Times New Roman" w:eastAsia="Times New Roman" w:hAnsi="Times New Roman"/>
          <w:b/>
          <w:bCs/>
          <w:i/>
          <w:iCs/>
          <w:sz w:val="24"/>
          <w:szCs w:val="24"/>
        </w:rPr>
        <w:t xml:space="preserve">5.4 Reino Unido — Judicial College</w:t>
      </w:r>
    </w:p>
    <w:p>
      <w:pPr>
        <w:spacing w:after="120" w:before="0" w:line="240" w:lineRule="auto"/>
        <w:jc w:val="both"/>
      </w:pPr>
      <w:r>
        <w:rPr>
          <w:rFonts w:ascii="Times New Roman" w:cs="Times New Roman" w:eastAsia="Times New Roman" w:hAnsi="Times New Roman"/>
          <w:sz w:val="24"/>
          <w:szCs w:val="24"/>
        </w:rPr>
        <w:t xml:space="preserve">O Judicial Studies Board, criado em 1979 e sucedido pelo Judicial College em 2011, é responsável pela formação de juízes e magistrados leigos, com ênfase em competências comportamentais, ética judicial e formação para lidar com grupos vulneráveis. O modelo britânico valoriza o peer learning — juízes ensinando juízes — e mantém forte vínculo com a independência judicial como princípio pedagógico: quem define os conteúdos é o Judiciário, não o Executivo. Esse princípio tem influência crescente nas diretrizes da ENFAM, que também prioriza a participação de magistrados ativos na formulação dos currículos de formação.</w:t>
      </w:r>
    </w:p>
    <w:p>
      <w:pPr>
        <w:spacing w:after="80" w:before="180" w:line="240" w:lineRule="auto"/>
        <w:jc w:val="left"/>
      </w:pPr>
      <w:r>
        <w:rPr>
          <w:rFonts w:ascii="Times New Roman" w:cs="Times New Roman" w:eastAsia="Times New Roman" w:hAnsi="Times New Roman"/>
          <w:b/>
          <w:bCs/>
          <w:i/>
          <w:iCs/>
          <w:sz w:val="24"/>
          <w:szCs w:val="24"/>
        </w:rPr>
        <w:t xml:space="preserve">5.5 América Latina — Heterogeneidade e desafios comuns</w:t>
      </w:r>
    </w:p>
    <w:p>
      <w:pPr>
        <w:spacing w:after="120" w:before="0" w:line="240" w:lineRule="auto"/>
        <w:jc w:val="both"/>
      </w:pPr>
      <w:r>
        <w:rPr>
          <w:rFonts w:ascii="Times New Roman" w:cs="Times New Roman" w:eastAsia="Times New Roman" w:hAnsi="Times New Roman"/>
          <w:sz w:val="24"/>
          <w:szCs w:val="24"/>
        </w:rPr>
        <w:t xml:space="preserve">Na América Latina, iniciativas como a Escuela Judicial Centroamericana (EJCA) e as escolas nacionais de países como Argentina, México e Colômbia revelam o desafio da heterogeneidade institucional: países com sistemas bem estruturados convivem com outros em estágios embrionários. O Brasil destaca-se como o caso de maior formalização normativa e capilaridade institucional da região, sendo frequentemente citado como referência pelo PNUD e pela IOJT. A principal fragilidade regional é a ausência de um mecanismo supranacional de coordenação análogo à EJTN europeia.</w:t>
      </w:r>
    </w:p>
    <w:p>
      <w:pPr>
        <w:spacing w:after="120" w:before="0" w:line="240" w:lineRule="auto"/>
        <w:jc w:val="both"/>
      </w:pPr>
      <w:r>
        <w:rPr>
          <w:rFonts w:ascii="Times New Roman" w:cs="Times New Roman" w:eastAsia="Times New Roman" w:hAnsi="Times New Roman"/>
          <w:sz w:val="24"/>
          <w:szCs w:val="24"/>
        </w:rPr>
        <w:t xml:space="preserve">O Quadro 2 sintetiza as principais dimensões dos cinco sistemas em perspectiva comparada:</w:t>
      </w:r>
    </w:p>
    <w:p>
      <w:pPr>
        <w:spacing w:after="0" w:line="240"/>
      </w:pPr>
      <w:r>
        <w:rPr>
          <w:rFonts w:ascii="Times New Roman" w:cs="Times New Roman" w:eastAsia="Times New Roman" w:hAnsi="Times New Roman"/>
          <w:sz w:val="24"/>
          <w:szCs w:val="24"/>
        </w:rPr>
        <w:t xml:space="preserve"/>
      </w:r>
    </w:p>
    <w:p>
      <w:pPr>
        <w:spacing w:after="80" w:before="0" w:line="240" w:lineRule="auto"/>
        <w:jc w:val="center"/>
      </w:pPr>
      <w:r>
        <w:rPr>
          <w:rFonts w:ascii="Times New Roman" w:cs="Times New Roman" w:eastAsia="Times New Roman" w:hAnsi="Times New Roman"/>
          <w:b/>
          <w:bCs/>
          <w:sz w:val="24"/>
          <w:szCs w:val="24"/>
        </w:rPr>
        <w:t xml:space="preserve">Quadro 2 — Comparação Internacional de Sistemas de Educação Judicial</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1800"/>
        <w:gridCol w:w="1400"/>
        <w:gridCol w:w="1300"/>
        <w:gridCol w:w="1871"/>
      </w:tblGrid>
      <w:tr>
        <w:tc>
          <w:tcPr>
            <w:tcW w:type="dxa" w:w="1800"/>
            <w:tcBorders>
              <w:top w:val="single" w:color="000000" w:sz="6"/>
              <w:left w:val="single" w:color="000000" w:sz="6"/>
              <w:bottom w:val="single" w:color="000000" w:sz="6"/>
              <w:right w:val="single" w:color="000000" w:sz="6"/>
            </w:tcBorders>
            <w:shd w:fill="D9E2F3" w:val="clear"/>
            <w:tcMar>
              <w:top w:type="dxa" w:w="80"/>
              <w:left w:type="dxa" w:w="120"/>
              <w:bottom w:type="dxa" w:w="80"/>
              <w:right w:type="dxa" w:w="120"/>
            </w:tcMar>
          </w:tcPr>
          <w:p>
            <w:pPr>
              <w:spacing w:after="40" w:line="240" w:lineRule="auto"/>
              <w:jc w:val="left"/>
            </w:pPr>
            <w:r>
              <w:rPr>
                <w:rFonts w:ascii="Times New Roman" w:cs="Times New Roman" w:eastAsia="Times New Roman" w:hAnsi="Times New Roman"/>
                <w:b/>
                <w:bCs/>
                <w:sz w:val="18"/>
                <w:szCs w:val="18"/>
              </w:rPr>
              <w:t xml:space="preserve">País / Sistema</w:t>
            </w:r>
          </w:p>
        </w:tc>
        <w:tc>
          <w:tcPr>
            <w:tcW w:type="dxa" w:w="900"/>
            <w:tcBorders>
              <w:top w:val="single" w:color="000000" w:sz="6"/>
              <w:left w:val="single" w:color="000000" w:sz="6"/>
              <w:bottom w:val="single" w:color="000000" w:sz="6"/>
              <w:right w:val="single" w:color="000000" w:sz="6"/>
            </w:tcBorders>
            <w:shd w:fill="D9E2F3" w:val="clear"/>
            <w:tcMar>
              <w:top w:type="dxa" w:w="80"/>
              <w:left w:type="dxa" w:w="120"/>
              <w:bottom w:type="dxa" w:w="80"/>
              <w:right w:type="dxa" w:w="120"/>
            </w:tcMar>
          </w:tcPr>
          <w:p>
            <w:pPr>
              <w:spacing w:after="40" w:line="240" w:lineRule="auto"/>
              <w:jc w:val="left"/>
            </w:pPr>
            <w:r>
              <w:rPr>
                <w:rFonts w:ascii="Times New Roman" w:cs="Times New Roman" w:eastAsia="Times New Roman" w:hAnsi="Times New Roman"/>
                <w:b/>
                <w:bCs/>
                <w:sz w:val="18"/>
                <w:szCs w:val="18"/>
              </w:rPr>
              <w:t xml:space="preserve">Criação</w:t>
            </w:r>
          </w:p>
        </w:tc>
        <w:tc>
          <w:tcPr>
            <w:tcW w:type="dxa" w:w="1800"/>
            <w:tcBorders>
              <w:top w:val="single" w:color="000000" w:sz="6"/>
              <w:left w:val="single" w:color="000000" w:sz="6"/>
              <w:bottom w:val="single" w:color="000000" w:sz="6"/>
              <w:right w:val="single" w:color="000000" w:sz="6"/>
            </w:tcBorders>
            <w:shd w:fill="D9E2F3" w:val="clear"/>
            <w:tcMar>
              <w:top w:type="dxa" w:w="80"/>
              <w:left w:type="dxa" w:w="120"/>
              <w:bottom w:type="dxa" w:w="80"/>
              <w:right w:type="dxa" w:w="120"/>
            </w:tcMar>
          </w:tcPr>
          <w:p>
            <w:pPr>
              <w:spacing w:after="40" w:line="240" w:lineRule="auto"/>
              <w:jc w:val="left"/>
            </w:pPr>
            <w:r>
              <w:rPr>
                <w:rFonts w:ascii="Times New Roman" w:cs="Times New Roman" w:eastAsia="Times New Roman" w:hAnsi="Times New Roman"/>
                <w:b/>
                <w:bCs/>
                <w:sz w:val="18"/>
                <w:szCs w:val="18"/>
              </w:rPr>
              <w:t xml:space="preserve">Modelo</w:t>
            </w:r>
          </w:p>
        </w:tc>
        <w:tc>
          <w:tcPr>
            <w:tcW w:type="dxa" w:w="1400"/>
            <w:tcBorders>
              <w:top w:val="single" w:color="000000" w:sz="6"/>
              <w:left w:val="single" w:color="000000" w:sz="6"/>
              <w:bottom w:val="single" w:color="000000" w:sz="6"/>
              <w:right w:val="single" w:color="000000" w:sz="6"/>
            </w:tcBorders>
            <w:shd w:fill="D9E2F3" w:val="clear"/>
            <w:tcMar>
              <w:top w:type="dxa" w:w="80"/>
              <w:left w:type="dxa" w:w="120"/>
              <w:bottom w:type="dxa" w:w="80"/>
              <w:right w:type="dxa" w:w="120"/>
            </w:tcMar>
          </w:tcPr>
          <w:p>
            <w:pPr>
              <w:spacing w:after="40" w:line="240" w:lineRule="auto"/>
              <w:jc w:val="left"/>
            </w:pPr>
            <w:r>
              <w:rPr>
                <w:rFonts w:ascii="Times New Roman" w:cs="Times New Roman" w:eastAsia="Times New Roman" w:hAnsi="Times New Roman"/>
                <w:b/>
                <w:bCs/>
                <w:sz w:val="18"/>
                <w:szCs w:val="18"/>
              </w:rPr>
              <w:t xml:space="preserve">Cobertura</w:t>
            </w:r>
          </w:p>
        </w:tc>
        <w:tc>
          <w:tcPr>
            <w:tcW w:type="dxa" w:w="1300"/>
            <w:tcBorders>
              <w:top w:val="single" w:color="000000" w:sz="6"/>
              <w:left w:val="single" w:color="000000" w:sz="6"/>
              <w:bottom w:val="single" w:color="000000" w:sz="6"/>
              <w:right w:val="single" w:color="000000" w:sz="6"/>
            </w:tcBorders>
            <w:shd w:fill="D9E2F3" w:val="clear"/>
            <w:tcMar>
              <w:top w:type="dxa" w:w="80"/>
              <w:left w:type="dxa" w:w="120"/>
              <w:bottom w:type="dxa" w:w="80"/>
              <w:right w:type="dxa" w:w="120"/>
            </w:tcMar>
          </w:tcPr>
          <w:p>
            <w:pPr>
              <w:spacing w:after="40" w:line="240" w:lineRule="auto"/>
              <w:jc w:val="left"/>
            </w:pPr>
            <w:r>
              <w:rPr>
                <w:rFonts w:ascii="Times New Roman" w:cs="Times New Roman" w:eastAsia="Times New Roman" w:hAnsi="Times New Roman"/>
                <w:b/>
                <w:bCs/>
                <w:sz w:val="18"/>
                <w:szCs w:val="18"/>
              </w:rPr>
              <w:t xml:space="preserve">Vínculo à carreira</w:t>
            </w:r>
          </w:p>
        </w:tc>
        <w:tc>
          <w:tcPr>
            <w:tcW w:type="dxa" w:w="1871"/>
            <w:tcBorders>
              <w:top w:val="single" w:color="000000" w:sz="6"/>
              <w:left w:val="single" w:color="000000" w:sz="6"/>
              <w:bottom w:val="single" w:color="000000" w:sz="6"/>
              <w:right w:val="single" w:color="000000" w:sz="6"/>
            </w:tcBorders>
            <w:shd w:fill="D9E2F3" w:val="clear"/>
            <w:tcMar>
              <w:top w:type="dxa" w:w="80"/>
              <w:left w:type="dxa" w:w="120"/>
              <w:bottom w:type="dxa" w:w="80"/>
              <w:right w:type="dxa" w:w="120"/>
            </w:tcMar>
          </w:tcPr>
          <w:p>
            <w:pPr>
              <w:spacing w:after="40" w:line="240" w:lineRule="auto"/>
              <w:jc w:val="left"/>
            </w:pPr>
            <w:r>
              <w:rPr>
                <w:rFonts w:ascii="Times New Roman" w:cs="Times New Roman" w:eastAsia="Times New Roman" w:hAnsi="Times New Roman"/>
                <w:b/>
                <w:bCs/>
                <w:sz w:val="18"/>
                <w:szCs w:val="18"/>
              </w:rPr>
              <w:t xml:space="preserve">Órgão regulador</w:t>
            </w:r>
          </w:p>
        </w:tc>
      </w:tr>
      <w:tr>
        <w:tc>
          <w:tcPr>
            <w:tcW w:type="dxa" w:w="18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tcPr>
          <w:p>
            <w:pPr>
              <w:spacing w:after="40" w:line="240" w:lineRule="auto"/>
              <w:jc w:val="left"/>
            </w:pPr>
            <w:r>
              <w:rPr>
                <w:rFonts w:ascii="Times New Roman" w:cs="Times New Roman" w:eastAsia="Times New Roman" w:hAnsi="Times New Roman"/>
                <w:b w:val="false"/>
                <w:bCs w:val="false"/>
                <w:sz w:val="18"/>
                <w:szCs w:val="18"/>
              </w:rPr>
              <w:t xml:space="preserve">Brasil — ENFAM + ENAJU</w:t>
            </w:r>
          </w:p>
        </w:tc>
        <w:tc>
          <w:tcPr>
            <w:tcW w:type="dxa" w:w="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line="240" w:lineRule="auto"/>
              <w:jc w:val="left"/>
            </w:pPr>
            <w:r>
              <w:rPr>
                <w:rFonts w:ascii="Times New Roman" w:cs="Times New Roman" w:eastAsia="Times New Roman" w:hAnsi="Times New Roman"/>
                <w:b w:val="false"/>
                <w:bCs w:val="false"/>
                <w:sz w:val="18"/>
                <w:szCs w:val="18"/>
              </w:rPr>
              <w:t xml:space="preserve">2006 / 2025</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line="240" w:lineRule="auto"/>
              <w:jc w:val="left"/>
            </w:pPr>
            <w:r>
              <w:rPr>
                <w:rFonts w:ascii="Times New Roman" w:cs="Times New Roman" w:eastAsia="Times New Roman" w:hAnsi="Times New Roman"/>
                <w:b w:val="false"/>
                <w:bCs w:val="false"/>
                <w:sz w:val="18"/>
                <w:szCs w:val="18"/>
              </w:rPr>
              <w:t xml:space="preserve">Dual-regulado descentralizado</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line="240" w:lineRule="auto"/>
              <w:jc w:val="left"/>
            </w:pPr>
            <w:r>
              <w:rPr>
                <w:rFonts w:ascii="Times New Roman" w:cs="Times New Roman" w:eastAsia="Times New Roman" w:hAnsi="Times New Roman"/>
                <w:b w:val="false"/>
                <w:bCs w:val="false"/>
                <w:sz w:val="18"/>
                <w:szCs w:val="18"/>
              </w:rPr>
              <w:t xml:space="preserve">Magistrados e servidores</w:t>
            </w:r>
          </w:p>
        </w:tc>
        <w:tc>
          <w:tcPr>
            <w:tcW w:type="dxa" w:w="13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line="240" w:lineRule="auto"/>
              <w:jc w:val="left"/>
            </w:pPr>
            <w:r>
              <w:rPr>
                <w:rFonts w:ascii="Times New Roman" w:cs="Times New Roman" w:eastAsia="Times New Roman" w:hAnsi="Times New Roman"/>
                <w:b w:val="false"/>
                <w:bCs w:val="false"/>
                <w:sz w:val="18"/>
                <w:szCs w:val="18"/>
              </w:rPr>
              <w:t xml:space="preserve">Sim — constitucional</w:t>
            </w:r>
          </w:p>
        </w:tc>
        <w:tc>
          <w:tcPr>
            <w:tcW w:type="dxa" w:w="187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line="240" w:lineRule="auto"/>
              <w:jc w:val="left"/>
            </w:pPr>
            <w:r>
              <w:rPr>
                <w:rFonts w:ascii="Times New Roman" w:cs="Times New Roman" w:eastAsia="Times New Roman" w:hAnsi="Times New Roman"/>
                <w:b w:val="false"/>
                <w:bCs w:val="false"/>
                <w:sz w:val="18"/>
                <w:szCs w:val="18"/>
              </w:rPr>
              <w:t xml:space="preserve">CNJ + STJ</w:t>
            </w:r>
          </w:p>
        </w:tc>
      </w:tr>
      <w:tr>
        <w:tc>
          <w:tcPr>
            <w:tcW w:type="dxa" w:w="18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tcPr>
          <w:p>
            <w:pPr>
              <w:spacing w:after="40" w:line="240" w:lineRule="auto"/>
              <w:jc w:val="left"/>
            </w:pPr>
            <w:r>
              <w:rPr>
                <w:rFonts w:ascii="Times New Roman" w:cs="Times New Roman" w:eastAsia="Times New Roman" w:hAnsi="Times New Roman"/>
                <w:b w:val="false"/>
                <w:bCs w:val="false"/>
                <w:sz w:val="18"/>
                <w:szCs w:val="18"/>
              </w:rPr>
              <w:t xml:space="preserve">França — ENM</w:t>
            </w:r>
          </w:p>
        </w:tc>
        <w:tc>
          <w:tcPr>
            <w:tcW w:type="dxa" w:w="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line="240" w:lineRule="auto"/>
              <w:jc w:val="left"/>
            </w:pPr>
            <w:r>
              <w:rPr>
                <w:rFonts w:ascii="Times New Roman" w:cs="Times New Roman" w:eastAsia="Times New Roman" w:hAnsi="Times New Roman"/>
                <w:b w:val="false"/>
                <w:bCs w:val="false"/>
                <w:sz w:val="18"/>
                <w:szCs w:val="18"/>
              </w:rPr>
              <w:t xml:space="preserve">1958</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line="240" w:lineRule="auto"/>
              <w:jc w:val="left"/>
            </w:pPr>
            <w:r>
              <w:rPr>
                <w:rFonts w:ascii="Times New Roman" w:cs="Times New Roman" w:eastAsia="Times New Roman" w:hAnsi="Times New Roman"/>
                <w:b w:val="false"/>
                <w:bCs w:val="false"/>
                <w:sz w:val="18"/>
                <w:szCs w:val="18"/>
              </w:rPr>
              <w:t xml:space="preserve">Unitário-centralizado</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line="240" w:lineRule="auto"/>
              <w:jc w:val="left"/>
            </w:pPr>
            <w:r>
              <w:rPr>
                <w:rFonts w:ascii="Times New Roman" w:cs="Times New Roman" w:eastAsia="Times New Roman" w:hAnsi="Times New Roman"/>
                <w:b w:val="false"/>
                <w:bCs w:val="false"/>
                <w:sz w:val="18"/>
                <w:szCs w:val="18"/>
              </w:rPr>
              <w:t xml:space="preserve">Magistrados (todos os ramos)</w:t>
            </w:r>
          </w:p>
        </w:tc>
        <w:tc>
          <w:tcPr>
            <w:tcW w:type="dxa" w:w="13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line="240" w:lineRule="auto"/>
              <w:jc w:val="left"/>
            </w:pPr>
            <w:r>
              <w:rPr>
                <w:rFonts w:ascii="Times New Roman" w:cs="Times New Roman" w:eastAsia="Times New Roman" w:hAnsi="Times New Roman"/>
                <w:b w:val="false"/>
                <w:bCs w:val="false"/>
                <w:sz w:val="18"/>
                <w:szCs w:val="18"/>
              </w:rPr>
              <w:t xml:space="preserve">Sim — seleção+formação integradas</w:t>
            </w:r>
          </w:p>
        </w:tc>
        <w:tc>
          <w:tcPr>
            <w:tcW w:type="dxa" w:w="187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line="240" w:lineRule="auto"/>
              <w:jc w:val="left"/>
            </w:pPr>
            <w:r>
              <w:rPr>
                <w:rFonts w:ascii="Times New Roman" w:cs="Times New Roman" w:eastAsia="Times New Roman" w:hAnsi="Times New Roman"/>
                <w:b w:val="false"/>
                <w:bCs w:val="false"/>
                <w:sz w:val="18"/>
                <w:szCs w:val="18"/>
              </w:rPr>
              <w:t xml:space="preserve">Ministério da Justiça</w:t>
            </w:r>
          </w:p>
        </w:tc>
      </w:tr>
      <w:tr>
        <w:tc>
          <w:tcPr>
            <w:tcW w:type="dxa" w:w="18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tcPr>
          <w:p>
            <w:pPr>
              <w:spacing w:after="40" w:line="240" w:lineRule="auto"/>
              <w:jc w:val="left"/>
            </w:pPr>
            <w:r>
              <w:rPr>
                <w:rFonts w:ascii="Times New Roman" w:cs="Times New Roman" w:eastAsia="Times New Roman" w:hAnsi="Times New Roman"/>
                <w:b w:val="false"/>
                <w:bCs w:val="false"/>
                <w:sz w:val="18"/>
                <w:szCs w:val="18"/>
              </w:rPr>
              <w:t xml:space="preserve">EUA — Federal Judicial Center</w:t>
            </w:r>
          </w:p>
        </w:tc>
        <w:tc>
          <w:tcPr>
            <w:tcW w:type="dxa" w:w="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line="240" w:lineRule="auto"/>
              <w:jc w:val="left"/>
            </w:pPr>
            <w:r>
              <w:rPr>
                <w:rFonts w:ascii="Times New Roman" w:cs="Times New Roman" w:eastAsia="Times New Roman" w:hAnsi="Times New Roman"/>
                <w:b w:val="false"/>
                <w:bCs w:val="false"/>
                <w:sz w:val="18"/>
                <w:szCs w:val="18"/>
              </w:rPr>
              <w:t xml:space="preserve">1967</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line="240" w:lineRule="auto"/>
              <w:jc w:val="left"/>
            </w:pPr>
            <w:r>
              <w:rPr>
                <w:rFonts w:ascii="Times New Roman" w:cs="Times New Roman" w:eastAsia="Times New Roman" w:hAnsi="Times New Roman"/>
                <w:b w:val="false"/>
                <w:bCs w:val="false"/>
                <w:sz w:val="18"/>
                <w:szCs w:val="18"/>
              </w:rPr>
              <w:t xml:space="preserve">Pesquisa + educação voluntária</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line="240" w:lineRule="auto"/>
              <w:jc w:val="left"/>
            </w:pPr>
            <w:r>
              <w:rPr>
                <w:rFonts w:ascii="Times New Roman" w:cs="Times New Roman" w:eastAsia="Times New Roman" w:hAnsi="Times New Roman"/>
                <w:b w:val="false"/>
                <w:bCs w:val="false"/>
                <w:sz w:val="18"/>
                <w:szCs w:val="18"/>
              </w:rPr>
              <w:t xml:space="preserve">Juízes federais</w:t>
            </w:r>
          </w:p>
        </w:tc>
        <w:tc>
          <w:tcPr>
            <w:tcW w:type="dxa" w:w="13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line="240" w:lineRule="auto"/>
              <w:jc w:val="left"/>
            </w:pPr>
            <w:r>
              <w:rPr>
                <w:rFonts w:ascii="Times New Roman" w:cs="Times New Roman" w:eastAsia="Times New Roman" w:hAnsi="Times New Roman"/>
                <w:b w:val="false"/>
                <w:bCs w:val="false"/>
                <w:sz w:val="18"/>
                <w:szCs w:val="18"/>
              </w:rPr>
              <w:t xml:space="preserve">Não — participação voluntária</w:t>
            </w:r>
          </w:p>
        </w:tc>
        <w:tc>
          <w:tcPr>
            <w:tcW w:type="dxa" w:w="187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line="240" w:lineRule="auto"/>
              <w:jc w:val="left"/>
            </w:pPr>
            <w:r>
              <w:rPr>
                <w:rFonts w:ascii="Times New Roman" w:cs="Times New Roman" w:eastAsia="Times New Roman" w:hAnsi="Times New Roman"/>
                <w:b w:val="false"/>
                <w:bCs w:val="false"/>
                <w:sz w:val="18"/>
                <w:szCs w:val="18"/>
              </w:rPr>
              <w:t xml:space="preserve">Suprema Corte</w:t>
            </w:r>
          </w:p>
        </w:tc>
      </w:tr>
      <w:tr>
        <w:tc>
          <w:tcPr>
            <w:tcW w:type="dxa" w:w="18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tcPr>
          <w:p>
            <w:pPr>
              <w:spacing w:after="40" w:line="240" w:lineRule="auto"/>
              <w:jc w:val="left"/>
            </w:pPr>
            <w:r>
              <w:rPr>
                <w:rFonts w:ascii="Times New Roman" w:cs="Times New Roman" w:eastAsia="Times New Roman" w:hAnsi="Times New Roman"/>
                <w:b w:val="false"/>
                <w:bCs w:val="false"/>
                <w:sz w:val="18"/>
                <w:szCs w:val="18"/>
              </w:rPr>
              <w:t xml:space="preserve">UE — EJTN</w:t>
            </w:r>
          </w:p>
        </w:tc>
        <w:tc>
          <w:tcPr>
            <w:tcW w:type="dxa" w:w="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line="240" w:lineRule="auto"/>
              <w:jc w:val="left"/>
            </w:pPr>
            <w:r>
              <w:rPr>
                <w:rFonts w:ascii="Times New Roman" w:cs="Times New Roman" w:eastAsia="Times New Roman" w:hAnsi="Times New Roman"/>
                <w:b w:val="false"/>
                <w:bCs w:val="false"/>
                <w:sz w:val="18"/>
                <w:szCs w:val="18"/>
              </w:rPr>
              <w:t xml:space="preserve">2000</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line="240" w:lineRule="auto"/>
              <w:jc w:val="left"/>
            </w:pPr>
            <w:r>
              <w:rPr>
                <w:rFonts w:ascii="Times New Roman" w:cs="Times New Roman" w:eastAsia="Times New Roman" w:hAnsi="Times New Roman"/>
                <w:b w:val="false"/>
                <w:bCs w:val="false"/>
                <w:sz w:val="18"/>
                <w:szCs w:val="18"/>
              </w:rPr>
              <w:t xml:space="preserve">Rede supranacional cooperativa</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line="240" w:lineRule="auto"/>
              <w:jc w:val="left"/>
            </w:pPr>
            <w:r>
              <w:rPr>
                <w:rFonts w:ascii="Times New Roman" w:cs="Times New Roman" w:eastAsia="Times New Roman" w:hAnsi="Times New Roman"/>
                <w:b w:val="false"/>
                <w:bCs w:val="false"/>
                <w:sz w:val="18"/>
                <w:szCs w:val="18"/>
              </w:rPr>
              <w:t xml:space="preserve">Magistrados (27 países membros)</w:t>
            </w:r>
          </w:p>
        </w:tc>
        <w:tc>
          <w:tcPr>
            <w:tcW w:type="dxa" w:w="13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line="240" w:lineRule="auto"/>
              <w:jc w:val="left"/>
            </w:pPr>
            <w:r>
              <w:rPr>
                <w:rFonts w:ascii="Times New Roman" w:cs="Times New Roman" w:eastAsia="Times New Roman" w:hAnsi="Times New Roman"/>
                <w:b w:val="false"/>
                <w:bCs w:val="false"/>
                <w:sz w:val="18"/>
                <w:szCs w:val="18"/>
              </w:rPr>
              <w:t xml:space="preserve">Não — sem poder regulatório nacional</w:t>
            </w:r>
          </w:p>
        </w:tc>
        <w:tc>
          <w:tcPr>
            <w:tcW w:type="dxa" w:w="187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line="240" w:lineRule="auto"/>
              <w:jc w:val="left"/>
            </w:pPr>
            <w:r>
              <w:rPr>
                <w:rFonts w:ascii="Times New Roman" w:cs="Times New Roman" w:eastAsia="Times New Roman" w:hAnsi="Times New Roman"/>
                <w:b w:val="false"/>
                <w:bCs w:val="false"/>
                <w:sz w:val="18"/>
                <w:szCs w:val="18"/>
              </w:rPr>
              <w:t xml:space="preserve">Autorregulação EJTN</w:t>
            </w:r>
          </w:p>
        </w:tc>
      </w:tr>
      <w:tr>
        <w:tc>
          <w:tcPr>
            <w:tcW w:type="dxa" w:w="18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tcPr>
          <w:p>
            <w:pPr>
              <w:spacing w:after="40" w:line="240" w:lineRule="auto"/>
              <w:jc w:val="left"/>
            </w:pPr>
            <w:r>
              <w:rPr>
                <w:rFonts w:ascii="Times New Roman" w:cs="Times New Roman" w:eastAsia="Times New Roman" w:hAnsi="Times New Roman"/>
                <w:b w:val="false"/>
                <w:bCs w:val="false"/>
                <w:sz w:val="18"/>
                <w:szCs w:val="18"/>
              </w:rPr>
              <w:t xml:space="preserve">Reino Unido — Judicial College</w:t>
            </w:r>
          </w:p>
        </w:tc>
        <w:tc>
          <w:tcPr>
            <w:tcW w:type="dxa" w:w="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line="240" w:lineRule="auto"/>
              <w:jc w:val="left"/>
            </w:pPr>
            <w:r>
              <w:rPr>
                <w:rFonts w:ascii="Times New Roman" w:cs="Times New Roman" w:eastAsia="Times New Roman" w:hAnsi="Times New Roman"/>
                <w:b w:val="false"/>
                <w:bCs w:val="false"/>
                <w:sz w:val="18"/>
                <w:szCs w:val="18"/>
              </w:rPr>
              <w:t xml:space="preserve">2011</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line="240" w:lineRule="auto"/>
              <w:jc w:val="left"/>
            </w:pPr>
            <w:r>
              <w:rPr>
                <w:rFonts w:ascii="Times New Roman" w:cs="Times New Roman" w:eastAsia="Times New Roman" w:hAnsi="Times New Roman"/>
                <w:b w:val="false"/>
                <w:bCs w:val="false"/>
                <w:sz w:val="18"/>
                <w:szCs w:val="18"/>
              </w:rPr>
              <w:t xml:space="preserve">Peer learning — juízes ensinando juízes</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line="240" w:lineRule="auto"/>
              <w:jc w:val="left"/>
            </w:pPr>
            <w:r>
              <w:rPr>
                <w:rFonts w:ascii="Times New Roman" w:cs="Times New Roman" w:eastAsia="Times New Roman" w:hAnsi="Times New Roman"/>
                <w:b w:val="false"/>
                <w:bCs w:val="false"/>
                <w:sz w:val="18"/>
                <w:szCs w:val="18"/>
              </w:rPr>
              <w:t xml:space="preserve">Juízes e magistrados leigos</w:t>
            </w:r>
          </w:p>
        </w:tc>
        <w:tc>
          <w:tcPr>
            <w:tcW w:type="dxa" w:w="13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line="240" w:lineRule="auto"/>
              <w:jc w:val="left"/>
            </w:pPr>
            <w:r>
              <w:rPr>
                <w:rFonts w:ascii="Times New Roman" w:cs="Times New Roman" w:eastAsia="Times New Roman" w:hAnsi="Times New Roman"/>
                <w:b w:val="false"/>
                <w:bCs w:val="false"/>
                <w:sz w:val="18"/>
                <w:szCs w:val="18"/>
              </w:rPr>
              <w:t xml:space="preserve">Parcial</w:t>
            </w:r>
          </w:p>
        </w:tc>
        <w:tc>
          <w:tcPr>
            <w:tcW w:type="dxa" w:w="187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line="240" w:lineRule="auto"/>
              <w:jc w:val="left"/>
            </w:pPr>
            <w:r>
              <w:rPr>
                <w:rFonts w:ascii="Times New Roman" w:cs="Times New Roman" w:eastAsia="Times New Roman" w:hAnsi="Times New Roman"/>
                <w:b w:val="false"/>
                <w:bCs w:val="false"/>
                <w:sz w:val="18"/>
                <w:szCs w:val="18"/>
              </w:rPr>
              <w:t xml:space="preserve">Judiciary Board</w:t>
            </w:r>
          </w:p>
        </w:tc>
      </w:tr>
      <w:tr>
        <w:tc>
          <w:tcPr>
            <w:tcW w:type="dxa" w:w="18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tcPr>
          <w:p>
            <w:pPr>
              <w:spacing w:after="40" w:line="240" w:lineRule="auto"/>
              <w:jc w:val="left"/>
            </w:pPr>
            <w:r>
              <w:rPr>
                <w:rFonts w:ascii="Times New Roman" w:cs="Times New Roman" w:eastAsia="Times New Roman" w:hAnsi="Times New Roman"/>
                <w:b w:val="false"/>
                <w:bCs w:val="false"/>
                <w:sz w:val="18"/>
                <w:szCs w:val="18"/>
              </w:rPr>
              <w:t xml:space="preserve">América Latina — EJCA e similares</w:t>
            </w:r>
          </w:p>
        </w:tc>
        <w:tc>
          <w:tcPr>
            <w:tcW w:type="dxa" w:w="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line="240" w:lineRule="auto"/>
              <w:jc w:val="left"/>
            </w:pPr>
            <w:r>
              <w:rPr>
                <w:rFonts w:ascii="Times New Roman" w:cs="Times New Roman" w:eastAsia="Times New Roman" w:hAnsi="Times New Roman"/>
                <w:b w:val="false"/>
                <w:bCs w:val="false"/>
                <w:sz w:val="18"/>
                <w:szCs w:val="18"/>
              </w:rPr>
              <w:t xml:space="preserve">Variável</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line="240" w:lineRule="auto"/>
              <w:jc w:val="left"/>
            </w:pPr>
            <w:r>
              <w:rPr>
                <w:rFonts w:ascii="Times New Roman" w:cs="Times New Roman" w:eastAsia="Times New Roman" w:hAnsi="Times New Roman"/>
                <w:b w:val="false"/>
                <w:bCs w:val="false"/>
                <w:sz w:val="18"/>
                <w:szCs w:val="18"/>
              </w:rPr>
              <w:t xml:space="preserve">Cooperação regional heterogênea</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line="240" w:lineRule="auto"/>
              <w:jc w:val="left"/>
            </w:pPr>
            <w:r>
              <w:rPr>
                <w:rFonts w:ascii="Times New Roman" w:cs="Times New Roman" w:eastAsia="Times New Roman" w:hAnsi="Times New Roman"/>
                <w:b w:val="false"/>
                <w:bCs w:val="false"/>
                <w:sz w:val="18"/>
                <w:szCs w:val="18"/>
              </w:rPr>
              <w:t xml:space="preserve">Magistrados (cobertura variável)</w:t>
            </w:r>
          </w:p>
        </w:tc>
        <w:tc>
          <w:tcPr>
            <w:tcW w:type="dxa" w:w="13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line="240" w:lineRule="auto"/>
              <w:jc w:val="left"/>
            </w:pPr>
            <w:r>
              <w:rPr>
                <w:rFonts w:ascii="Times New Roman" w:cs="Times New Roman" w:eastAsia="Times New Roman" w:hAnsi="Times New Roman"/>
                <w:b w:val="false"/>
                <w:bCs w:val="false"/>
                <w:sz w:val="18"/>
                <w:szCs w:val="18"/>
              </w:rPr>
              <w:t xml:space="preserve">Variável por país</w:t>
            </w:r>
          </w:p>
        </w:tc>
        <w:tc>
          <w:tcPr>
            <w:tcW w:type="dxa" w:w="187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line="240" w:lineRule="auto"/>
              <w:jc w:val="left"/>
            </w:pPr>
            <w:r>
              <w:rPr>
                <w:rFonts w:ascii="Times New Roman" w:cs="Times New Roman" w:eastAsia="Times New Roman" w:hAnsi="Times New Roman"/>
                <w:b w:val="false"/>
                <w:bCs w:val="false"/>
                <w:sz w:val="18"/>
                <w:szCs w:val="18"/>
              </w:rPr>
              <w:t xml:space="preserve">Sem regulação regional vinculante</w:t>
            </w:r>
          </w:p>
        </w:tc>
      </w:tr>
    </w:tbl>
    <w:p>
      <w:pPr>
        <w:spacing w:after="200" w:before="0" w:line="240" w:lineRule="auto"/>
        <w:jc w:val="left"/>
      </w:pPr>
      <w:r>
        <w:rPr>
          <w:rFonts w:ascii="Times New Roman" w:cs="Times New Roman" w:eastAsia="Times New Roman" w:hAnsi="Times New Roman"/>
          <w:i/>
          <w:iCs/>
          <w:sz w:val="24"/>
          <w:szCs w:val="24"/>
        </w:rPr>
        <w:t xml:space="preserve">Fonte: elaboração própria com base em IOJT (2022), EJTN (2023) e fontes primárias dos sistemas nacionais.</w:t>
      </w:r>
    </w:p>
    <w:p>
      <w:pPr>
        <w:spacing w:after="0" w:line="240"/>
      </w:pPr>
      <w:r>
        <w:rPr>
          <w:rFonts w:ascii="Times New Roman" w:cs="Times New Roman" w:eastAsia="Times New Roman" w:hAnsi="Times New Roman"/>
          <w:sz w:val="24"/>
          <w:szCs w:val="24"/>
        </w:rPr>
        <w:t xml:space="preserve"/>
      </w:r>
    </w:p>
    <w:p>
      <w:pPr>
        <w:spacing w:after="120" w:before="0" w:line="240" w:lineRule="auto"/>
        <w:jc w:val="both"/>
      </w:pPr>
      <w:r>
        <w:rPr>
          <w:rFonts w:ascii="Times New Roman" w:cs="Times New Roman" w:eastAsia="Times New Roman" w:hAnsi="Times New Roman"/>
          <w:sz w:val="24"/>
          <w:szCs w:val="24"/>
        </w:rPr>
        <w:t xml:space="preserve">Em síntese, o modelo brasileiro distingue-se pela combinação de três características únicas no cenário internacional: (a) ancoragem constitucional da formação como requisito de carreira, o que confere ao sistema uma legitimidade e uma durabilidade que normas infralegais não garantem; (b) arquitetura dual-regulada com dois órgãos nacionais para públicos distintos, que respeita a especificidade da magistratura sem negligenciar a maioria do funcionalismo; e (c) articulação em rede com dezenas de escolas dos tribunais sob coordenação nacional, que preserva a autonomia institucional sem abrir mão de padrões mínimos. Essa arquitetura representa uma solução original ao problema da formação em um sistema judiciário federativo complexo — solução que emerge de cinquenta anos de aprendizado institucional acumulado.</w:t>
      </w:r>
    </w:p>
    <w:p>
      <w:pPr>
        <w:spacing w:after="200" w:before="300" w:line="240" w:lineRule="auto"/>
        <w:jc w:val="center"/>
      </w:pPr>
      <w:r>
        <w:rPr>
          <w:rFonts w:ascii="Times New Roman" w:cs="Times New Roman" w:eastAsia="Times New Roman" w:hAnsi="Times New Roman"/>
          <w:b/>
          <w:bCs/>
          <w:sz w:val="24"/>
          <w:szCs w:val="24"/>
        </w:rPr>
        <w:t xml:space="preserve">6. FATORES FACILITADORES E DIFICULTADORES</w:t>
      </w:r>
    </w:p>
    <w:p>
      <w:pPr>
        <w:spacing w:after="80" w:before="180" w:line="240" w:lineRule="auto"/>
        <w:jc w:val="left"/>
      </w:pPr>
      <w:r>
        <w:rPr>
          <w:rFonts w:ascii="Times New Roman" w:cs="Times New Roman" w:eastAsia="Times New Roman" w:hAnsi="Times New Roman"/>
          <w:b/>
          <w:bCs/>
          <w:i/>
          <w:iCs/>
          <w:sz w:val="24"/>
          <w:szCs w:val="24"/>
        </w:rPr>
        <w:t xml:space="preserve">6.1 Fatores facilitadores</w:t>
      </w:r>
    </w:p>
    <w:p>
      <w:pPr>
        <w:spacing w:after="120" w:before="0" w:line="240" w:lineRule="auto"/>
        <w:jc w:val="both"/>
      </w:pPr>
      <w:r>
        <w:rPr>
          <w:rFonts w:ascii="Times New Roman" w:cs="Times New Roman" w:eastAsia="Times New Roman" w:hAnsi="Times New Roman"/>
          <w:sz w:val="24"/>
          <w:szCs w:val="24"/>
        </w:rPr>
        <w:t xml:space="preserve">O principal fator facilitador foi a existência de uma reforma constitucional estruturante — a EC 45/2004 — que criou simultaneamente o órgão regulador (CNJ), a escola nacional de magistrados (ENFAM) e o requisito constitucional de formação. Esse tripé normativo de hierarquia constitucional conferiu legitimidade e irreversibilidade ao processo: a educação corporativa judicial tornou-se política de Estado imune a alternâncias de gestão.</w:t>
      </w:r>
    </w:p>
    <w:p>
      <w:pPr>
        <w:spacing w:after="120" w:before="0" w:line="240" w:lineRule="auto"/>
        <w:jc w:val="both"/>
      </w:pPr>
      <w:r>
        <w:rPr>
          <w:rFonts w:ascii="Times New Roman" w:cs="Times New Roman" w:eastAsia="Times New Roman" w:hAnsi="Times New Roman"/>
          <w:sz w:val="24"/>
          <w:szCs w:val="24"/>
        </w:rPr>
        <w:t xml:space="preserve">O segundo fator foi a capacidade regulatória e de planejamento do CNJ, que a partir de 2009 desenvolveu ciclos sucessivos de planejamento estratégico nacional com metas anuais vinculantes, incorporando progressivamente a formação como indicador de desempenho institucional. A articulação entre educação corporativa e estratégia organizacional — consolidada pela Resolução CNJ n. 192/2014 — transformou a capacitação de custo em investimento estratégico mensurável.</w:t>
      </w:r>
    </w:p>
    <w:p>
      <w:pPr>
        <w:spacing w:after="120" w:before="0" w:line="240" w:lineRule="auto"/>
        <w:jc w:val="both"/>
      </w:pPr>
      <w:r>
        <w:rPr>
          <w:rFonts w:ascii="Times New Roman" w:cs="Times New Roman" w:eastAsia="Times New Roman" w:hAnsi="Times New Roman"/>
          <w:sz w:val="24"/>
          <w:szCs w:val="24"/>
        </w:rPr>
        <w:t xml:space="preserve">O terceiro fator foi o legado das escolas associativas pré-2004. Embora fragmentadas, as escolas estaduais e federais criadas antes da EC 45 constituíram competências, redes profissionais e tradições pedagógicas que foram aproveitadas pelo novo sistema. O Colégio Permanente de Diretores de Escolas Estaduais da Magistratura (Copedem) é expressão dessa continuidade: articulou as escolas estaduais durante todo o período e segue como fórum relevante de interlocução com o CNJ e a ENFAM.</w:t>
      </w:r>
    </w:p>
    <w:p>
      <w:pPr>
        <w:spacing w:after="80" w:before="180" w:line="240" w:lineRule="auto"/>
        <w:jc w:val="left"/>
      </w:pPr>
      <w:r>
        <w:rPr>
          <w:rFonts w:ascii="Times New Roman" w:cs="Times New Roman" w:eastAsia="Times New Roman" w:hAnsi="Times New Roman"/>
          <w:b/>
          <w:bCs/>
          <w:i/>
          <w:iCs/>
          <w:sz w:val="24"/>
          <w:szCs w:val="24"/>
        </w:rPr>
        <w:t xml:space="preserve">6.2 Fatores dificultadores</w:t>
      </w:r>
    </w:p>
    <w:p>
      <w:pPr>
        <w:spacing w:after="120" w:before="0" w:line="240" w:lineRule="auto"/>
        <w:jc w:val="both"/>
      </w:pPr>
      <w:r>
        <w:rPr>
          <w:rFonts w:ascii="Times New Roman" w:cs="Times New Roman" w:eastAsia="Times New Roman" w:hAnsi="Times New Roman"/>
          <w:sz w:val="24"/>
          <w:szCs w:val="24"/>
        </w:rPr>
        <w:t xml:space="preserve">O principal dificultador foi a heterogeneidade de capacidades institucionais entre tribunais. A distância entre as escolas bem estruturadas dos grandes tribunais e a ausência institucional em regiões menos desenvolvidas é um desafio recorrente que nenhum normativo isolado conseguiu superar. A exigência da Resolução CNJ n. 111/2010 de constituição de unidades de formação em 60 dias não garantiu capacidade operacional real nos tribunais de menor porte.</w:t>
      </w:r>
    </w:p>
    <w:p>
      <w:pPr>
        <w:spacing w:after="120" w:before="0" w:line="240" w:lineRule="auto"/>
        <w:jc w:val="both"/>
      </w:pPr>
      <w:r>
        <w:rPr>
          <w:rFonts w:ascii="Times New Roman" w:cs="Times New Roman" w:eastAsia="Times New Roman" w:hAnsi="Times New Roman"/>
          <w:sz w:val="24"/>
          <w:szCs w:val="24"/>
        </w:rPr>
        <w:t xml:space="preserve">O segundo dificultador foi a resistência à padronização em contexto de autonomia federativa. O modelo descentralizado-regulado da ENFAM pressupõe que as escolas dos tribunais sigam diretrizes nacionais, mas a cultura de autonomia institucional dos tribunais gera tensões permanentes entre uniformidade pedagógica e diversidade curricular. Esse é o ponto de maior fricção do sistema, e também o que mais demanda capacidade de negociação política do CNJ e da ENFAM.</w:t>
      </w:r>
    </w:p>
    <w:p>
      <w:pPr>
        <w:spacing w:after="120" w:before="0" w:line="240" w:lineRule="auto"/>
        <w:jc w:val="both"/>
      </w:pPr>
      <w:r>
        <w:rPr>
          <w:rFonts w:ascii="Times New Roman" w:cs="Times New Roman" w:eastAsia="Times New Roman" w:hAnsi="Times New Roman"/>
          <w:sz w:val="24"/>
          <w:szCs w:val="24"/>
        </w:rPr>
        <w:t xml:space="preserve">O terceiro dificultador foi a necessidade de financiamento específico para escolas sem tradição orçamentária própria. A Resolução CNJ n. 159/2012 foi precisamente a resposta normativa a esse obstáculo, mas sua implementação efetiva variou significativamente entre tribunais, criando assimetrias persistentes na capacidade de execução.</w:t>
      </w:r>
    </w:p>
    <w:p>
      <w:pPr>
        <w:spacing w:after="200" w:before="300" w:line="240" w:lineRule="auto"/>
        <w:jc w:val="center"/>
      </w:pPr>
      <w:r>
        <w:rPr>
          <w:rFonts w:ascii="Times New Roman" w:cs="Times New Roman" w:eastAsia="Times New Roman" w:hAnsi="Times New Roman"/>
          <w:b/>
          <w:bCs/>
          <w:sz w:val="24"/>
          <w:szCs w:val="24"/>
        </w:rPr>
        <w:t xml:space="preserve">7. IMPACTOS E POSSIBILIDADES DE REPLICAÇÃO</w:t>
      </w:r>
    </w:p>
    <w:p>
      <w:pPr>
        <w:spacing w:after="120" w:before="0" w:line="240" w:lineRule="auto"/>
        <w:jc w:val="both"/>
      </w:pPr>
      <w:r>
        <w:rPr>
          <w:rFonts w:ascii="Times New Roman" w:cs="Times New Roman" w:eastAsia="Times New Roman" w:hAnsi="Times New Roman"/>
          <w:sz w:val="24"/>
          <w:szCs w:val="24"/>
        </w:rPr>
        <w:t xml:space="preserve">Os impactos mensuráveis do sistema nacional de educação corporativa judicial são expressivos. O portal de EaD do CNJ — operado pelo CEAJud e herdado pela ENAJU — capacitou mais de 420 mil pessoas entre servidores e cidadãos ao longo de quinze anos de operação. A ENFAM regula cursos para aproximadamente 18 mil magistrados distribuídos por dezenas de escolas credenciadas. A RENEJUM articula em rede escolas estaduais, federais e especializadas de todo o país, eliminando redundâncias e ampliando o alcance da formação com os mesmos recursos. Com o novo portal da ENAJU, mais de 200 capacitações de escolas judiciais de todo o Brasil estão disponíveis em plataforma unificada, democratizando o acesso ao conhecimento dentro do Judiciário (CNJ, 2025).</w:t>
      </w:r>
    </w:p>
    <w:p>
      <w:pPr>
        <w:spacing w:after="120" w:before="0" w:line="240" w:lineRule="auto"/>
        <w:jc w:val="both"/>
      </w:pPr>
      <w:r>
        <w:rPr>
          <w:rFonts w:ascii="Times New Roman" w:cs="Times New Roman" w:eastAsia="Times New Roman" w:hAnsi="Times New Roman"/>
          <w:sz w:val="24"/>
          <w:szCs w:val="24"/>
        </w:rPr>
        <w:t xml:space="preserve">No plano qualitativo, a principal transformação foi a passagem do paradigma da "capacitação pontual" — treinamentos isolados sem vínculo estratégico — para a "gestão por competências" — formação articulada aos objetivos institucionais e ao planejamento estratégico. Essa mudança de paradigma, consolidada pela Resolução CNJ n. 192/2014, alterou a lógica de atuação das escolas judiciais e dos gestores de pessoas nos tribunais: de executores de demandas pontuais a formuladores de política de formação orientada por competências e resultados.</w:t>
      </w:r>
    </w:p>
    <w:p>
      <w:pPr>
        <w:spacing w:after="120" w:before="0" w:line="240" w:lineRule="auto"/>
        <w:jc w:val="both"/>
      </w:pPr>
      <w:r>
        <w:rPr>
          <w:rFonts w:ascii="Times New Roman" w:cs="Times New Roman" w:eastAsia="Times New Roman" w:hAnsi="Times New Roman"/>
          <w:sz w:val="24"/>
          <w:szCs w:val="24"/>
        </w:rPr>
        <w:t xml:space="preserve">O caso da educação corporativa judicial brasileira oferece lições replicáveis para outros poderes e esferas da administração pública. Três elementos do modelo são especialmente transferíveis: (a) a criação de um órgão central com mandato normativo explícito — o equivalente da ENAJU para o Executivo federal é a Escola Nacional de Administração Pública (ENAP), que passou por processo similar de fortalecimento; (b) a articulação entre norma nacional e rede descentralizada de execução, que preserva a autonomia institucional sem abrir mão de padrões mínimos de qualidade; e (c) o vínculo normativo entre formação e planejamento estratégico, que transforma a educação corporativa de custo administrativo em investimento de valor estratégico mensurável e avaliável.</w:t>
      </w:r>
    </w:p>
    <w:p>
      <w:pPr>
        <w:spacing w:after="120" w:before="0" w:line="240" w:lineRule="auto"/>
        <w:jc w:val="both"/>
      </w:pPr>
      <w:r>
        <w:rPr>
          <w:rFonts w:ascii="Times New Roman" w:cs="Times New Roman" w:eastAsia="Times New Roman" w:hAnsi="Times New Roman"/>
          <w:sz w:val="24"/>
          <w:szCs w:val="24"/>
        </w:rPr>
        <w:t xml:space="preserve">Para sistemas judiciários de países em desenvolvimento — especialmente na América Latina —, o modelo brasileiro oferece uma trajetória documentada de como se pode construir, em cinquenta anos, um sistema nacional de formação a partir de iniciativas voluntárias dispersas, por meio de reformas constitucionais estruturantes, capacidade regulatória centralizada e cooperação federativa induzida.</w:t>
      </w:r>
    </w:p>
    <w:p>
      <w:pPr>
        <w:spacing w:after="200" w:before="300" w:line="240" w:lineRule="auto"/>
        <w:jc w:val="center"/>
      </w:pPr>
      <w:r>
        <w:rPr>
          <w:rFonts w:ascii="Times New Roman" w:cs="Times New Roman" w:eastAsia="Times New Roman" w:hAnsi="Times New Roman"/>
          <w:b/>
          <w:bCs/>
          <w:sz w:val="24"/>
          <w:szCs w:val="24"/>
        </w:rPr>
        <w:t xml:space="preserve">8. CONCLUSÕES</w:t>
      </w:r>
    </w:p>
    <w:p>
      <w:pPr>
        <w:spacing w:after="120" w:before="0" w:line="240" w:lineRule="auto"/>
        <w:jc w:val="both"/>
      </w:pPr>
      <w:r>
        <w:rPr>
          <w:rFonts w:ascii="Times New Roman" w:cs="Times New Roman" w:eastAsia="Times New Roman" w:hAnsi="Times New Roman"/>
          <w:sz w:val="24"/>
          <w:szCs w:val="24"/>
        </w:rPr>
        <w:t xml:space="preserve">O percurso que vai das primeiras escolas de magistratura dos anos 1970 até a ENAJU de 2025 é a trajetória de uma instituição que aprendeu, ao longo de cinco décadas, que a qualidade da Justiça depende da qualidade permanente de quem a exerce. Cada norma editada ao longo desse caminho — a EC 45, as Resoluções CNJ n. 111, 126, 159, 192 e 643, as Resoluções ENFAM n. 2/2016 e 2/2025 — não foi apenas um ato administrativo: foi o registro formal de uma escolha coletiva pelo investimento em pessoas como condição para a melhoria da prestação jurisdicional.</w:t>
      </w:r>
    </w:p>
    <w:p>
      <w:pPr>
        <w:spacing w:after="120" w:before="0" w:line="240" w:lineRule="auto"/>
        <w:jc w:val="both"/>
      </w:pPr>
      <w:r>
        <w:rPr>
          <w:rFonts w:ascii="Times New Roman" w:cs="Times New Roman" w:eastAsia="Times New Roman" w:hAnsi="Times New Roman"/>
          <w:sz w:val="24"/>
          <w:szCs w:val="24"/>
        </w:rPr>
        <w:t xml:space="preserve">O modelo atual, com a ENFAM regulando a formação dos magistrados e a ENAJU coordenando a educação dos servidores, apoiado por uma rede capilar de escolas nos tribunais articuladas pela RENEJUM, representa a maturidade institucional desse processo. Em perspectiva comparada, o Brasil desenvolveu uma solução original ao problema da formação em um sistema judiciário federativo complexo, que combina ancoragem constitucional, arquitetura dual-regulada e cooperação em rede de forma única na experiência internacional.</w:t>
      </w:r>
    </w:p>
    <w:p>
      <w:pPr>
        <w:spacing w:after="120" w:before="0" w:line="240" w:lineRule="auto"/>
        <w:jc w:val="both"/>
      </w:pPr>
      <w:r>
        <w:rPr>
          <w:rFonts w:ascii="Times New Roman" w:cs="Times New Roman" w:eastAsia="Times New Roman" w:hAnsi="Times New Roman"/>
          <w:sz w:val="24"/>
          <w:szCs w:val="24"/>
        </w:rPr>
        <w:t xml:space="preserve">O desafio que permanece — e que a Portaria CNJ n. 362/2025 já sinalizou ao criar o grupo de trabalho para estruturar a governança da ENAJU — é consolidar essa arquitetura em uma escola verdadeiramente nacional, com estrutura robusta, financiamento adequado, projeto pedagógico inovador e capacidade de responder com agilidade a um cenário judicial em transformação acelerada pela inteligência artificial e pela digitalização dos processos. A educação corporativa deixou de ser um custo para tornar-se o investimento mais estratégico do Poder Judiciário nacional — e a criação da ENAJU é a expressão institucional mais acabada dessa convicção.</w:t>
      </w:r>
    </w:p>
    <w:p>
      <w:pPr>
        <w:spacing w:after="120" w:before="0" w:line="240" w:lineRule="auto"/>
        <w:jc w:val="both"/>
      </w:pPr>
      <w:r>
        <w:rPr>
          <w:rFonts w:ascii="Times New Roman" w:cs="Times New Roman" w:eastAsia="Times New Roman" w:hAnsi="Times New Roman"/>
          <w:sz w:val="24"/>
          <w:szCs w:val="24"/>
        </w:rPr>
        <w:t xml:space="preserve">Para a agenda de pesquisa, os achados deste trabalho apontam quatro prioridades: (a) desenvolvimento de avaliações de impacto com desenho quasi-experimental para programas de formação judicial; (b) estudos de caso comparados sobre o uso de learning analytics em escolas judiciais; (c) análise da efetividade da RENEJUM como mecanismo de redução de desigualdades formativas entre tribunais; e (d) avaliação do impacto da formação de servidores na qualidade e celeridade da prestação jurisdicional — relação ainda inexplorada empiricamente na literatura brasileira.</w:t>
      </w:r>
    </w:p>
    <w:p>
      <w:pPr>
        <w:spacing w:after="200" w:before="300" w:line="240" w:lineRule="auto"/>
        <w:jc w:val="center"/>
      </w:pPr>
      <w:r>
        <w:rPr>
          <w:rFonts w:ascii="Times New Roman" w:cs="Times New Roman" w:eastAsia="Times New Roman" w:hAnsi="Times New Roman"/>
          <w:b/>
          <w:bCs/>
          <w:sz w:val="24"/>
          <w:szCs w:val="24"/>
        </w:rPr>
        <w:t xml:space="preserve">REFERÊNCIAS</w:t>
      </w:r>
    </w:p>
    <w:p>
      <w:pPr>
        <w:spacing w:after="120" w:before="0" w:line="240" w:lineRule="auto"/>
        <w:jc w:val="left"/>
      </w:pPr>
      <w:r>
        <w:rPr>
          <w:rFonts w:ascii="Times New Roman" w:cs="Times New Roman" w:eastAsia="Times New Roman" w:hAnsi="Times New Roman"/>
          <w:b/>
          <w:bCs/>
          <w:sz w:val="24"/>
          <w:szCs w:val="24"/>
        </w:rPr>
        <w:t xml:space="preserve">Allen, M. </w:t>
      </w:r>
      <w:r>
        <w:rPr>
          <w:rFonts w:ascii="Times New Roman" w:cs="Times New Roman" w:eastAsia="Times New Roman" w:hAnsi="Times New Roman"/>
          <w:sz w:val="24"/>
          <w:szCs w:val="24"/>
        </w:rPr>
        <w:t xml:space="preserve">(Ed.). (2002). </w:t>
      </w:r>
      <w:r>
        <w:rPr>
          <w:rFonts w:ascii="Times New Roman" w:cs="Times New Roman" w:eastAsia="Times New Roman" w:hAnsi="Times New Roman"/>
          <w:i/>
          <w:iCs/>
          <w:sz w:val="24"/>
          <w:szCs w:val="24"/>
        </w:rPr>
        <w:t xml:space="preserve">The corporate university handbook: Designing, managing, and growing a successful program. </w:t>
      </w:r>
      <w:r>
        <w:rPr>
          <w:rFonts w:ascii="Times New Roman" w:cs="Times New Roman" w:eastAsia="Times New Roman" w:hAnsi="Times New Roman"/>
          <w:sz w:val="24"/>
          <w:szCs w:val="24"/>
        </w:rPr>
        <w:t xml:space="preserve">AMACOM.</w:t>
      </w:r>
    </w:p>
    <w:p>
      <w:pPr>
        <w:spacing w:after="120" w:before="0" w:line="240" w:lineRule="auto"/>
        <w:jc w:val="left"/>
      </w:pPr>
      <w:r>
        <w:rPr>
          <w:rFonts w:ascii="Times New Roman" w:cs="Times New Roman" w:eastAsia="Times New Roman" w:hAnsi="Times New Roman"/>
          <w:b/>
          <w:bCs/>
          <w:sz w:val="24"/>
          <w:szCs w:val="24"/>
        </w:rPr>
        <w:t xml:space="preserve">Bittencourt, E. </w:t>
      </w:r>
      <w:r>
        <w:rPr>
          <w:rFonts w:ascii="Times New Roman" w:cs="Times New Roman" w:eastAsia="Times New Roman" w:hAnsi="Times New Roman"/>
          <w:sz w:val="24"/>
          <w:szCs w:val="24"/>
        </w:rPr>
        <w:t xml:space="preserve">(1966). </w:t>
      </w:r>
      <w:r>
        <w:rPr>
          <w:rFonts w:ascii="Times New Roman" w:cs="Times New Roman" w:eastAsia="Times New Roman" w:hAnsi="Times New Roman"/>
          <w:i/>
          <w:iCs/>
          <w:sz w:val="24"/>
          <w:szCs w:val="24"/>
        </w:rPr>
        <w:t xml:space="preserve">O juiz. </w:t>
      </w:r>
      <w:r>
        <w:rPr>
          <w:rFonts w:ascii="Times New Roman" w:cs="Times New Roman" w:eastAsia="Times New Roman" w:hAnsi="Times New Roman"/>
          <w:sz w:val="24"/>
          <w:szCs w:val="24"/>
        </w:rPr>
        <w:t xml:space="preserve">Editora do Autor.</w:t>
      </w:r>
    </w:p>
    <w:p>
      <w:pPr>
        <w:spacing w:after="120" w:before="0" w:line="240" w:lineRule="auto"/>
        <w:jc w:val="left"/>
      </w:pPr>
      <w:r>
        <w:rPr>
          <w:rFonts w:ascii="Times New Roman" w:cs="Times New Roman" w:eastAsia="Times New Roman" w:hAnsi="Times New Roman"/>
          <w:b/>
          <w:bCs/>
          <w:sz w:val="24"/>
          <w:szCs w:val="24"/>
        </w:rPr>
        <w:t xml:space="preserve">CNJ. </w:t>
      </w:r>
      <w:r>
        <w:rPr>
          <w:rFonts w:ascii="Times New Roman" w:cs="Times New Roman" w:eastAsia="Times New Roman" w:hAnsi="Times New Roman"/>
          <w:sz w:val="24"/>
          <w:szCs w:val="24"/>
        </w:rPr>
        <w:t xml:space="preserve">(2024). </w:t>
      </w:r>
      <w:r>
        <w:rPr>
          <w:rFonts w:ascii="Times New Roman" w:cs="Times New Roman" w:eastAsia="Times New Roman" w:hAnsi="Times New Roman"/>
          <w:i/>
          <w:iCs/>
          <w:sz w:val="24"/>
          <w:szCs w:val="24"/>
        </w:rPr>
        <w:t xml:space="preserve">Justiça em Números 2024. </w:t>
      </w:r>
      <w:r>
        <w:rPr>
          <w:rFonts w:ascii="Times New Roman" w:cs="Times New Roman" w:eastAsia="Times New Roman" w:hAnsi="Times New Roman"/>
          <w:sz w:val="24"/>
          <w:szCs w:val="24"/>
        </w:rPr>
        <w:t xml:space="preserve">Conselho Nacional de Justiça.</w:t>
      </w:r>
    </w:p>
    <w:p>
      <w:pPr>
        <w:spacing w:after="120" w:before="0" w:line="240" w:lineRule="auto"/>
        <w:jc w:val="left"/>
      </w:pPr>
      <w:r>
        <w:rPr>
          <w:rFonts w:ascii="Times New Roman" w:cs="Times New Roman" w:eastAsia="Times New Roman" w:hAnsi="Times New Roman"/>
          <w:b/>
          <w:bCs/>
          <w:sz w:val="24"/>
          <w:szCs w:val="24"/>
        </w:rPr>
        <w:t xml:space="preserve">CNJ. </w:t>
      </w:r>
      <w:r>
        <w:rPr>
          <w:rFonts w:ascii="Times New Roman" w:cs="Times New Roman" w:eastAsia="Times New Roman" w:hAnsi="Times New Roman"/>
          <w:sz w:val="24"/>
          <w:szCs w:val="24"/>
        </w:rPr>
        <w:t xml:space="preserve">(2025). </w:t>
      </w:r>
      <w:r>
        <w:rPr>
          <w:rFonts w:ascii="Times New Roman" w:cs="Times New Roman" w:eastAsia="Times New Roman" w:hAnsi="Times New Roman"/>
          <w:i/>
          <w:iCs/>
          <w:sz w:val="24"/>
          <w:szCs w:val="24"/>
        </w:rPr>
        <w:t xml:space="preserve">Escola Nacional do Judiciário promoverá capacitação profissional em novo portal. </w:t>
      </w:r>
      <w:r>
        <w:rPr>
          <w:rFonts w:ascii="Times New Roman" w:cs="Times New Roman" w:eastAsia="Times New Roman" w:hAnsi="Times New Roman"/>
          <w:sz w:val="24"/>
          <w:szCs w:val="24"/>
        </w:rPr>
        <w:t xml:space="preserve">https://www.cnj.jus.br/escola-nacional-do-judiciario-promovera-capacitacao-profissional-em-novo-portal/</w:t>
      </w:r>
    </w:p>
    <w:p>
      <w:pPr>
        <w:spacing w:after="120" w:before="0" w:line="240" w:lineRule="auto"/>
        <w:jc w:val="left"/>
      </w:pPr>
      <w:r>
        <w:rPr>
          <w:rFonts w:ascii="Times New Roman" w:cs="Times New Roman" w:eastAsia="Times New Roman" w:hAnsi="Times New Roman"/>
          <w:b/>
          <w:bCs/>
          <w:sz w:val="24"/>
          <w:szCs w:val="24"/>
        </w:rPr>
        <w:t xml:space="preserve">DiMaggio, P. J., &amp; Powell, W. W. </w:t>
      </w:r>
      <w:r>
        <w:rPr>
          <w:rFonts w:ascii="Times New Roman" w:cs="Times New Roman" w:eastAsia="Times New Roman" w:hAnsi="Times New Roman"/>
          <w:sz w:val="24"/>
          <w:szCs w:val="24"/>
        </w:rPr>
        <w:t xml:space="preserve">(1983). The iron cage revisited: Institutional isomorphism and collective rationality in organizational fields. </w:t>
      </w:r>
      <w:r>
        <w:rPr>
          <w:rFonts w:ascii="Times New Roman" w:cs="Times New Roman" w:eastAsia="Times New Roman" w:hAnsi="Times New Roman"/>
          <w:i/>
          <w:iCs/>
          <w:sz w:val="24"/>
          <w:szCs w:val="24"/>
        </w:rPr>
        <w:t xml:space="preserve">American Sociological Review, 48</w:t>
      </w:r>
      <w:r>
        <w:rPr>
          <w:rFonts w:ascii="Times New Roman" w:cs="Times New Roman" w:eastAsia="Times New Roman" w:hAnsi="Times New Roman"/>
          <w:sz w:val="24"/>
          <w:szCs w:val="24"/>
        </w:rPr>
        <w:t xml:space="preserve">(2), 147–160.</w:t>
      </w:r>
    </w:p>
    <w:p>
      <w:pPr>
        <w:spacing w:after="120" w:before="0" w:line="240" w:lineRule="auto"/>
        <w:jc w:val="left"/>
      </w:pPr>
      <w:r>
        <w:rPr>
          <w:rFonts w:ascii="Times New Roman" w:cs="Times New Roman" w:eastAsia="Times New Roman" w:hAnsi="Times New Roman"/>
          <w:b/>
          <w:bCs/>
          <w:sz w:val="24"/>
          <w:szCs w:val="24"/>
        </w:rPr>
        <w:t xml:space="preserve">Fleury, M. T. L., &amp; Fleury, A. </w:t>
      </w:r>
      <w:r>
        <w:rPr>
          <w:rFonts w:ascii="Times New Roman" w:cs="Times New Roman" w:eastAsia="Times New Roman" w:hAnsi="Times New Roman"/>
          <w:sz w:val="24"/>
          <w:szCs w:val="24"/>
        </w:rPr>
        <w:t xml:space="preserve">(2001). Construindo o conceito de competência. </w:t>
      </w:r>
      <w:r>
        <w:rPr>
          <w:rFonts w:ascii="Times New Roman" w:cs="Times New Roman" w:eastAsia="Times New Roman" w:hAnsi="Times New Roman"/>
          <w:i/>
          <w:iCs/>
          <w:sz w:val="24"/>
          <w:szCs w:val="24"/>
        </w:rPr>
        <w:t xml:space="preserve">Revista de Administração Contemporânea, 5</w:t>
      </w:r>
      <w:r>
        <w:rPr>
          <w:rFonts w:ascii="Times New Roman" w:cs="Times New Roman" w:eastAsia="Times New Roman" w:hAnsi="Times New Roman"/>
          <w:sz w:val="24"/>
          <w:szCs w:val="24"/>
        </w:rPr>
        <w:t xml:space="preserve">(spe), 183–196.</w:t>
      </w:r>
    </w:p>
    <w:p>
      <w:pPr>
        <w:spacing w:after="120" w:before="0" w:line="240" w:lineRule="auto"/>
        <w:jc w:val="left"/>
      </w:pPr>
      <w:r>
        <w:rPr>
          <w:rFonts w:ascii="Times New Roman" w:cs="Times New Roman" w:eastAsia="Times New Roman" w:hAnsi="Times New Roman"/>
          <w:b/>
          <w:bCs/>
          <w:sz w:val="24"/>
          <w:szCs w:val="24"/>
        </w:rPr>
        <w:t xml:space="preserve">Geyh, C. G. </w:t>
      </w:r>
      <w:r>
        <w:rPr>
          <w:rFonts w:ascii="Times New Roman" w:cs="Times New Roman" w:eastAsia="Times New Roman" w:hAnsi="Times New Roman"/>
          <w:sz w:val="24"/>
          <w:szCs w:val="24"/>
        </w:rPr>
        <w:t xml:space="preserve">(2006). </w:t>
      </w:r>
      <w:r>
        <w:rPr>
          <w:rFonts w:ascii="Times New Roman" w:cs="Times New Roman" w:eastAsia="Times New Roman" w:hAnsi="Times New Roman"/>
          <w:i/>
          <w:iCs/>
          <w:sz w:val="24"/>
          <w:szCs w:val="24"/>
        </w:rPr>
        <w:t xml:space="preserve">When courts and congress collide: The struggle for control of America's judicial system. </w:t>
      </w:r>
      <w:r>
        <w:rPr>
          <w:rFonts w:ascii="Times New Roman" w:cs="Times New Roman" w:eastAsia="Times New Roman" w:hAnsi="Times New Roman"/>
          <w:sz w:val="24"/>
          <w:szCs w:val="24"/>
        </w:rPr>
        <w:t xml:space="preserve">University of Michigan Press.</w:t>
      </w:r>
    </w:p>
    <w:p>
      <w:pPr>
        <w:spacing w:after="120" w:before="0" w:line="240" w:lineRule="auto"/>
        <w:jc w:val="left"/>
      </w:pPr>
      <w:r>
        <w:rPr>
          <w:rFonts w:ascii="Times New Roman" w:cs="Times New Roman" w:eastAsia="Times New Roman" w:hAnsi="Times New Roman"/>
          <w:b/>
          <w:bCs/>
          <w:sz w:val="24"/>
          <w:szCs w:val="24"/>
        </w:rPr>
        <w:t xml:space="preserve">IOJT. </w:t>
      </w:r>
      <w:r>
        <w:rPr>
          <w:rFonts w:ascii="Times New Roman" w:cs="Times New Roman" w:eastAsia="Times New Roman" w:hAnsi="Times New Roman"/>
          <w:sz w:val="24"/>
          <w:szCs w:val="24"/>
        </w:rPr>
        <w:t xml:space="preserve">(2022). </w:t>
      </w:r>
      <w:r>
        <w:rPr>
          <w:rFonts w:ascii="Times New Roman" w:cs="Times New Roman" w:eastAsia="Times New Roman" w:hAnsi="Times New Roman"/>
          <w:i/>
          <w:iCs/>
          <w:sz w:val="24"/>
          <w:szCs w:val="24"/>
        </w:rPr>
        <w:t xml:space="preserve">Global report on judicial education and training. </w:t>
      </w:r>
      <w:r>
        <w:rPr>
          <w:rFonts w:ascii="Times New Roman" w:cs="Times New Roman" w:eastAsia="Times New Roman" w:hAnsi="Times New Roman"/>
          <w:sz w:val="24"/>
          <w:szCs w:val="24"/>
        </w:rPr>
        <w:t xml:space="preserve">International Organization for Judicial Training. https://www.iojt.org</w:t>
      </w:r>
    </w:p>
    <w:p>
      <w:pPr>
        <w:spacing w:after="120" w:before="0" w:line="240" w:lineRule="auto"/>
        <w:jc w:val="left"/>
      </w:pPr>
      <w:r>
        <w:rPr>
          <w:rFonts w:ascii="Times New Roman" w:cs="Times New Roman" w:eastAsia="Times New Roman" w:hAnsi="Times New Roman"/>
          <w:b/>
          <w:bCs/>
          <w:sz w:val="24"/>
          <w:szCs w:val="24"/>
        </w:rPr>
        <w:t xml:space="preserve">Knowles, M. </w:t>
      </w:r>
      <w:r>
        <w:rPr>
          <w:rFonts w:ascii="Times New Roman" w:cs="Times New Roman" w:eastAsia="Times New Roman" w:hAnsi="Times New Roman"/>
          <w:sz w:val="24"/>
          <w:szCs w:val="24"/>
        </w:rPr>
        <w:t xml:space="preserve">(1980). </w:t>
      </w:r>
      <w:r>
        <w:rPr>
          <w:rFonts w:ascii="Times New Roman" w:cs="Times New Roman" w:eastAsia="Times New Roman" w:hAnsi="Times New Roman"/>
          <w:i/>
          <w:iCs/>
          <w:sz w:val="24"/>
          <w:szCs w:val="24"/>
        </w:rPr>
        <w:t xml:space="preserve">The modern practice of adult education: From pedagogy to andragogy. </w:t>
      </w:r>
      <w:r>
        <w:rPr>
          <w:rFonts w:ascii="Times New Roman" w:cs="Times New Roman" w:eastAsia="Times New Roman" w:hAnsi="Times New Roman"/>
          <w:sz w:val="24"/>
          <w:szCs w:val="24"/>
        </w:rPr>
        <w:t xml:space="preserve">Association Press.</w:t>
      </w:r>
    </w:p>
    <w:p>
      <w:pPr>
        <w:spacing w:after="120" w:before="0" w:line="240" w:lineRule="auto"/>
        <w:jc w:val="left"/>
      </w:pPr>
      <w:r>
        <w:rPr>
          <w:rFonts w:ascii="Times New Roman" w:cs="Times New Roman" w:eastAsia="Times New Roman" w:hAnsi="Times New Roman"/>
          <w:b/>
          <w:bCs/>
          <w:sz w:val="24"/>
          <w:szCs w:val="24"/>
        </w:rPr>
        <w:t xml:space="preserve">Machado, I. C., Fernandes, F. L., Avelar, D. R. S., &amp; Farias, P. M. </w:t>
      </w:r>
      <w:r>
        <w:rPr>
          <w:rFonts w:ascii="Times New Roman" w:cs="Times New Roman" w:eastAsia="Times New Roman" w:hAnsi="Times New Roman"/>
          <w:sz w:val="24"/>
          <w:szCs w:val="24"/>
        </w:rPr>
        <w:t xml:space="preserve">(2026). Educação corporativa pública e judiciária: um mapeamento bibliométrico global. </w:t>
      </w:r>
      <w:r>
        <w:rPr>
          <w:rFonts w:ascii="Times New Roman" w:cs="Times New Roman" w:eastAsia="Times New Roman" w:hAnsi="Times New Roman"/>
          <w:i/>
          <w:iCs/>
          <w:sz w:val="24"/>
          <w:szCs w:val="24"/>
        </w:rPr>
        <w:t xml:space="preserve">Manuscrito em preparação. </w:t>
      </w:r>
      <w:r>
        <w:rPr>
          <w:rFonts w:ascii="Times New Roman" w:cs="Times New Roman" w:eastAsia="Times New Roman" w:hAnsi="Times New Roman"/>
          <w:sz w:val="24"/>
          <w:szCs w:val="24"/>
        </w:rPr>
        <w:t xml:space="preserve">Conselho Nacional de Justiça.</w:t>
      </w:r>
    </w:p>
    <w:p>
      <w:pPr>
        <w:spacing w:after="120" w:before="0" w:line="240" w:lineRule="auto"/>
        <w:jc w:val="left"/>
      </w:pPr>
      <w:r>
        <w:rPr>
          <w:rFonts w:ascii="Times New Roman" w:cs="Times New Roman" w:eastAsia="Times New Roman" w:hAnsi="Times New Roman"/>
          <w:b/>
          <w:bCs/>
          <w:sz w:val="24"/>
          <w:szCs w:val="24"/>
        </w:rPr>
        <w:t xml:space="preserve">Mahoney, J., &amp; Thelen, K. </w:t>
      </w:r>
      <w:r>
        <w:rPr>
          <w:rFonts w:ascii="Times New Roman" w:cs="Times New Roman" w:eastAsia="Times New Roman" w:hAnsi="Times New Roman"/>
          <w:sz w:val="24"/>
          <w:szCs w:val="24"/>
        </w:rPr>
        <w:t xml:space="preserve">(2010). A theory of gradual institutional change. In J. Mahoney &amp; K. Thelen (Eds.), </w:t>
      </w:r>
      <w:r>
        <w:rPr>
          <w:rFonts w:ascii="Times New Roman" w:cs="Times New Roman" w:eastAsia="Times New Roman" w:hAnsi="Times New Roman"/>
          <w:i/>
          <w:iCs/>
          <w:sz w:val="24"/>
          <w:szCs w:val="24"/>
        </w:rPr>
        <w:t xml:space="preserve">Explaining institutional change: Ambiguity, agency, and power </w:t>
      </w:r>
      <w:r>
        <w:rPr>
          <w:rFonts w:ascii="Times New Roman" w:cs="Times New Roman" w:eastAsia="Times New Roman" w:hAnsi="Times New Roman"/>
          <w:sz w:val="24"/>
          <w:szCs w:val="24"/>
        </w:rPr>
        <w:t xml:space="preserve">(pp. 1–37). Cambridge University Press.</w:t>
      </w:r>
    </w:p>
    <w:p>
      <w:pPr>
        <w:spacing w:after="120" w:before="0" w:line="240" w:lineRule="auto"/>
        <w:jc w:val="left"/>
      </w:pPr>
      <w:r>
        <w:rPr>
          <w:rFonts w:ascii="Times New Roman" w:cs="Times New Roman" w:eastAsia="Times New Roman" w:hAnsi="Times New Roman"/>
          <w:b/>
          <w:bCs/>
          <w:sz w:val="24"/>
          <w:szCs w:val="24"/>
        </w:rPr>
        <w:t xml:space="preserve">Meister, J. C. </w:t>
      </w:r>
      <w:r>
        <w:rPr>
          <w:rFonts w:ascii="Times New Roman" w:cs="Times New Roman" w:eastAsia="Times New Roman" w:hAnsi="Times New Roman"/>
          <w:sz w:val="24"/>
          <w:szCs w:val="24"/>
        </w:rPr>
        <w:t xml:space="preserve">(1998). </w:t>
      </w:r>
      <w:r>
        <w:rPr>
          <w:rFonts w:ascii="Times New Roman" w:cs="Times New Roman" w:eastAsia="Times New Roman" w:hAnsi="Times New Roman"/>
          <w:i/>
          <w:iCs/>
          <w:sz w:val="24"/>
          <w:szCs w:val="24"/>
        </w:rPr>
        <w:t xml:space="preserve">Corporate universities: Lessons in building a world-class work force </w:t>
      </w:r>
      <w:r>
        <w:rPr>
          <w:rFonts w:ascii="Times New Roman" w:cs="Times New Roman" w:eastAsia="Times New Roman" w:hAnsi="Times New Roman"/>
          <w:sz w:val="24"/>
          <w:szCs w:val="24"/>
        </w:rPr>
        <w:t xml:space="preserve">(rev. ed.). McGraw-Hill.</w:t>
      </w:r>
    </w:p>
    <w:p>
      <w:pPr>
        <w:spacing w:after="120" w:before="0" w:line="240" w:lineRule="auto"/>
        <w:jc w:val="left"/>
      </w:pPr>
      <w:r>
        <w:rPr>
          <w:rFonts w:ascii="Times New Roman" w:cs="Times New Roman" w:eastAsia="Times New Roman" w:hAnsi="Times New Roman"/>
          <w:b/>
          <w:bCs/>
          <w:sz w:val="24"/>
          <w:szCs w:val="24"/>
        </w:rPr>
        <w:t xml:space="preserve">North, D. C. </w:t>
      </w:r>
      <w:r>
        <w:rPr>
          <w:rFonts w:ascii="Times New Roman" w:cs="Times New Roman" w:eastAsia="Times New Roman" w:hAnsi="Times New Roman"/>
          <w:sz w:val="24"/>
          <w:szCs w:val="24"/>
        </w:rPr>
        <w:t xml:space="preserve">(1990). </w:t>
      </w:r>
      <w:r>
        <w:rPr>
          <w:rFonts w:ascii="Times New Roman" w:cs="Times New Roman" w:eastAsia="Times New Roman" w:hAnsi="Times New Roman"/>
          <w:i/>
          <w:iCs/>
          <w:sz w:val="24"/>
          <w:szCs w:val="24"/>
        </w:rPr>
        <w:t xml:space="preserve">Institutions, institutional change and economic performance. </w:t>
      </w:r>
      <w:r>
        <w:rPr>
          <w:rFonts w:ascii="Times New Roman" w:cs="Times New Roman" w:eastAsia="Times New Roman" w:hAnsi="Times New Roman"/>
          <w:sz w:val="24"/>
          <w:szCs w:val="24"/>
        </w:rPr>
        <w:t xml:space="preserve">Cambridge University Press.</w:t>
      </w:r>
    </w:p>
    <w:p>
      <w:pPr>
        <w:spacing w:after="120" w:before="0" w:line="240" w:lineRule="auto"/>
        <w:jc w:val="left"/>
      </w:pPr>
      <w:r>
        <w:rPr>
          <w:rFonts w:ascii="Times New Roman" w:cs="Times New Roman" w:eastAsia="Times New Roman" w:hAnsi="Times New Roman"/>
          <w:b/>
          <w:bCs/>
          <w:sz w:val="24"/>
          <w:szCs w:val="24"/>
        </w:rPr>
        <w:t xml:space="preserve">OCDE. </w:t>
      </w:r>
      <w:r>
        <w:rPr>
          <w:rFonts w:ascii="Times New Roman" w:cs="Times New Roman" w:eastAsia="Times New Roman" w:hAnsi="Times New Roman"/>
          <w:sz w:val="24"/>
          <w:szCs w:val="24"/>
        </w:rPr>
        <w:t xml:space="preserve">(2008). </w:t>
      </w:r>
      <w:r>
        <w:rPr>
          <w:rFonts w:ascii="Times New Roman" w:cs="Times New Roman" w:eastAsia="Times New Roman" w:hAnsi="Times New Roman"/>
          <w:i/>
          <w:iCs/>
          <w:sz w:val="24"/>
          <w:szCs w:val="24"/>
        </w:rPr>
        <w:t xml:space="preserve">The challenge of capacity development: Working towards good practice. </w:t>
      </w:r>
      <w:r>
        <w:rPr>
          <w:rFonts w:ascii="Times New Roman" w:cs="Times New Roman" w:eastAsia="Times New Roman" w:hAnsi="Times New Roman"/>
          <w:sz w:val="24"/>
          <w:szCs w:val="24"/>
        </w:rPr>
        <w:t xml:space="preserve">OECD Publishing.</w:t>
      </w:r>
    </w:p>
    <w:p>
      <w:pPr>
        <w:spacing w:after="120" w:before="0" w:line="240" w:lineRule="auto"/>
        <w:jc w:val="left"/>
      </w:pPr>
      <w:r>
        <w:rPr>
          <w:rFonts w:ascii="Times New Roman" w:cs="Times New Roman" w:eastAsia="Times New Roman" w:hAnsi="Times New Roman"/>
          <w:b/>
          <w:bCs/>
          <w:sz w:val="24"/>
          <w:szCs w:val="24"/>
        </w:rPr>
        <w:t xml:space="preserve">Pierson, P. </w:t>
      </w:r>
      <w:r>
        <w:rPr>
          <w:rFonts w:ascii="Times New Roman" w:cs="Times New Roman" w:eastAsia="Times New Roman" w:hAnsi="Times New Roman"/>
          <w:sz w:val="24"/>
          <w:szCs w:val="24"/>
        </w:rPr>
        <w:t xml:space="preserve">(2004). </w:t>
      </w:r>
      <w:r>
        <w:rPr>
          <w:rFonts w:ascii="Times New Roman" w:cs="Times New Roman" w:eastAsia="Times New Roman" w:hAnsi="Times New Roman"/>
          <w:i/>
          <w:iCs/>
          <w:sz w:val="24"/>
          <w:szCs w:val="24"/>
        </w:rPr>
        <w:t xml:space="preserve">Politics in time: History, institutions, and social analysis. </w:t>
      </w:r>
      <w:r>
        <w:rPr>
          <w:rFonts w:ascii="Times New Roman" w:cs="Times New Roman" w:eastAsia="Times New Roman" w:hAnsi="Times New Roman"/>
          <w:sz w:val="24"/>
          <w:szCs w:val="24"/>
        </w:rPr>
        <w:t xml:space="preserve">Princeton University Press.</w:t>
      </w:r>
    </w:p>
    <w:p>
      <w:pPr>
        <w:spacing w:after="120" w:before="0" w:line="240" w:lineRule="auto"/>
        <w:jc w:val="left"/>
      </w:pPr>
      <w:r>
        <w:rPr>
          <w:rFonts w:ascii="Times New Roman" w:cs="Times New Roman" w:eastAsia="Times New Roman" w:hAnsi="Times New Roman"/>
          <w:b/>
          <w:bCs/>
          <w:sz w:val="24"/>
          <w:szCs w:val="24"/>
        </w:rPr>
        <w:t xml:space="preserve">Piana, D. </w:t>
      </w:r>
      <w:r>
        <w:rPr>
          <w:rFonts w:ascii="Times New Roman" w:cs="Times New Roman" w:eastAsia="Times New Roman" w:hAnsi="Times New Roman"/>
          <w:sz w:val="24"/>
          <w:szCs w:val="24"/>
        </w:rPr>
        <w:t xml:space="preserve">(2010). </w:t>
      </w:r>
      <w:r>
        <w:rPr>
          <w:rFonts w:ascii="Times New Roman" w:cs="Times New Roman" w:eastAsia="Times New Roman" w:hAnsi="Times New Roman"/>
          <w:i/>
          <w:iCs/>
          <w:sz w:val="24"/>
          <w:szCs w:val="24"/>
        </w:rPr>
        <w:t xml:space="preserve">Judicial accountabilities in new Europe: From rule of law to quality of justice. </w:t>
      </w:r>
      <w:r>
        <w:rPr>
          <w:rFonts w:ascii="Times New Roman" w:cs="Times New Roman" w:eastAsia="Times New Roman" w:hAnsi="Times New Roman"/>
          <w:sz w:val="24"/>
          <w:szCs w:val="24"/>
        </w:rPr>
        <w:t xml:space="preserve">Ashgate.</w:t>
      </w:r>
    </w:p>
    <w:p>
      <w:pPr>
        <w:spacing w:after="120" w:before="0" w:line="240" w:lineRule="auto"/>
        <w:jc w:val="left"/>
      </w:pPr>
      <w:r>
        <w:rPr>
          <w:rFonts w:ascii="Times New Roman" w:cs="Times New Roman" w:eastAsia="Times New Roman" w:hAnsi="Times New Roman"/>
          <w:b/>
          <w:bCs/>
          <w:sz w:val="24"/>
          <w:szCs w:val="24"/>
        </w:rPr>
        <w:t xml:space="preserve">Selznick, P. </w:t>
      </w:r>
      <w:r>
        <w:rPr>
          <w:rFonts w:ascii="Times New Roman" w:cs="Times New Roman" w:eastAsia="Times New Roman" w:hAnsi="Times New Roman"/>
          <w:sz w:val="24"/>
          <w:szCs w:val="24"/>
        </w:rPr>
        <w:t xml:space="preserve">(1957). </w:t>
      </w:r>
      <w:r>
        <w:rPr>
          <w:rFonts w:ascii="Times New Roman" w:cs="Times New Roman" w:eastAsia="Times New Roman" w:hAnsi="Times New Roman"/>
          <w:i/>
          <w:iCs/>
          <w:sz w:val="24"/>
          <w:szCs w:val="24"/>
        </w:rPr>
        <w:t xml:space="preserve">Leadership in administration: A sociological interpretation. </w:t>
      </w:r>
      <w:r>
        <w:rPr>
          <w:rFonts w:ascii="Times New Roman" w:cs="Times New Roman" w:eastAsia="Times New Roman" w:hAnsi="Times New Roman"/>
          <w:sz w:val="24"/>
          <w:szCs w:val="24"/>
        </w:rPr>
        <w:t xml:space="preserve">Harper &amp; Row.</w:t>
      </w:r>
    </w:p>
    <w:p>
      <w:pPr>
        <w:spacing w:after="120" w:before="0" w:line="240" w:lineRule="auto"/>
        <w:jc w:val="left"/>
      </w:pPr>
      <w:r>
        <w:rPr>
          <w:rFonts w:ascii="Times New Roman" w:cs="Times New Roman" w:eastAsia="Times New Roman" w:hAnsi="Times New Roman"/>
          <w:b/>
          <w:bCs/>
          <w:sz w:val="24"/>
          <w:szCs w:val="24"/>
        </w:rPr>
        <w:t xml:space="preserve">Siemens, G., &amp; Baker, R. S. J. D. </w:t>
      </w:r>
      <w:r>
        <w:rPr>
          <w:rFonts w:ascii="Times New Roman" w:cs="Times New Roman" w:eastAsia="Times New Roman" w:hAnsi="Times New Roman"/>
          <w:sz w:val="24"/>
          <w:szCs w:val="24"/>
        </w:rPr>
        <w:t xml:space="preserve">(2013). Learning analytics and educational data mining. </w:t>
      </w:r>
      <w:r>
        <w:rPr>
          <w:rFonts w:ascii="Times New Roman" w:cs="Times New Roman" w:eastAsia="Times New Roman" w:hAnsi="Times New Roman"/>
          <w:i/>
          <w:iCs/>
          <w:sz w:val="24"/>
          <w:szCs w:val="24"/>
        </w:rPr>
        <w:t xml:space="preserve">Proceedings of the 2nd International Conference on Learning Analytics and Knowledge, </w:t>
      </w:r>
      <w:r>
        <w:rPr>
          <w:rFonts w:ascii="Times New Roman" w:cs="Times New Roman" w:eastAsia="Times New Roman" w:hAnsi="Times New Roman"/>
          <w:sz w:val="24"/>
          <w:szCs w:val="24"/>
        </w:rPr>
        <w:t xml:space="preserve">252–254.</w:t>
      </w:r>
    </w:p>
    <w:sectPr>
      <w:pgSz w:w="11906" w:h="16838" w:orient="portrait"/>
      <w:pgMar w:top="1701"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2026-05-09T19:30:28.194Z</dcterms:created>
  <dcterms:modified xsi:type="dcterms:W3CDTF">2026-05-09T19:30:28.194Z</dcterms:modified>
</cp:coreProperties>
</file>

<file path=docProps/custom.xml><?xml version="1.0" encoding="utf-8"?>
<Properties xmlns="http://schemas.openxmlformats.org/officeDocument/2006/custom-properties" xmlns:vt="http://schemas.openxmlformats.org/officeDocument/2006/docPropsVTypes"/>
</file>