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40" w:lineRule="auto"/>
        <w:jc w:val="center"/>
      </w:pPr>
      <w:r>
        <w:rPr>
          <w:rFonts w:ascii="Times New Roman" w:cs="Times New Roman" w:eastAsia="Times New Roman" w:hAnsi="Times New Roman"/>
          <w:b/>
          <w:bCs/>
          <w:sz w:val="26"/>
          <w:szCs w:val="26"/>
        </w:rPr>
        <w:t xml:space="preserve">Do Voluntarismo ao Sistema Nacional: A Criação da ENAJU e a Consolidação da Educação Corporativa no Poder Judiciário Brasileiro</w:t>
      </w:r>
    </w:p>
    <w:p>
      <w:pPr>
        <w:spacing w:after="80" w:before="0" w:line="240" w:lineRule="auto"/>
        <w:jc w:val="center"/>
      </w:pPr>
      <w:r>
        <w:rPr>
          <w:rFonts w:ascii="Times New Roman" w:cs="Times New Roman" w:eastAsia="Times New Roman" w:hAnsi="Times New Roman"/>
          <w:i/>
          <w:iCs/>
          <w:sz w:val="24"/>
          <w:szCs w:val="24"/>
        </w:rPr>
        <w:t xml:space="preserve">Relatório Técnico — EnAJUS 2026</w:t>
      </w:r>
    </w:p>
    <w:p>
      <w:pPr>
        <w:spacing w:after="200" w:before="0" w:line="240" w:lineRule="auto"/>
        <w:jc w:val="center"/>
      </w:pPr>
      <w:r>
        <w:rPr>
          <w:rFonts w:ascii="Times New Roman" w:cs="Times New Roman" w:eastAsia="Times New Roman" w:hAnsi="Times New Roman"/>
          <w:sz w:val="24"/>
          <w:szCs w:val="24"/>
        </w:rPr>
        <w:t xml:space="preserve">Eixo Temático: Formação e Desenvolvimento de Pessoas no Judiciário</w:t>
      </w:r>
    </w:p>
    <w:p>
      <w:pPr>
        <w:spacing w:after="100" w:before="0" w:line="240" w:lineRule="auto"/>
        <w:jc w:val="left"/>
      </w:pPr>
      <w:r>
        <w:rPr>
          <w:rFonts w:ascii="Times New Roman" w:cs="Times New Roman" w:eastAsia="Times New Roman" w:hAnsi="Times New Roman"/>
          <w:b/>
          <w:bCs/>
          <w:sz w:val="24"/>
          <w:szCs w:val="24"/>
        </w:rPr>
        <w:t xml:space="preserve">RESUMO EXPANDIDO</w:t>
      </w:r>
    </w:p>
    <w:p>
      <w:pPr>
        <w:spacing w:after="200" w:before="0" w:line="240" w:lineRule="auto"/>
        <w:jc w:val="both"/>
      </w:pPr>
      <w:r>
        <w:rPr>
          <w:rFonts w:ascii="Times New Roman" w:cs="Times New Roman" w:eastAsia="Times New Roman" w:hAnsi="Times New Roman"/>
          <w:sz w:val="24"/>
          <w:szCs w:val="24"/>
        </w:rPr>
        <w:t xml:space="preserve">A consolidação da educação corporativa no Poder Judiciário brasileiro representa uma das transformações institucionais mais significativas da gestão pública nacional nas últimas cinco décadas. Este relatório técnico reconstrói, com base em análise histórico-documental de 14 normativos federais e literatura científica especializada, a trajetória evolutiva que conduziu da dispersão das primeiras escolas de magistratura estaduais — surgidas no voluntarismo associativo dos anos 1970, com destaque para a criação da Escola Judicial Desembargador Edésio Fernandes pelo Tribunal de Justiça de Minas Gerais em 1977 — até a criação da Escola Nacional do Judiciário (ENAJU) pela Resolução CNJ n. 643/2025, marco que representa a maturidade sistêmica do processo. O ponto de inflexão histórica foi a Emenda Constitucional n. 45/2004, que operou três transformações fundamentais no campo da formação judicial: instituiu o Conselho Nacional de Justiça (CNJ) como órgão regulador central; vinculou a promoção por merecimento na carreira da magistratura à frequência em cursos reconhecidos, elevando a formação a dever constitucional; e criou a Escola Nacional de Formação e Aperfeiçoamento de Magistrados (ENFAM), instalada em 30 de novembro de 2006 junto ao Superior Tribunal de Justiça. No mesmo ano, o Tribunal Superior do Trabalho instituiu a Escola Nacional de Formação e Aperfeiçoamento de Magistrados do Trabalho (ENAMAT), consolidando um modelo de especialização por ramo de justiça. A análise identifica cinco fases distintas: a era pré-institucional (1977–2003), marcada pelo voluntarismo associativo e pela fragmentação federativa; a constitucionalização (2004–2008), com a EC 45/2004 e a instalação da ENFAM como primeiro </w:t>
      </w:r>
      <w:r>
        <w:rPr>
          <w:rFonts w:ascii="Times New Roman" w:cs="Times New Roman" w:eastAsia="Times New Roman" w:hAnsi="Times New Roman"/>
          <w:i/>
          <w:iCs/>
          <w:sz w:val="24"/>
          <w:szCs w:val="24"/>
        </w:rPr>
        <w:t xml:space="preserve">critical juncture</w:t>
      </w:r>
      <w:r>
        <w:rPr>
          <w:rFonts w:ascii="Times New Roman" w:cs="Times New Roman" w:eastAsia="Times New Roman" w:hAnsi="Times New Roman"/>
          <w:sz w:val="24"/>
          <w:szCs w:val="24"/>
        </w:rPr>
        <w:t xml:space="preserve"> da trajetória (Mahoney &amp; Thelen, 2010); a expansão para servidores (2009–2011), com a Instrução Normativa CNJ n. 25/2009 e a criação do Centro de Aperfeiçoamento de Servidores do Poder Judiciário (CEAJud) pela Resolução CNJ n. 111/2010, cujo portal de EaD viria a capacitar mais de 420 mil pessoas em quinze anos; a consolidação normativa (2012–2024), com a Resolução CNJ n. 159/2012 garantindo autonomia orçamentária às escolas judiciais, a Resolução CNJ n. 192/2014 instituindo a Política Nacional de Formação de Servidores com base na gestão por competências (Fleury &amp; Fleury, 2001) e a Rede Nacional de Escolas Judiciais e da Magistratura (RENEJUM) pela Resolução ENFAM n. 1/2023; e a maturidade sistêmica (2025), quando a Resolução CNJ n. 643/2025 transformou o CEAJud na ENAJU — órgão central do Sistema Nacional de Formação e Aperfeiçoamento de Servidores do Poder Judiciário —, representando o segundo </w:t>
      </w:r>
      <w:r>
        <w:rPr>
          <w:rFonts w:ascii="Times New Roman" w:cs="Times New Roman" w:eastAsia="Times New Roman" w:hAnsi="Times New Roman"/>
          <w:i/>
          <w:iCs/>
          <w:sz w:val="24"/>
          <w:szCs w:val="24"/>
        </w:rPr>
        <w:t xml:space="preserve">critical juncture</w:t>
      </w:r>
      <w:r>
        <w:rPr>
          <w:rFonts w:ascii="Times New Roman" w:cs="Times New Roman" w:eastAsia="Times New Roman" w:hAnsi="Times New Roman"/>
          <w:sz w:val="24"/>
          <w:szCs w:val="24"/>
        </w:rPr>
        <w:t xml:space="preserve"> e a elevação da escola a patamar equivalente ao da ENFAM e da Escola Nacional de Administração Pública (ENAP). Em perspectiva comparada com cinco sistemas internacionais — a École Nationale de la Magistrature francesa (modelo unitário-centralizado, 1958), o Federal Judicial Center norte-americano (modelo de pesquisa integrada sem vínculo compulsório à carreira, 1967), a European Judicial Training Network europeia (rede supranacional cooperativa sem poder regulatório, 2000), o Judicial College britânico (modelo de peer learning com ênfase na independência judicial, 2011) e os sistemas latino-americanos (heterogêneos e com menor formalização) —, o Brasil distingue-se por três características únicas no cenário internacional: ancoragem constitucional da formação como requisito de carreira; arquitetura dual-regulada com dois órgãos nacionais para públicos distintos (ENFAM para magistrados, ENAJU para servidores); e articulação em rede com dezenas de escolas dos tribunais sob coordenação nacional, que preserva a autonomia institucional federativa sem abrir mão de padrões mínimos de qualidade. Os principais fatores que facilitaram a institucionalização foram: a reforma constitucional estruturante da EC 45/2004, que conferiu irreversibilidade ao processo; a capacidade regulatória e de planejamento estratégico do CNJ; e o legado das escolas associativas pré-2004, que constituíram competências e redes aproveitadas pelo novo sistema (Selznick, 1957). Como dificultadores destacaram-se: a heterogeneidade de capacidades institucionais entre tribunais, a resistência à padronização em contexto de autonomia federativa e a necessidade de financiamento específico para escolas sem tradição orçamentária própria. Os impactos mensuráveis incluem mais de 420 mil pessoas capacitadas pela plataforma EaD do CNJ, regulação de cursos para aproximadamente 18 mil magistrados e a constituição de uma rede nacional de escolas articuladas pela RENEJUM. O caso da educação corporativa judicial brasileira oferece lições replicáveis para outros poderes e esferas da administração pública, especialmente quanto à articulação entre norma constitucional, órgão regulador central e rede descentralizada de execução como modelo de governança para políticas de formação em organizações públicas complexas (OCDE, 2008; North, 1990).</w:t>
      </w:r>
    </w:p>
    <w:p>
      <w:pPr>
        <w:spacing w:after="80" w:before="0" w:line="240" w:lineRule="auto"/>
        <w:jc w:val="left"/>
      </w:pPr>
      <w:r>
        <w:rPr>
          <w:rFonts w:ascii="Times New Roman" w:cs="Times New Roman" w:eastAsia="Times New Roman" w:hAnsi="Times New Roman"/>
          <w:b/>
          <w:bCs/>
          <w:sz w:val="24"/>
          <w:szCs w:val="24"/>
        </w:rPr>
        <w:t xml:space="preserve">Referências</w:t>
      </w:r>
    </w:p>
    <w:p>
      <w:pPr>
        <w:spacing w:after="60" w:before="0" w:line="240" w:lineRule="auto"/>
        <w:jc w:val="left"/>
      </w:pPr>
      <w:r>
        <w:rPr>
          <w:rFonts w:ascii="Times New Roman" w:cs="Times New Roman" w:eastAsia="Times New Roman" w:hAnsi="Times New Roman"/>
          <w:b/>
          <w:bCs/>
          <w:sz w:val="24"/>
          <w:szCs w:val="24"/>
        </w:rPr>
        <w:t xml:space="preserve">Fleury, M. T. L., &amp; Fleury, A. </w:t>
      </w:r>
      <w:r>
        <w:rPr>
          <w:rFonts w:ascii="Times New Roman" w:cs="Times New Roman" w:eastAsia="Times New Roman" w:hAnsi="Times New Roman"/>
          <w:sz w:val="24"/>
          <w:szCs w:val="24"/>
        </w:rPr>
        <w:t xml:space="preserve">(2001). Construindo o conceito de competência. </w:t>
      </w:r>
      <w:r>
        <w:rPr>
          <w:rFonts w:ascii="Times New Roman" w:cs="Times New Roman" w:eastAsia="Times New Roman" w:hAnsi="Times New Roman"/>
          <w:i/>
          <w:iCs/>
          <w:sz w:val="24"/>
          <w:szCs w:val="24"/>
        </w:rPr>
        <w:t xml:space="preserve">Revista de Administração Contemporânea, 5</w:t>
      </w:r>
      <w:r>
        <w:rPr>
          <w:rFonts w:ascii="Times New Roman" w:cs="Times New Roman" w:eastAsia="Times New Roman" w:hAnsi="Times New Roman"/>
          <w:sz w:val="24"/>
          <w:szCs w:val="24"/>
        </w:rPr>
        <w:t xml:space="preserve">(spe), 183–196.</w:t>
      </w:r>
    </w:p>
    <w:p>
      <w:pPr>
        <w:spacing w:after="60" w:before="0" w:line="240" w:lineRule="auto"/>
        <w:jc w:val="left"/>
      </w:pPr>
      <w:r>
        <w:rPr>
          <w:rFonts w:ascii="Times New Roman" w:cs="Times New Roman" w:eastAsia="Times New Roman" w:hAnsi="Times New Roman"/>
          <w:b/>
          <w:bCs/>
          <w:sz w:val="24"/>
          <w:szCs w:val="24"/>
        </w:rPr>
        <w:t xml:space="preserve">Mahoney, J., &amp; Thelen, K. </w:t>
      </w:r>
      <w:r>
        <w:rPr>
          <w:rFonts w:ascii="Times New Roman" w:cs="Times New Roman" w:eastAsia="Times New Roman" w:hAnsi="Times New Roman"/>
          <w:sz w:val="24"/>
          <w:szCs w:val="24"/>
        </w:rPr>
        <w:t xml:space="preserve">(2010). A theory of gradual institutional change. In J. Mahoney &amp; K. Thelen (Eds.), </w:t>
      </w:r>
      <w:r>
        <w:rPr>
          <w:rFonts w:ascii="Times New Roman" w:cs="Times New Roman" w:eastAsia="Times New Roman" w:hAnsi="Times New Roman"/>
          <w:i/>
          <w:iCs/>
          <w:sz w:val="24"/>
          <w:szCs w:val="24"/>
        </w:rPr>
        <w:t xml:space="preserve">Explaining institutional change</w:t>
      </w:r>
      <w:r>
        <w:rPr>
          <w:rFonts w:ascii="Times New Roman" w:cs="Times New Roman" w:eastAsia="Times New Roman" w:hAnsi="Times New Roman"/>
          <w:sz w:val="24"/>
          <w:szCs w:val="24"/>
        </w:rPr>
        <w:t xml:space="preserve"> (pp. 1–37). Cambridge University Press.</w:t>
      </w:r>
    </w:p>
    <w:p>
      <w:pPr>
        <w:spacing w:after="60" w:before="0" w:line="240" w:lineRule="auto"/>
        <w:jc w:val="left"/>
      </w:pPr>
      <w:r>
        <w:rPr>
          <w:rFonts w:ascii="Times New Roman" w:cs="Times New Roman" w:eastAsia="Times New Roman" w:hAnsi="Times New Roman"/>
          <w:b/>
          <w:bCs/>
          <w:sz w:val="24"/>
          <w:szCs w:val="24"/>
        </w:rPr>
        <w:t xml:space="preserve">North, D. C. </w:t>
      </w:r>
      <w:r>
        <w:rPr>
          <w:rFonts w:ascii="Times New Roman" w:cs="Times New Roman" w:eastAsia="Times New Roman" w:hAnsi="Times New Roman"/>
          <w:sz w:val="24"/>
          <w:szCs w:val="24"/>
        </w:rPr>
        <w:t xml:space="preserve">(1990). </w:t>
      </w:r>
      <w:r>
        <w:rPr>
          <w:rFonts w:ascii="Times New Roman" w:cs="Times New Roman" w:eastAsia="Times New Roman" w:hAnsi="Times New Roman"/>
          <w:i/>
          <w:iCs/>
          <w:sz w:val="24"/>
          <w:szCs w:val="24"/>
        </w:rPr>
        <w:t xml:space="preserve">Institutions, institutional change and economic performance. </w:t>
      </w:r>
      <w:r>
        <w:rPr>
          <w:rFonts w:ascii="Times New Roman" w:cs="Times New Roman" w:eastAsia="Times New Roman" w:hAnsi="Times New Roman"/>
          <w:sz w:val="24"/>
          <w:szCs w:val="24"/>
        </w:rPr>
        <w:t xml:space="preserve">Cambridge University Press.</w:t>
      </w:r>
    </w:p>
    <w:p>
      <w:pPr>
        <w:spacing w:after="60" w:before="0" w:line="240" w:lineRule="auto"/>
        <w:jc w:val="left"/>
      </w:pPr>
      <w:r>
        <w:rPr>
          <w:rFonts w:ascii="Times New Roman" w:cs="Times New Roman" w:eastAsia="Times New Roman" w:hAnsi="Times New Roman"/>
          <w:b/>
          <w:bCs/>
          <w:sz w:val="24"/>
          <w:szCs w:val="24"/>
        </w:rPr>
        <w:t xml:space="preserve">OCDE. </w:t>
      </w:r>
      <w:r>
        <w:rPr>
          <w:rFonts w:ascii="Times New Roman" w:cs="Times New Roman" w:eastAsia="Times New Roman" w:hAnsi="Times New Roman"/>
          <w:sz w:val="24"/>
          <w:szCs w:val="24"/>
        </w:rPr>
        <w:t xml:space="preserve">(2008). </w:t>
      </w:r>
      <w:r>
        <w:rPr>
          <w:rFonts w:ascii="Times New Roman" w:cs="Times New Roman" w:eastAsia="Times New Roman" w:hAnsi="Times New Roman"/>
          <w:i/>
          <w:iCs/>
          <w:sz w:val="24"/>
          <w:szCs w:val="24"/>
        </w:rPr>
        <w:t xml:space="preserve">The challenge of capacity development: Working towards good practice. </w:t>
      </w:r>
      <w:r>
        <w:rPr>
          <w:rFonts w:ascii="Times New Roman" w:cs="Times New Roman" w:eastAsia="Times New Roman" w:hAnsi="Times New Roman"/>
          <w:sz w:val="24"/>
          <w:szCs w:val="24"/>
        </w:rPr>
        <w:t xml:space="preserve">OECD Publishing.</w:t>
      </w:r>
    </w:p>
    <w:p>
      <w:pPr>
        <w:spacing w:after="60" w:before="0" w:line="240" w:lineRule="auto"/>
        <w:jc w:val="left"/>
      </w:pPr>
      <w:r>
        <w:rPr>
          <w:rFonts w:ascii="Times New Roman" w:cs="Times New Roman" w:eastAsia="Times New Roman" w:hAnsi="Times New Roman"/>
          <w:b/>
          <w:bCs/>
          <w:sz w:val="24"/>
          <w:szCs w:val="24"/>
        </w:rPr>
        <w:t xml:space="preserve">Selznick, P. </w:t>
      </w:r>
      <w:r>
        <w:rPr>
          <w:rFonts w:ascii="Times New Roman" w:cs="Times New Roman" w:eastAsia="Times New Roman" w:hAnsi="Times New Roman"/>
          <w:sz w:val="24"/>
          <w:szCs w:val="24"/>
        </w:rPr>
        <w:t xml:space="preserve">(1957). </w:t>
      </w:r>
      <w:r>
        <w:rPr>
          <w:rFonts w:ascii="Times New Roman" w:cs="Times New Roman" w:eastAsia="Times New Roman" w:hAnsi="Times New Roman"/>
          <w:i/>
          <w:iCs/>
          <w:sz w:val="24"/>
          <w:szCs w:val="24"/>
        </w:rPr>
        <w:t xml:space="preserve">Leadership in administration: A sociological interpretation. </w:t>
      </w:r>
      <w:r>
        <w:rPr>
          <w:rFonts w:ascii="Times New Roman" w:cs="Times New Roman" w:eastAsia="Times New Roman" w:hAnsi="Times New Roman"/>
          <w:sz w:val="24"/>
          <w:szCs w:val="24"/>
        </w:rPr>
        <w:t xml:space="preserve">Harper &amp; Row.</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2026-05-09T19:31:24.115Z</dcterms:created>
  <dcterms:modified xsi:type="dcterms:W3CDTF">2026-05-09T19:31:24.116Z</dcterms:modified>
</cp:coreProperties>
</file>

<file path=docProps/custom.xml><?xml version="1.0" encoding="utf-8"?>
<Properties xmlns="http://schemas.openxmlformats.org/officeDocument/2006/custom-properties" xmlns:vt="http://schemas.openxmlformats.org/officeDocument/2006/docPropsVTypes"/>
</file>