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003580"/>
          <w:sz w:val="22"/>
          <w:szCs w:val="22"/>
        </w:rPr>
        <w:t xml:space="preserve">CONSELHO NACIONAL DE JUSTIÇA</w:t>
      </w:r>
    </w:p>
    <w:p>
      <w:pPr>
        <w:spacing w:after="240" w:before="0"/>
        <w:jc w:val="center"/>
      </w:pPr>
      <w:r>
        <w:rPr>
          <w:rFonts w:ascii="Arial" w:cs="Arial" w:eastAsia="Arial" w:hAnsi="Arial"/>
          <w:color w:val="003580"/>
          <w:sz w:val="22"/>
          <w:szCs w:val="22"/>
        </w:rPr>
        <w:t xml:space="preserve">Escola Nacional do Judiciário — ENAJU</w:t>
      </w:r>
    </w:p>
    <w:p>
      <w:pPr>
        <w:spacing w:after="80" w:before="80"/>
      </w:pPr>
      <w:r>
        <w:t xml:space="preserve"/>
      </w:r>
    </w:p>
    <w:p>
      <w:pPr>
        <w:spacing w:after="80" w:before="80"/>
      </w:pPr>
      <w:r>
        <w:t xml:space="preserve"/>
      </w:r>
    </w:p>
    <w:p>
      <w:pPr>
        <w:pBdr>
          <w:top w:val="single" w:color="003580" w:sz="8" w:space="6"/>
          <w:bottom w:val="single" w:color="003580" w:sz="8" w:space="6"/>
        </w:pBdr>
        <w:spacing w:after="160" w:before="160"/>
        <w:jc w:val="center"/>
      </w:pPr>
      <w:r>
        <w:rPr>
          <w:rFonts w:ascii="Arial" w:cs="Arial" w:eastAsia="Arial" w:hAnsi="Arial"/>
          <w:b/>
          <w:bCs/>
          <w:color w:val="003580"/>
          <w:sz w:val="36"/>
          <w:szCs w:val="36"/>
        </w:rPr>
        <w:t xml:space="preserve">NÚCLEO DE PESQUISA E CONHECIMENTO EM EDUCAÇÃO JUDICIAL</w:t>
      </w:r>
    </w:p>
    <w:p>
      <w:pPr>
        <w:spacing w:after="80" w:before="120"/>
        <w:jc w:val="center"/>
      </w:pPr>
      <w:r>
        <w:rPr>
          <w:rFonts w:ascii="Arial" w:cs="Arial" w:eastAsia="Arial" w:hAnsi="Arial"/>
          <w:b/>
          <w:bCs/>
          <w:color w:val="1A3A6B"/>
          <w:sz w:val="32"/>
          <w:szCs w:val="32"/>
        </w:rPr>
        <w:t xml:space="preserve">NuPEC-EJ</w:t>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444444"/>
          <w:sz w:val="26"/>
          <w:szCs w:val="26"/>
        </w:rPr>
        <w:t xml:space="preserve">Proposta de Criação e Estruturação</w:t>
      </w:r>
    </w:p>
    <w:p>
      <w:pPr>
        <w:spacing w:after="80" w:before="0"/>
        <w:jc w:val="center"/>
      </w:pPr>
      <w:r>
        <w:rPr>
          <w:rFonts w:ascii="Arial" w:cs="Arial" w:eastAsia="Arial" w:hAnsi="Arial"/>
          <w:color w:val="666666"/>
          <w:sz w:val="22"/>
          <w:szCs w:val="22"/>
        </w:rPr>
        <w:t xml:space="preserve">Coordenadoria de Desenvolvimento Educacional — CODE/ENAJU</w:t>
      </w:r>
    </w:p>
    <w:p>
      <w:pPr>
        <w:spacing w:after="80" w:before="80"/>
      </w:pPr>
      <w:r>
        <w:t xml:space="preserve"/>
      </w:r>
    </w:p>
    <w:p>
      <w:pPr>
        <w:spacing w:after="80" w:before="80"/>
      </w:pPr>
      <w:r>
        <w:t xml:space="preserve"/>
      </w:r>
    </w:p>
    <w:p>
      <w:pPr>
        <w:spacing w:after="80" w:before="80"/>
      </w:pPr>
      <w:r>
        <w:t xml:space="preserve"/>
      </w:r>
    </w:p>
    <w:p>
      <w:pPr>
        <w:spacing w:after="40" w:before="0"/>
        <w:jc w:val="center"/>
      </w:pPr>
      <w:r>
        <w:rPr>
          <w:rFonts w:ascii="Arial" w:cs="Arial" w:eastAsia="Arial" w:hAnsi="Arial"/>
          <w:color w:val="666666"/>
          <w:sz w:val="22"/>
          <w:szCs w:val="22"/>
        </w:rPr>
        <w:t xml:space="preserve">Brasília, junho de 2026</w:t>
      </w:r>
    </w:p>
    <w:p>
      <w:pPr>
        <w:spacing w:after="0" w:before="0"/>
        <w:jc w:val="center"/>
      </w:pPr>
      <w:r>
        <w:rPr>
          <w:rFonts w:ascii="Arial" w:cs="Arial" w:eastAsia="Arial" w:hAnsi="Arial"/>
          <w:i/>
          <w:iCs/>
          <w:color w:val="999999"/>
          <w:sz w:val="20"/>
          <w:szCs w:val="20"/>
        </w:rPr>
        <w:t xml:space="preserve">Versão 1.0 — Para deliberação</w:t>
      </w:r>
    </w:p>
    <w:p>
      <w:r>
        <w:br w:type="page"/>
      </w:r>
    </w:p>
    <w:p>
      <w:pPr>
        <w:pStyle w:val="Heading1"/>
        <w:spacing w:after="160" w:before="320"/>
      </w:pPr>
      <w:r>
        <w:rPr>
          <w:rFonts w:ascii="Arial" w:cs="Arial" w:eastAsia="Arial" w:hAnsi="Arial"/>
          <w:b/>
          <w:bCs/>
          <w:color w:val="003580"/>
          <w:sz w:val="28"/>
          <w:szCs w:val="28"/>
        </w:rPr>
        <w:t xml:space="preserve">1. Identificação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624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Dados</w:t>
            </w:r>
          </w:p>
        </w:tc>
      </w:tr>
      <w:tr>
        <w:tc>
          <w:tcPr>
            <w:tcW w:type="dxa" w:w="312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Denominação</w:t>
            </w:r>
          </w:p>
        </w:tc>
        <w:tc>
          <w:tcPr>
            <w:tcW w:type="dxa" w:w="624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Núcleo de Pesquisa e Conhecimento em Educação Judicial (NuPEC-EJ)</w:t>
            </w:r>
          </w:p>
        </w:tc>
      </w:tr>
      <w:tr>
        <w:tc>
          <w:tcPr>
            <w:tcW w:type="dxa" w:w="312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Natureza</w:t>
            </w:r>
          </w:p>
        </w:tc>
        <w:tc>
          <w:tcPr>
            <w:tcW w:type="dxa" w:w="624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Instância temática permanente, vinculada à CODE/ENAJU</w:t>
            </w:r>
          </w:p>
        </w:tc>
      </w:tr>
      <w:tr>
        <w:tc>
          <w:tcPr>
            <w:tcW w:type="dxa" w:w="312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Unidade responsável</w:t>
            </w:r>
          </w:p>
        </w:tc>
        <w:tc>
          <w:tcPr>
            <w:tcW w:type="dxa" w:w="624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Coordenadoria de Desenvolvimento Educacional — CODE</w:t>
            </w:r>
          </w:p>
        </w:tc>
      </w:tr>
      <w:tr>
        <w:tc>
          <w:tcPr>
            <w:tcW w:type="dxa" w:w="312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Vinculação normativa</w:t>
            </w:r>
          </w:p>
        </w:tc>
        <w:tc>
          <w:tcPr>
            <w:tcW w:type="dxa" w:w="624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Resolução CNJ nº 643/2025, Art. 3º, inciso VII</w:t>
            </w:r>
          </w:p>
        </w:tc>
      </w:tr>
      <w:tr>
        <w:tc>
          <w:tcPr>
            <w:tcW w:type="dxa" w:w="312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Abrangência</w:t>
            </w:r>
          </w:p>
        </w:tc>
        <w:tc>
          <w:tcPr>
            <w:tcW w:type="dxa" w:w="624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Sistema Nacional de Formação e Aperfeiçoamento de Servidores</w:t>
            </w:r>
          </w:p>
        </w:tc>
      </w:tr>
      <w:tr>
        <w:tc>
          <w:tcPr>
            <w:tcW w:type="dxa" w:w="312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Público mobilizado</w:t>
            </w:r>
          </w:p>
        </w:tc>
        <w:tc>
          <w:tcPr>
            <w:tcW w:type="dxa" w:w="624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Servidores pesquisadores dos tribunais e das escolas judiciais</w:t>
            </w:r>
          </w:p>
        </w:tc>
      </w:tr>
      <w:tr>
        <w:tc>
          <w:tcPr>
            <w:tcW w:type="dxa" w:w="312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Versão</w:t>
            </w:r>
          </w:p>
        </w:tc>
        <w:tc>
          <w:tcPr>
            <w:tcW w:type="dxa" w:w="624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 — Junho de 2026</w:t>
            </w:r>
          </w:p>
        </w:tc>
      </w:tr>
    </w:tbl>
    <w:p>
      <w:pPr>
        <w:spacing w:after="80" w:before="80"/>
      </w:pPr>
      <w:r>
        <w:t xml:space="preserve"/>
      </w:r>
    </w:p>
    <w:p>
      <w:pPr>
        <w:pStyle w:val="Heading1"/>
        <w:spacing w:after="160" w:before="320"/>
      </w:pPr>
      <w:r>
        <w:rPr>
          <w:rFonts w:ascii="Arial" w:cs="Arial" w:eastAsia="Arial" w:hAnsi="Arial"/>
          <w:b/>
          <w:bCs/>
          <w:color w:val="003580"/>
          <w:sz w:val="28"/>
          <w:szCs w:val="28"/>
        </w:rPr>
        <w:t xml:space="preserve">2. Apresentação e Justificativa</w:t>
      </w:r>
    </w:p>
    <w:p>
      <w:pPr>
        <w:spacing w:after="80" w:before="80" w:line="276"/>
        <w:jc w:val="both"/>
      </w:pPr>
      <w:r>
        <w:rPr>
          <w:rFonts w:ascii="Arial" w:cs="Arial" w:eastAsia="Arial" w:hAnsi="Arial"/>
          <w:sz w:val="22"/>
          <w:szCs w:val="22"/>
        </w:rPr>
        <w:t xml:space="preserve">A Escola Nacional do Judiciário (ENAJU), criada pela Resolução CNJ nº 643/2025, assumiu o papel de órgão central do Sistema Nacional de Formação e Aperfeiçoamento de Servidores do Poder Judiciário. Dentre suas atribuições expressamente previstas no Art. 3º, inciso VII, encontra-se o dever de 'incentivar a pesquisa aplicada, o desenvolvimento de projetos inovadores e a avaliação das ações educacionais'. A presente proposta operacionaliza essa competência legal por meio da criação do Núcleo de Pesquisa e Conhecimento em Educação Judicial — NuPEC-EJ.</w:t>
      </w:r>
    </w:p>
    <w:p>
      <w:pPr>
        <w:spacing w:after="80" w:before="80"/>
      </w:pPr>
      <w:r>
        <w:t xml:space="preserve"/>
      </w:r>
    </w:p>
    <w:p>
      <w:pPr>
        <w:spacing w:after="80" w:before="80" w:line="276"/>
        <w:jc w:val="both"/>
      </w:pPr>
      <w:r>
        <w:rPr>
          <w:rFonts w:ascii="Arial" w:cs="Arial" w:eastAsia="Arial" w:hAnsi="Arial"/>
          <w:sz w:val="22"/>
          <w:szCs w:val="22"/>
        </w:rPr>
        <w:t xml:space="preserve">A criação do NuPEC-EJ responde a três lacunas estruturais identificadas no atual estágio da educação corporativa judiciária:</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Déficit de evidências: as decisões sobre currículos, metodologias e investimentos em formação raramente se apoiam em estudos de impacto, avaliações de transferência de aprendizagem ou benchmarking sistemático. O campo da educação judiciária é, comparativamente, subrepresentado na literatura científica nacional e internacional.</w:t>
      </w:r>
    </w:p>
    <w:p>
      <w:pPr>
        <w:pStyle w:val="ListParagraph"/>
        <w:numPr>
          <w:ilvl w:val="0"/>
          <w:numId w:val="2"/>
        </w:numPr>
        <w:spacing w:after="60" w:before="60"/>
      </w:pPr>
      <w:r>
        <w:rPr>
          <w:rFonts w:ascii="Arial" w:cs="Arial" w:eastAsia="Arial" w:hAnsi="Arial"/>
          <w:sz w:val="22"/>
          <w:szCs w:val="22"/>
        </w:rPr>
        <w:t xml:space="preserve">Dispersão do capital intelectual: há, dispersos pelos 90 tribunais e dezenas de escolas do País, servidores com formação stricto sensu — mestres, doutores e especialistas — que produzem pesquisa de maneira isolada, sem canal institucional de integração, visibilidade ou aproveitamento coletivo.</w:t>
      </w:r>
    </w:p>
    <w:p>
      <w:pPr>
        <w:pStyle w:val="ListParagraph"/>
        <w:numPr>
          <w:ilvl w:val="0"/>
          <w:numId w:val="2"/>
        </w:numPr>
        <w:spacing w:after="60" w:before="60"/>
      </w:pPr>
      <w:r>
        <w:rPr>
          <w:rFonts w:ascii="Arial" w:cs="Arial" w:eastAsia="Arial" w:hAnsi="Arial"/>
          <w:sz w:val="22"/>
          <w:szCs w:val="22"/>
        </w:rPr>
        <w:t xml:space="preserve">Ausência de memória técnica sistematizada: projetos pedagógicos, avaliações de cursos, diagnósticos de competências e estudos de caso raramente são registrados, publicados ou compartilhados como conhecimento organizacional acumulado do Sistema.</w:t>
      </w:r>
    </w:p>
    <w:p>
      <w:pPr>
        <w:spacing w:after="80" w:before="80"/>
      </w:pPr>
      <w:r>
        <w:t xml:space="preserve"/>
      </w:r>
    </w:p>
    <w:p>
      <w:pPr>
        <w:spacing w:after="80" w:before="80" w:line="276"/>
        <w:jc w:val="both"/>
      </w:pPr>
      <w:r>
        <w:rPr>
          <w:rFonts w:ascii="Arial" w:cs="Arial" w:eastAsia="Arial" w:hAnsi="Arial"/>
          <w:sz w:val="22"/>
          <w:szCs w:val="22"/>
        </w:rPr>
        <w:t xml:space="preserve">O modelo proposto inspira-se em experiências consolidadas de integração entre pesquisa institucional e formação pública. A Escola Nacional de Administração Pública (ENAP) construiu, ao longo de décadas, uma trajetória de pesquisa aplicada que combina uma Coordenação-Geral de Pesquisa com servidores pós-graduados dedicados, a figura do pesquisador visitante (instituída pela Resolução ENAP nº 28/2022), linhas temáticas estruturadas, repositório institucional e encontros anuais de pesquisa. O Singapore Civil Service College, o Canada School of Public Service e o European Judicial Training Network (EJTN) operam em lógica semelhante: a escola de formação como produtora e gestora de conhecimento, não apenas executora de cursos.</w:t>
      </w:r>
    </w:p>
    <w:p>
      <w:pPr>
        <w:spacing w:after="80" w:before="80"/>
      </w:pPr>
      <w:r>
        <w:t xml:space="preserve"/>
      </w:r>
    </w:p>
    <w:p>
      <w:pPr>
        <w:spacing w:after="80" w:before="80" w:line="276"/>
        <w:jc w:val="both"/>
      </w:pPr>
      <w:r>
        <w:rPr>
          <w:rFonts w:ascii="Arial" w:cs="Arial" w:eastAsia="Arial" w:hAnsi="Arial"/>
          <w:sz w:val="22"/>
          <w:szCs w:val="22"/>
        </w:rPr>
        <w:t xml:space="preserve">Para a ENAJU, o NuPEC-EJ representa a transição de uma escola operadora para uma escola pensante — capaz de interrogar suas próprias práticas, produzir evidências sobre o que funciona, dialogar com a academia e devolver ao Sistema conhecimento convertido em produtos formativos de qualidade superior.</w:t>
      </w:r>
    </w:p>
    <w:p>
      <w:pPr>
        <w:spacing w:after="80" w:before="80"/>
      </w:pPr>
      <w:r>
        <w:t xml:space="preserve"/>
      </w:r>
    </w:p>
    <w:p>
      <w:pPr>
        <w:pStyle w:val="Heading1"/>
        <w:spacing w:after="160" w:before="320"/>
      </w:pPr>
      <w:r>
        <w:rPr>
          <w:rFonts w:ascii="Arial" w:cs="Arial" w:eastAsia="Arial" w:hAnsi="Arial"/>
          <w:b/>
          <w:bCs/>
          <w:color w:val="003580"/>
          <w:sz w:val="28"/>
          <w:szCs w:val="28"/>
        </w:rPr>
        <w:t xml:space="preserve">3. Fundamentação Normativa</w:t>
      </w:r>
    </w:p>
    <w:p>
      <w:pPr>
        <w:spacing w:after="80" w:before="80" w:line="276"/>
        <w:jc w:val="both"/>
      </w:pPr>
      <w:r>
        <w:rPr>
          <w:rFonts w:ascii="Arial" w:cs="Arial" w:eastAsia="Arial" w:hAnsi="Arial"/>
          <w:sz w:val="22"/>
          <w:szCs w:val="22"/>
        </w:rPr>
        <w:t xml:space="preserve">A criação do NuPEC-EJ encontra amparo no seguinte conjunto de diplomas: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Ato normativo</w:t>
            </w:r>
          </w:p>
        </w:tc>
        <w:tc>
          <w:tcPr>
            <w:tcW w:type="dxa" w:w="32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Dispositivo relevante</w:t>
            </w:r>
          </w:p>
        </w:tc>
        <w:tc>
          <w:tcPr>
            <w:tcW w:type="dxa" w:w="356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Conexão com o NuPEC-EJ</w:t>
            </w:r>
          </w:p>
        </w:tc>
      </w:tr>
      <w:tr>
        <w:tc>
          <w:tcPr>
            <w:tcW w:type="dxa" w:w="2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Resolução CNJ nº 643/2025</w:t>
            </w:r>
          </w:p>
        </w:tc>
        <w:tc>
          <w:tcPr>
            <w:tcW w:type="dxa" w:w="3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Art. 3º, inciso VII</w:t>
            </w:r>
          </w:p>
        </w:tc>
        <w:tc>
          <w:tcPr>
            <w:tcW w:type="dxa" w:w="3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Competência expressa para incentivar pesquisa aplicada e avaliação de ações educacionais</w:t>
            </w:r>
          </w:p>
        </w:tc>
      </w:tr>
      <w:tr>
        <w:tc>
          <w:tcPr>
            <w:tcW w:type="dxa" w:w="26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Resolução CNJ nº 643/2025</w:t>
            </w:r>
          </w:p>
        </w:tc>
        <w:tc>
          <w:tcPr>
            <w:tcW w:type="dxa" w:w="3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Art. 3º, incisos I e II</w:t>
            </w:r>
          </w:p>
        </w:tc>
        <w:tc>
          <w:tcPr>
            <w:tcW w:type="dxa" w:w="35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Formulação e revisão da Política Nacional de Formação — requer base de evidências</w:t>
            </w:r>
          </w:p>
        </w:tc>
      </w:tr>
      <w:tr>
        <w:tc>
          <w:tcPr>
            <w:tcW w:type="dxa" w:w="2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Resolução CNJ nº 643/2025</w:t>
            </w:r>
          </w:p>
        </w:tc>
        <w:tc>
          <w:tcPr>
            <w:tcW w:type="dxa" w:w="3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Art. 3º, inciso IX</w:t>
            </w:r>
          </w:p>
        </w:tc>
        <w:tc>
          <w:tcPr>
            <w:tcW w:type="dxa" w:w="3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Promoção de eventos e intercâmbio de boas práticas — canal de disseminação do NuPEC-EJ</w:t>
            </w:r>
          </w:p>
        </w:tc>
      </w:tr>
      <w:tr>
        <w:tc>
          <w:tcPr>
            <w:tcW w:type="dxa" w:w="26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Resolução CNJ nº 192/2014</w:t>
            </w:r>
          </w:p>
        </w:tc>
        <w:tc>
          <w:tcPr>
            <w:tcW w:type="dxa" w:w="3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Art. 1º e 2º</w:t>
            </w:r>
          </w:p>
        </w:tc>
        <w:tc>
          <w:tcPr>
            <w:tcW w:type="dxa" w:w="35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Política Nacional de Formação: obrigatoriedade de alinhamento entre formação e estratégia — exige avaliação de impacto</w:t>
            </w:r>
          </w:p>
        </w:tc>
      </w:tr>
      <w:tr>
        <w:tc>
          <w:tcPr>
            <w:tcW w:type="dxa" w:w="2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Estratégia Nacional do Judiciário 2021–2026 (Res. CNJ nº 325/2020)</w:t>
            </w:r>
          </w:p>
        </w:tc>
        <w:tc>
          <w:tcPr>
            <w:tcW w:type="dxa" w:w="3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Macrodesafio: eficiência operacional e valorização de pessoas</w:t>
            </w:r>
          </w:p>
        </w:tc>
        <w:tc>
          <w:tcPr>
            <w:tcW w:type="dxa" w:w="3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Pesquisa em educação como vetor estratégico</w:t>
            </w:r>
          </w:p>
        </w:tc>
      </w:tr>
      <w:tr>
        <w:tc>
          <w:tcPr>
            <w:tcW w:type="dxa" w:w="26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Lei nº 9.394/1996 (LDB)</w:t>
            </w:r>
          </w:p>
        </w:tc>
        <w:tc>
          <w:tcPr>
            <w:tcW w:type="dxa" w:w="3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Art. 43, VI</w:t>
            </w:r>
          </w:p>
        </w:tc>
        <w:tc>
          <w:tcPr>
            <w:tcW w:type="dxa" w:w="35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Função de estimular o conhecimento e a pesquisa em instituições de ensino</w:t>
            </w:r>
          </w:p>
        </w:tc>
      </w:tr>
    </w:tbl>
    <w:p>
      <w:pPr>
        <w:spacing w:after="80" w:before="80"/>
      </w:pPr>
      <w:r>
        <w:t xml:space="preserve"/>
      </w:r>
    </w:p>
    <w:p>
      <w:pPr>
        <w:pStyle w:val="Heading1"/>
        <w:spacing w:after="160" w:before="320"/>
      </w:pPr>
      <w:r>
        <w:rPr>
          <w:rFonts w:ascii="Arial" w:cs="Arial" w:eastAsia="Arial" w:hAnsi="Arial"/>
          <w:b/>
          <w:bCs/>
          <w:color w:val="003580"/>
          <w:sz w:val="28"/>
          <w:szCs w:val="28"/>
        </w:rPr>
        <w:t xml:space="preserve">4. Objetivos</w:t>
      </w:r>
    </w:p>
    <w:p>
      <w:pPr>
        <w:pStyle w:val="Heading3"/>
        <w:spacing w:after="80" w:before="200"/>
      </w:pPr>
      <w:r>
        <w:rPr>
          <w:rFonts w:ascii="Arial" w:cs="Arial" w:eastAsia="Arial" w:hAnsi="Arial"/>
          <w:b/>
          <w:bCs/>
          <w:color w:val="1A3A6B"/>
          <w:sz w:val="22"/>
          <w:szCs w:val="22"/>
        </w:rPr>
        <w:t xml:space="preserve">4.1 Objetivo Geral</w:t>
      </w:r>
    </w:p>
    <w:p>
      <w:pPr>
        <w:spacing w:after="80" w:before="80" w:line="276"/>
        <w:jc w:val="both"/>
      </w:pPr>
      <w:r>
        <w:rPr>
          <w:rFonts w:ascii="Arial" w:cs="Arial" w:eastAsia="Arial" w:hAnsi="Arial"/>
          <w:sz w:val="22"/>
          <w:szCs w:val="22"/>
        </w:rPr>
        <w:t xml:space="preserve">Constituir uma instância permanente de produção, gestão e disseminação de conhecimento sobre educação corporativa judicial, articulando pesquisadores-servidores de todo o Sistema Nacional de Formação, com foco em pesquisa aplicada que gere produtos diretos para as escolas judiciais e para a Política Nacional de Formação.</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4.2 Objetivos Específicos</w:t>
      </w:r>
    </w:p>
    <w:p>
      <w:pPr>
        <w:pStyle w:val="ListParagraph"/>
        <w:numPr>
          <w:ilvl w:val="0"/>
          <w:numId w:val="3"/>
        </w:numPr>
        <w:spacing w:after="60" w:before="60"/>
      </w:pPr>
      <w:r>
        <w:rPr>
          <w:rFonts w:ascii="Arial" w:cs="Arial" w:eastAsia="Arial" w:hAnsi="Arial"/>
          <w:sz w:val="22"/>
          <w:szCs w:val="22"/>
        </w:rPr>
        <w:t xml:space="preserve">Mobilizar e credenciar servidores pesquisadores dos tribunais e escolas judiciais em uma rede nacional de pesquisa colaborativa.</w:t>
      </w:r>
    </w:p>
    <w:p>
      <w:pPr>
        <w:pStyle w:val="ListParagraph"/>
        <w:numPr>
          <w:ilvl w:val="0"/>
          <w:numId w:val="3"/>
        </w:numPr>
        <w:spacing w:after="60" w:before="60"/>
      </w:pPr>
      <w:r>
        <w:rPr>
          <w:rFonts w:ascii="Arial" w:cs="Arial" w:eastAsia="Arial" w:hAnsi="Arial"/>
          <w:sz w:val="22"/>
          <w:szCs w:val="22"/>
        </w:rPr>
        <w:t xml:space="preserve">Estabelecer linhas temáticas prioritárias de pesquisa alinhadas às necessidades do Sistema e à Estratégia Nacional do Judiciário.</w:t>
      </w:r>
    </w:p>
    <w:p>
      <w:pPr>
        <w:pStyle w:val="ListParagraph"/>
        <w:numPr>
          <w:ilvl w:val="0"/>
          <w:numId w:val="3"/>
        </w:numPr>
        <w:spacing w:after="60" w:before="60"/>
      </w:pPr>
      <w:r>
        <w:rPr>
          <w:rFonts w:ascii="Arial" w:cs="Arial" w:eastAsia="Arial" w:hAnsi="Arial"/>
          <w:sz w:val="22"/>
          <w:szCs w:val="22"/>
        </w:rPr>
        <w:t xml:space="preserve">Produzir estudos de avaliação de impacto das ações formativas, com metodologias rigorosas e resultados aplicáveis.</w:t>
      </w:r>
    </w:p>
    <w:p>
      <w:pPr>
        <w:pStyle w:val="ListParagraph"/>
        <w:numPr>
          <w:ilvl w:val="0"/>
          <w:numId w:val="3"/>
        </w:numPr>
        <w:spacing w:after="60" w:before="60"/>
      </w:pPr>
      <w:r>
        <w:rPr>
          <w:rFonts w:ascii="Arial" w:cs="Arial" w:eastAsia="Arial" w:hAnsi="Arial"/>
          <w:sz w:val="22"/>
          <w:szCs w:val="22"/>
        </w:rPr>
        <w:t xml:space="preserve">Gerar publicações, notas técnicas, cadernos pedagógicos e outros produtos de conhecimento para uso das escolas judiciais.</w:t>
      </w:r>
    </w:p>
    <w:p>
      <w:pPr>
        <w:pStyle w:val="ListParagraph"/>
        <w:numPr>
          <w:ilvl w:val="0"/>
          <w:numId w:val="3"/>
        </w:numPr>
        <w:spacing w:after="60" w:before="60"/>
      </w:pPr>
      <w:r>
        <w:rPr>
          <w:rFonts w:ascii="Arial" w:cs="Arial" w:eastAsia="Arial" w:hAnsi="Arial"/>
          <w:sz w:val="22"/>
          <w:szCs w:val="22"/>
        </w:rPr>
        <w:t xml:space="preserve">Promover encontros anuais de pesquisa em educação judicial, articulados ao EnAJUS e a outros fóruns do Sistema.</w:t>
      </w:r>
    </w:p>
    <w:p>
      <w:pPr>
        <w:pStyle w:val="ListParagraph"/>
        <w:numPr>
          <w:ilvl w:val="0"/>
          <w:numId w:val="3"/>
        </w:numPr>
        <w:spacing w:after="60" w:before="60"/>
      </w:pPr>
      <w:r>
        <w:rPr>
          <w:rFonts w:ascii="Arial" w:cs="Arial" w:eastAsia="Arial" w:hAnsi="Arial"/>
          <w:sz w:val="22"/>
          <w:szCs w:val="22"/>
        </w:rPr>
        <w:t xml:space="preserve">Estabelecer parcerias com programas de pós-graduação, organismos internacionais (IOJT, EJTN) e escolas de governo para cooperação técnica e científica.</w:t>
      </w:r>
    </w:p>
    <w:p>
      <w:pPr>
        <w:pStyle w:val="ListParagraph"/>
        <w:numPr>
          <w:ilvl w:val="0"/>
          <w:numId w:val="3"/>
        </w:numPr>
        <w:spacing w:after="60" w:before="60"/>
      </w:pPr>
      <w:r>
        <w:rPr>
          <w:rFonts w:ascii="Arial" w:cs="Arial" w:eastAsia="Arial" w:hAnsi="Arial"/>
          <w:sz w:val="22"/>
          <w:szCs w:val="22"/>
        </w:rPr>
        <w:t xml:space="preserve">Criar e manter um repositório digital de produção científica e técnica sobre educação judiciária brasileira.</w:t>
      </w:r>
    </w:p>
    <w:p>
      <w:pPr>
        <w:spacing w:after="80" w:before="80"/>
      </w:pPr>
      <w:r>
        <w:t xml:space="preserve"/>
      </w:r>
    </w:p>
    <w:p>
      <w:pPr>
        <w:pStyle w:val="Heading1"/>
        <w:spacing w:after="160" w:before="320"/>
      </w:pPr>
      <w:r>
        <w:rPr>
          <w:rFonts w:ascii="Arial" w:cs="Arial" w:eastAsia="Arial" w:hAnsi="Arial"/>
          <w:b/>
          <w:bCs/>
          <w:color w:val="003580"/>
          <w:sz w:val="28"/>
          <w:szCs w:val="28"/>
        </w:rPr>
        <w:t xml:space="preserve">5. Estrutura Organizacional</w:t>
      </w:r>
    </w:p>
    <w:p>
      <w:pPr>
        <w:spacing w:after="80" w:before="80" w:line="276"/>
        <w:jc w:val="both"/>
      </w:pPr>
      <w:r>
        <w:rPr>
          <w:rFonts w:ascii="Arial" w:cs="Arial" w:eastAsia="Arial" w:hAnsi="Arial"/>
          <w:sz w:val="22"/>
          <w:szCs w:val="22"/>
        </w:rPr>
        <w:t xml:space="preserve">O NuPEC-EJ é organizado em três camadas integradas: uma instância de governança, uma coordenação executiva e a rede de pesquisadores distribuídos nos tribunais.</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5.1 Conselho Científico</w:t>
      </w:r>
    </w:p>
    <w:p>
      <w:pPr>
        <w:spacing w:after="80" w:before="80" w:line="276"/>
        <w:jc w:val="both"/>
      </w:pPr>
      <w:r>
        <w:rPr>
          <w:rFonts w:ascii="Arial" w:cs="Arial" w:eastAsia="Arial" w:hAnsi="Arial"/>
          <w:sz w:val="22"/>
          <w:szCs w:val="22"/>
        </w:rPr>
        <w:t xml:space="preserve">Órgão consultivo e de orientação estratégica, com as seguintes atribuições: aprovar as linhas temáticas de pesquisa; emitir parecer sobre projetos de maior envergadura; indicar critérios para publicações e para a seleção de pesquisadores associados; e promover diálogo com a comunidade acadêmica externa.</w:t>
      </w:r>
    </w:p>
    <w:p>
      <w:pPr>
        <w:spacing w:after="80" w:before="80"/>
      </w:pPr>
      <w:r>
        <w:t xml:space="preserve"/>
      </w:r>
    </w:p>
    <w:p>
      <w:pPr>
        <w:spacing w:after="80" w:before="80" w:line="276"/>
        <w:jc w:val="both"/>
      </w:pPr>
      <w:r>
        <w:rPr>
          <w:rFonts w:ascii="Arial" w:cs="Arial" w:eastAsia="Arial" w:hAnsi="Arial"/>
          <w:sz w:val="22"/>
          <w:szCs w:val="22"/>
        </w:rPr>
        <w:t xml:space="preserve">Composição sugerida:</w:t>
      </w:r>
    </w:p>
    <w:p>
      <w:pPr>
        <w:pStyle w:val="ListParagraph"/>
        <w:numPr>
          <w:ilvl w:val="0"/>
          <w:numId w:val="2"/>
        </w:numPr>
        <w:spacing w:after="60" w:before="60"/>
      </w:pPr>
      <w:r>
        <w:rPr>
          <w:rFonts w:ascii="Arial" w:cs="Arial" w:eastAsia="Arial" w:hAnsi="Arial"/>
          <w:sz w:val="22"/>
          <w:szCs w:val="22"/>
        </w:rPr>
        <w:t xml:space="preserve">Coordenador da CODE/ENAJU (presidente nato)</w:t>
      </w:r>
    </w:p>
    <w:p>
      <w:pPr>
        <w:pStyle w:val="ListParagraph"/>
        <w:numPr>
          <w:ilvl w:val="0"/>
          <w:numId w:val="2"/>
        </w:numPr>
        <w:spacing w:after="60" w:before="60"/>
      </w:pPr>
      <w:r>
        <w:rPr>
          <w:rFonts w:ascii="Arial" w:cs="Arial" w:eastAsia="Arial" w:hAnsi="Arial"/>
          <w:sz w:val="22"/>
          <w:szCs w:val="22"/>
        </w:rPr>
        <w:t xml:space="preserve">Um representante da Secretaria de Estratégia e Projetos do CNJ</w:t>
      </w:r>
    </w:p>
    <w:p>
      <w:pPr>
        <w:pStyle w:val="ListParagraph"/>
        <w:numPr>
          <w:ilvl w:val="0"/>
          <w:numId w:val="2"/>
        </w:numPr>
        <w:spacing w:after="60" w:before="60"/>
      </w:pPr>
      <w:r>
        <w:rPr>
          <w:rFonts w:ascii="Arial" w:cs="Arial" w:eastAsia="Arial" w:hAnsi="Arial"/>
          <w:sz w:val="22"/>
          <w:szCs w:val="22"/>
        </w:rPr>
        <w:t xml:space="preserve">Dois pesquisadores-servidores seniores eleitos pela rede do NuPEC-EJ</w:t>
      </w:r>
    </w:p>
    <w:p>
      <w:pPr>
        <w:pStyle w:val="ListParagraph"/>
        <w:numPr>
          <w:ilvl w:val="0"/>
          <w:numId w:val="2"/>
        </w:numPr>
        <w:spacing w:after="60" w:before="60"/>
      </w:pPr>
      <w:r>
        <w:rPr>
          <w:rFonts w:ascii="Arial" w:cs="Arial" w:eastAsia="Arial" w:hAnsi="Arial"/>
          <w:sz w:val="22"/>
          <w:szCs w:val="22"/>
        </w:rPr>
        <w:t xml:space="preserve">Um representante da ENFAM (cooperação interinstitucional)</w:t>
      </w:r>
    </w:p>
    <w:p>
      <w:pPr>
        <w:pStyle w:val="ListParagraph"/>
        <w:numPr>
          <w:ilvl w:val="0"/>
          <w:numId w:val="2"/>
        </w:numPr>
        <w:spacing w:after="60" w:before="60"/>
      </w:pPr>
      <w:r>
        <w:rPr>
          <w:rFonts w:ascii="Arial" w:cs="Arial" w:eastAsia="Arial" w:hAnsi="Arial"/>
          <w:sz w:val="22"/>
          <w:szCs w:val="22"/>
        </w:rPr>
        <w:t xml:space="preserve">Dois membros externos: um pesquisador acadêmico e um representante de organismo internacional (IOJT ou EJTN), ambos sem direito a voto</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5.2 Coordenação Executiva (CODE/ENAJU)</w:t>
      </w:r>
    </w:p>
    <w:p>
      <w:pPr>
        <w:spacing w:after="80" w:before="80" w:line="276"/>
        <w:jc w:val="both"/>
      </w:pPr>
      <w:r>
        <w:rPr>
          <w:rFonts w:ascii="Arial" w:cs="Arial" w:eastAsia="Arial" w:hAnsi="Arial"/>
          <w:sz w:val="22"/>
          <w:szCs w:val="22"/>
        </w:rPr>
        <w:t xml:space="preserve">A Coordenadoria de Desenvolvimento Educacional (CODE) exerce a coordenação executiva do Núcleo. Suas responsabilidades operacionais no âmbito do NuPEC-EJ incluem: gerir o credenciamento de pesquisadores associados; coordenar os grupos temáticos de trabalho; administrar o repositório digital e o fluxo de publicações; organizar os encontros anuais de pesquisa; e intermediar parcerias com universidades e organismos internacionais. A CODE poderá designar um servidor como Articulador do NuPEC-EJ, com dedicação parcial para a gestão rotineira do Núcleo.</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5.3 Rede de Pesquisadores Associados</w:t>
      </w:r>
    </w:p>
    <w:p>
      <w:pPr>
        <w:spacing w:after="80" w:before="80" w:line="276"/>
        <w:jc w:val="both"/>
      </w:pPr>
      <w:r>
        <w:rPr>
          <w:rFonts w:ascii="Arial" w:cs="Arial" w:eastAsia="Arial" w:hAnsi="Arial"/>
          <w:sz w:val="22"/>
          <w:szCs w:val="22"/>
        </w:rPr>
        <w:t xml:space="preserve">O eixo operacional do NuPEC-EJ é a sua rede de pesquisadores-servidores, distribuídos pelos tribunais e escolas judiciais de todo o País. O pesquisador associado é um servidor do Poder Judiciário — não magistrado — com formação em nível de especialização, mestrado ou doutorado, que manifesta interesse em produzir pesquisa sobre temas de educação corporativa judicial e que formaliza seu vínculo com o NuPEC-EJ mediante credenciamento anual pela CODE.</w:t>
      </w:r>
    </w:p>
    <w:p>
      <w:pPr>
        <w:spacing w:after="80" w:before="80"/>
      </w:pPr>
      <w:r>
        <w:t xml:space="preserve"/>
      </w:r>
    </w:p>
    <w:p>
      <w:pPr>
        <w:spacing w:after="80" w:before="80" w:line="276"/>
        <w:jc w:val="both"/>
      </w:pPr>
      <w:r>
        <w:rPr>
          <w:rFonts w:ascii="Arial" w:cs="Arial" w:eastAsia="Arial" w:hAnsi="Arial"/>
          <w:sz w:val="22"/>
          <w:szCs w:val="22"/>
        </w:rPr>
        <w:t xml:space="preserve">Cada pesquisador associado pode integrar um ou mais Grupos Temáticos de Pesquisa, estruturas de trabalho colaborativo que reúnem pesquisadores de diferentes tribunais em torno de uma linha comum. O trabalho nos grupos é remoto e assíncrono na maior parte do tempo, com encontros virtuais periódicos e um encontro presencial anual.</w:t>
      </w:r>
    </w:p>
    <w:p>
      <w:pPr>
        <w:spacing w:after="80" w:before="80"/>
      </w:pPr>
      <w:r>
        <w:t xml:space="preserve"/>
      </w:r>
    </w:p>
    <w:p>
      <w:pPr>
        <w:pStyle w:val="Heading1"/>
        <w:spacing w:after="160" w:before="320"/>
      </w:pPr>
      <w:r>
        <w:rPr>
          <w:rFonts w:ascii="Arial" w:cs="Arial" w:eastAsia="Arial" w:hAnsi="Arial"/>
          <w:b/>
          <w:bCs/>
          <w:color w:val="003580"/>
          <w:sz w:val="28"/>
          <w:szCs w:val="28"/>
        </w:rPr>
        <w:t xml:space="preserve">6. Linhas Temáticas de Pesquisa</w:t>
      </w:r>
    </w:p>
    <w:p>
      <w:pPr>
        <w:spacing w:after="80" w:before="80" w:line="276"/>
        <w:jc w:val="both"/>
      </w:pPr>
      <w:r>
        <w:rPr>
          <w:rFonts w:ascii="Arial" w:cs="Arial" w:eastAsia="Arial" w:hAnsi="Arial"/>
          <w:sz w:val="22"/>
          <w:szCs w:val="22"/>
        </w:rPr>
        <w:t xml:space="preserve">O NuPEC-EJ estrutura-se em cinco linhas temáticas prioritárias, definidas a partir do diagnóstico das lacunas do campo e das necessidades do Sistema Nacional de Formação. As linhas são revisadas bienalmente pelo Conselho Científico.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Linha</w:t>
            </w:r>
          </w:p>
        </w:tc>
        <w:tc>
          <w:tcPr>
            <w:tcW w:type="dxa" w:w="28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Denominação</w:t>
            </w:r>
          </w:p>
        </w:tc>
        <w:tc>
          <w:tcPr>
            <w:tcW w:type="dxa" w:w="586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Focos de pesquisa</w:t>
            </w:r>
          </w:p>
        </w:tc>
      </w:tr>
      <w:tr>
        <w:tc>
          <w:tcPr>
            <w:tcW w:type="dxa" w:w="7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LT-1</w:t>
            </w:r>
          </w:p>
        </w:tc>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Avaliação de Impacto de Ações Formativas</w:t>
            </w:r>
          </w:p>
        </w:tc>
        <w:tc>
          <w:tcPr>
            <w:tcW w:type="dxa" w:w="58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Avaliação de transferência de aprendizagem; modelos de Kirkpatrick e Phillips aplicados ao Judiciário; estudos de retorno sobre investimento em capacitação; desenhos quasi-experimentais</w:t>
            </w:r>
          </w:p>
        </w:tc>
      </w:tr>
      <w:tr>
        <w:tc>
          <w:tcPr>
            <w:tcW w:type="dxa" w:w="7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LT-2</w:t>
            </w:r>
          </w:p>
        </w:tc>
        <w:tc>
          <w:tcPr>
            <w:tcW w:type="dxa" w:w="2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Gestão por Competências e Desenvolvimento Profissional</w:t>
            </w:r>
          </w:p>
        </w:tc>
        <w:tc>
          <w:tcPr>
            <w:tcW w:type="dxa" w:w="58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Mapeamento e validação de competências judiciais; perfis profissionais; trilhas formativas; certificação e reconhecimento de aprendizagens</w:t>
            </w:r>
          </w:p>
        </w:tc>
      </w:tr>
      <w:tr>
        <w:tc>
          <w:tcPr>
            <w:tcW w:type="dxa" w:w="7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LT-3</w:t>
            </w:r>
          </w:p>
        </w:tc>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Inovação Pedagógica e Tecnologias Educacionais</w:t>
            </w:r>
          </w:p>
        </w:tc>
        <w:tc>
          <w:tcPr>
            <w:tcW w:type="dxa" w:w="58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Learning analytics; IA aplicada à formação; microlearning; realidade aumentada; gamificação; EAD e hibridismo no setor público</w:t>
            </w:r>
          </w:p>
        </w:tc>
      </w:tr>
      <w:tr>
        <w:tc>
          <w:tcPr>
            <w:tcW w:type="dxa" w:w="7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LT-4</w:t>
            </w:r>
          </w:p>
        </w:tc>
        <w:tc>
          <w:tcPr>
            <w:tcW w:type="dxa" w:w="2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Governança de Escolas Judiciais</w:t>
            </w:r>
          </w:p>
        </w:tc>
        <w:tc>
          <w:tcPr>
            <w:tcW w:type="dxa" w:w="58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Modelos organizacionais; autonomia financeira; cooperação em rede; benchmarking nacional e internacional; indicadores de qualidade educacional</w:t>
            </w:r>
          </w:p>
        </w:tc>
      </w:tr>
      <w:tr>
        <w:tc>
          <w:tcPr>
            <w:tcW w:type="dxa" w:w="7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LT-5</w:t>
            </w:r>
          </w:p>
        </w:tc>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Educação Judicial Comparada e Cooperação Internacional</w:t>
            </w:r>
          </w:p>
        </w:tc>
        <w:tc>
          <w:tcPr>
            <w:tcW w:type="dxa" w:w="58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Modelos da EJTN, IOJT, FJC, ENM/França, Singapore CSC; influências de organismos internacionais; transferência de políticas de formação</w:t>
            </w:r>
          </w:p>
        </w:tc>
      </w:tr>
    </w:tbl>
    <w:p>
      <w:pPr>
        <w:spacing w:after="80" w:before="80"/>
      </w:pPr>
      <w:r>
        <w:t xml:space="preserve"/>
      </w:r>
    </w:p>
    <w:p>
      <w:pPr>
        <w:pStyle w:val="Heading1"/>
        <w:spacing w:after="160" w:before="320"/>
      </w:pPr>
      <w:r>
        <w:rPr>
          <w:rFonts w:ascii="Arial" w:cs="Arial" w:eastAsia="Arial" w:hAnsi="Arial"/>
          <w:b/>
          <w:bCs/>
          <w:color w:val="003580"/>
          <w:sz w:val="28"/>
          <w:szCs w:val="28"/>
        </w:rPr>
        <w:t xml:space="preserve">7. Credenciamento de Pesquisadores Associados</w:t>
      </w:r>
    </w:p>
    <w:p>
      <w:pPr>
        <w:pStyle w:val="Heading3"/>
        <w:spacing w:after="80" w:before="200"/>
      </w:pPr>
      <w:r>
        <w:rPr>
          <w:rFonts w:ascii="Arial" w:cs="Arial" w:eastAsia="Arial" w:hAnsi="Arial"/>
          <w:b/>
          <w:bCs/>
          <w:color w:val="1A3A6B"/>
          <w:sz w:val="22"/>
          <w:szCs w:val="22"/>
        </w:rPr>
        <w:t xml:space="preserve">7.1 Perfil e Requisitos</w:t>
      </w:r>
    </w:p>
    <w:p>
      <w:pPr>
        <w:spacing w:after="80" w:before="80" w:line="276"/>
        <w:jc w:val="both"/>
      </w:pPr>
      <w:r>
        <w:rPr>
          <w:rFonts w:ascii="Arial" w:cs="Arial" w:eastAsia="Arial" w:hAnsi="Arial"/>
          <w:sz w:val="22"/>
          <w:szCs w:val="22"/>
        </w:rPr>
        <w:t xml:space="preserve">Poderá ser credenciado como pesquisador associado do NuPEC-EJ o servidor do Poder Judiciário — excluídos magistrados — que preencha cumulativamente os seguintes requisitos:</w:t>
      </w:r>
    </w:p>
    <w:p>
      <w:pPr>
        <w:pStyle w:val="ListParagraph"/>
        <w:numPr>
          <w:ilvl w:val="0"/>
          <w:numId w:val="2"/>
        </w:numPr>
        <w:spacing w:after="60" w:before="60"/>
      </w:pPr>
      <w:r>
        <w:rPr>
          <w:rFonts w:ascii="Arial" w:cs="Arial" w:eastAsia="Arial" w:hAnsi="Arial"/>
          <w:sz w:val="22"/>
          <w:szCs w:val="22"/>
        </w:rPr>
        <w:t xml:space="preserve">Possuir formação em nível de especialização lato sensu, mestrado ou doutorado em área relacionada às linhas temáticas do Núcleo;</w:t>
      </w:r>
    </w:p>
    <w:p>
      <w:pPr>
        <w:pStyle w:val="ListParagraph"/>
        <w:numPr>
          <w:ilvl w:val="0"/>
          <w:numId w:val="2"/>
        </w:numPr>
        <w:spacing w:after="60" w:before="60"/>
      </w:pPr>
      <w:r>
        <w:rPr>
          <w:rFonts w:ascii="Arial" w:cs="Arial" w:eastAsia="Arial" w:hAnsi="Arial"/>
          <w:sz w:val="22"/>
          <w:szCs w:val="22"/>
        </w:rPr>
        <w:t xml:space="preserve">Estar em exercício ativo em tribunal ou escola judicial integrante do Sistema Nacional de Formação;</w:t>
      </w:r>
    </w:p>
    <w:p>
      <w:pPr>
        <w:pStyle w:val="ListParagraph"/>
        <w:numPr>
          <w:ilvl w:val="0"/>
          <w:numId w:val="2"/>
        </w:numPr>
        <w:spacing w:after="60" w:before="60"/>
      </w:pPr>
      <w:r>
        <w:rPr>
          <w:rFonts w:ascii="Arial" w:cs="Arial" w:eastAsia="Arial" w:hAnsi="Arial"/>
          <w:sz w:val="22"/>
          <w:szCs w:val="22"/>
        </w:rPr>
        <w:t xml:space="preserve">Apresentar proposta de pesquisa em uma das linhas temáticas vigentes, com objeto delimitado, metodologia descrita e cronograma de execução;</w:t>
      </w:r>
    </w:p>
    <w:p>
      <w:pPr>
        <w:pStyle w:val="ListParagraph"/>
        <w:numPr>
          <w:ilvl w:val="0"/>
          <w:numId w:val="2"/>
        </w:numPr>
        <w:spacing w:after="60" w:before="60"/>
      </w:pPr>
      <w:r>
        <w:rPr>
          <w:rFonts w:ascii="Arial" w:cs="Arial" w:eastAsia="Arial" w:hAnsi="Arial"/>
          <w:sz w:val="22"/>
          <w:szCs w:val="22"/>
        </w:rPr>
        <w:t xml:space="preserve">Obter anuência do gestor imediato para dedicação parcial às atividades do Núcleo (mínimo de 4 horas semanais).</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7.2 Processo de Credenciamento</w:t>
      </w:r>
    </w:p>
    <w:p>
      <w:pPr>
        <w:spacing w:after="80" w:before="80" w:line="276"/>
        <w:jc w:val="both"/>
      </w:pPr>
      <w:r>
        <w:rPr>
          <w:rFonts w:ascii="Arial" w:cs="Arial" w:eastAsia="Arial" w:hAnsi="Arial"/>
          <w:sz w:val="22"/>
          <w:szCs w:val="22"/>
        </w:rPr>
        <w:t xml:space="preserve">O credenciamento ocorre por chamada pública anual, aberta entre março e abril de cada ano, com edital publicado no portal da ENAJU e comunicado às escolas judiciais e centros de formação dos tribunais. A seleção é realizada por comissão da CODE, com avaliação da proposta de pesquisa, da qualificação do candidato e da aderência às linhas temáticas prioritárias. O credenciamento tem validade de dois anos, renovável mediante apresentação de relatório de produção.</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7.3 Direitos e Deveres do Pesquisador Associado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Direitos</w:t>
            </w:r>
          </w:p>
        </w:tc>
        <w:tc>
          <w:tcPr>
            <w:tcW w:type="dxa" w:w="468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Deveres</w:t>
            </w:r>
          </w:p>
        </w:tc>
      </w:tr>
      <w:tr>
        <w:tc>
          <w:tcPr>
            <w:tcW w:type="dxa" w:w="468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Acesso ao repositório digital do NuPEC-EJ e às bases de dados disponibilizadas pela ENAJU/CNJ</w:t>
            </w:r>
          </w:p>
        </w:tc>
        <w:tc>
          <w:tcPr>
            <w:tcW w:type="dxa" w:w="468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Submeter ao menos um produto de pesquisa por ano (artigo, nota técnica, caderno pedagógico ou relatório)</w:t>
            </w:r>
          </w:p>
        </w:tc>
      </w:tr>
      <w:tr>
        <w:tc>
          <w:tcPr>
            <w:tcW w:type="dxa" w:w="468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Participação nos encontros anuais de pesquisa e nos seminários do Núcleo</w:t>
            </w:r>
          </w:p>
        </w:tc>
        <w:tc>
          <w:tcPr>
            <w:tcW w:type="dxa" w:w="468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Participar das reuniões do respectivo Grupo Temático (mínimo de 75% de presença)</w:t>
            </w:r>
          </w:p>
        </w:tc>
      </w:tr>
      <w:tr>
        <w:tc>
          <w:tcPr>
            <w:tcW w:type="dxa" w:w="468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Mentoria metodológica por pesquisador sênior da rede ou por colaboradores externos</w:t>
            </w:r>
          </w:p>
        </w:tc>
        <w:tc>
          <w:tcPr>
            <w:tcW w:type="dxa" w:w="468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Registrar o vínculo com o NuPEC-EJ nas produções realizadas no período de credenciamento</w:t>
            </w:r>
          </w:p>
        </w:tc>
      </w:tr>
      <w:tr>
        <w:tc>
          <w:tcPr>
            <w:tcW w:type="dxa" w:w="468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Possibilidade de coautoria em publicações da ENAJU</w:t>
            </w:r>
          </w:p>
        </w:tc>
        <w:tc>
          <w:tcPr>
            <w:tcW w:type="dxa" w:w="468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Compartilhar dados, instrumentos e resultados com a rede, respeitadas as normas éticas de pesquisa</w:t>
            </w:r>
          </w:p>
        </w:tc>
      </w:tr>
      <w:tr>
        <w:tc>
          <w:tcPr>
            <w:tcW w:type="dxa" w:w="468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Certificado de atuação como pesquisador associado da ENAJU, com carga horária para fins de pontuação</w:t>
            </w:r>
          </w:p>
        </w:tc>
        <w:tc>
          <w:tcPr>
            <w:tcW w:type="dxa" w:w="468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Manter atualizados os dados cadastrais e o andamento do projeto no sistema do NuPEC-EJ</w:t>
            </w:r>
          </w:p>
        </w:tc>
      </w:tr>
    </w:tbl>
    <w:p>
      <w:pPr>
        <w:spacing w:after="80" w:before="80"/>
      </w:pPr>
      <w:r>
        <w:t xml:space="preserve"/>
      </w:r>
    </w:p>
    <w:p>
      <w:pPr>
        <w:pStyle w:val="Heading1"/>
        <w:spacing w:after="160" w:before="320"/>
      </w:pPr>
      <w:r>
        <w:rPr>
          <w:rFonts w:ascii="Arial" w:cs="Arial" w:eastAsia="Arial" w:hAnsi="Arial"/>
          <w:b/>
          <w:bCs/>
          <w:color w:val="003580"/>
          <w:sz w:val="28"/>
          <w:szCs w:val="28"/>
        </w:rPr>
        <w:t xml:space="preserve">8. Grupos Temáticos de Pesquisa (GTPs)</w:t>
      </w:r>
    </w:p>
    <w:p>
      <w:pPr>
        <w:spacing w:after="80" w:before="80" w:line="276"/>
        <w:jc w:val="both"/>
      </w:pPr>
      <w:r>
        <w:rPr>
          <w:rFonts w:ascii="Arial" w:cs="Arial" w:eastAsia="Arial" w:hAnsi="Arial"/>
          <w:sz w:val="22"/>
          <w:szCs w:val="22"/>
        </w:rPr>
        <w:t xml:space="preserve">Os Grupos Temáticos de Pesquisa são as unidades operacionais do NuPEC-EJ. Cada GTP reúne de 5 a 15 pesquisadores associados em torno de uma das linhas temáticas, coordenados por um pesquisador-líder eleito pelos pares por mandato de dois anos. O GTP tem autonomia para definir seu plano de trabalho, cronograma e metodologia, submetendo-os à aprovação do Conselho Científico do Núcleo.</w:t>
      </w:r>
    </w:p>
    <w:p>
      <w:pPr>
        <w:spacing w:after="80" w:before="80"/>
      </w:pPr>
      <w:r>
        <w:t xml:space="preserve"/>
      </w:r>
    </w:p>
    <w:p>
      <w:pPr>
        <w:spacing w:after="80" w:before="80" w:line="276"/>
        <w:jc w:val="both"/>
      </w:pPr>
      <w:r>
        <w:rPr>
          <w:rFonts w:ascii="Arial" w:cs="Arial" w:eastAsia="Arial" w:hAnsi="Arial"/>
          <w:sz w:val="22"/>
          <w:szCs w:val="22"/>
        </w:rPr>
        <w:t xml:space="preserve">Cada GTP deverá:</w:t>
      </w:r>
    </w:p>
    <w:p>
      <w:pPr>
        <w:pStyle w:val="ListParagraph"/>
        <w:numPr>
          <w:ilvl w:val="0"/>
          <w:numId w:val="2"/>
        </w:numPr>
        <w:spacing w:after="60" w:before="60"/>
      </w:pPr>
      <w:r>
        <w:rPr>
          <w:rFonts w:ascii="Arial" w:cs="Arial" w:eastAsia="Arial" w:hAnsi="Arial"/>
          <w:sz w:val="22"/>
          <w:szCs w:val="22"/>
        </w:rPr>
        <w:t xml:space="preserve">Realizar reuniões virtuais quinzenais ou mensais, com atas registradas na plataforma do NuPEC-EJ;</w:t>
      </w:r>
    </w:p>
    <w:p>
      <w:pPr>
        <w:pStyle w:val="ListParagraph"/>
        <w:numPr>
          <w:ilvl w:val="0"/>
          <w:numId w:val="2"/>
        </w:numPr>
        <w:spacing w:after="60" w:before="60"/>
      </w:pPr>
      <w:r>
        <w:rPr>
          <w:rFonts w:ascii="Arial" w:cs="Arial" w:eastAsia="Arial" w:hAnsi="Arial"/>
          <w:sz w:val="22"/>
          <w:szCs w:val="22"/>
        </w:rPr>
        <w:t xml:space="preserve">Elaborar e executar ao menos um projeto coletivo por ciclo bienal;</w:t>
      </w:r>
    </w:p>
    <w:p>
      <w:pPr>
        <w:pStyle w:val="ListParagraph"/>
        <w:numPr>
          <w:ilvl w:val="0"/>
          <w:numId w:val="2"/>
        </w:numPr>
        <w:spacing w:after="60" w:before="60"/>
      </w:pPr>
      <w:r>
        <w:rPr>
          <w:rFonts w:ascii="Arial" w:cs="Arial" w:eastAsia="Arial" w:hAnsi="Arial"/>
          <w:sz w:val="22"/>
          <w:szCs w:val="22"/>
        </w:rPr>
        <w:t xml:space="preserve">Produzir ao menos uma publicação ou produto de conhecimento coletivo por ano;</w:t>
      </w:r>
    </w:p>
    <w:p>
      <w:pPr>
        <w:pStyle w:val="ListParagraph"/>
        <w:numPr>
          <w:ilvl w:val="0"/>
          <w:numId w:val="2"/>
        </w:numPr>
        <w:spacing w:after="60" w:before="60"/>
      </w:pPr>
      <w:r>
        <w:rPr>
          <w:rFonts w:ascii="Arial" w:cs="Arial" w:eastAsia="Arial" w:hAnsi="Arial"/>
          <w:sz w:val="22"/>
          <w:szCs w:val="22"/>
        </w:rPr>
        <w:t xml:space="preserve">Participar do Encontro Anual de Pesquisa em Educação Judicial, apresentando resultados parciais ou finais.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580" w:sz="6"/>
              <w:left w:val="single" w:color="003580" w:sz="6"/>
              <w:bottom w:val="single" w:color="003580" w:sz="6"/>
              <w:right w:val="single" w:color="003580" w:sz="6"/>
            </w:tcBorders>
            <w:shd w:fill="C7D9F0" w:val="clear"/>
            <w:tcMar>
              <w:top w:type="dxa" w:w="120"/>
              <w:left w:type="dxa" w:w="180"/>
              <w:bottom w:type="dxa" w:w="120"/>
              <w:right w:type="dxa" w:w="180"/>
            </w:tcMar>
          </w:tcPr>
          <w:p>
            <w:pPr>
              <w:spacing w:after="80" w:before="0"/>
            </w:pPr>
            <w:r>
              <w:rPr>
                <w:rFonts w:ascii="Arial" w:cs="Arial" w:eastAsia="Arial" w:hAnsi="Arial"/>
                <w:b/>
                <w:bCs/>
                <w:color w:val="003580"/>
                <w:sz w:val="22"/>
                <w:szCs w:val="22"/>
              </w:rPr>
              <w:t xml:space="preserve">Modelo de referência: ENAP e redes internacionais</w:t>
            </w:r>
          </w:p>
          <w:p>
            <w:pPr>
              <w:spacing w:after="40" w:before="40"/>
              <w:jc w:val="both"/>
            </w:pPr>
            <w:r>
              <w:rPr>
                <w:rFonts w:ascii="Arial" w:cs="Arial" w:eastAsia="Arial" w:hAnsi="Arial"/>
                <w:sz w:val="21"/>
                <w:szCs w:val="21"/>
              </w:rPr>
              <w:t xml:space="preserve">A ENAP estrutura sua produção científica em grupos temáticos coordenados por sua Diretoria de Altos Estudos. No II Encontro de Pesquisa da Pós-Graduação (setembro de 2025), grupos como 'Campo Jurídico, Regulação e Políticas Públicas' e 'Novos Paradigmas em Governança' apresentaram resultados coletivos produzidos ao longo do ano. O European Judicial Training Network (EJTN) opera por working groups temáticos que reúnem representantes de escolas judiciais de múltiplos países em projetos de pesquisa colaborativa, gerando relatórios comparados que retroalimentam os currículos das escolas membros. O NuPEC-EJ adota lógica análoga em escala nacional.</w:t>
            </w:r>
          </w:p>
        </w:tc>
      </w:tr>
    </w:tbl>
    <w:p>
      <w:pPr>
        <w:spacing w:after="80" w:before="80"/>
      </w:pPr>
      <w:r>
        <w:t xml:space="preserve"/>
      </w:r>
    </w:p>
    <w:p>
      <w:pPr>
        <w:pStyle w:val="Heading1"/>
        <w:spacing w:after="160" w:before="320"/>
      </w:pPr>
      <w:r>
        <w:rPr>
          <w:rFonts w:ascii="Arial" w:cs="Arial" w:eastAsia="Arial" w:hAnsi="Arial"/>
          <w:b/>
          <w:bCs/>
          <w:color w:val="003580"/>
          <w:sz w:val="28"/>
          <w:szCs w:val="28"/>
        </w:rPr>
        <w:t xml:space="preserve">9. Produtos e Publicações</w:t>
      </w:r>
    </w:p>
    <w:p>
      <w:pPr>
        <w:spacing w:after="80" w:before="80" w:line="276"/>
        <w:jc w:val="both"/>
      </w:pPr>
      <w:r>
        <w:rPr>
          <w:rFonts w:ascii="Arial" w:cs="Arial" w:eastAsia="Arial" w:hAnsi="Arial"/>
          <w:sz w:val="22"/>
          <w:szCs w:val="22"/>
        </w:rPr>
        <w:t xml:space="preserve">O NuPEC-EJ organizará sua produção em uma linha editorial estruturada, com quatro séries de publicação: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Série</w:t>
            </w:r>
          </w:p>
        </w:tc>
        <w:tc>
          <w:tcPr>
            <w:tcW w:type="dxa" w:w="22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Formato</w:t>
            </w:r>
          </w:p>
        </w:tc>
        <w:tc>
          <w:tcPr>
            <w:tcW w:type="dxa" w:w="18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Periodicidade</w:t>
            </w:r>
          </w:p>
        </w:tc>
        <w:tc>
          <w:tcPr>
            <w:tcW w:type="dxa" w:w="356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Objetivo</w:t>
            </w:r>
          </w:p>
        </w:tc>
      </w:tr>
      <w:tr>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Cadernos NuPEC-EJ</w:t>
            </w:r>
          </w:p>
        </w:tc>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Artigos de pesquisa aplicada (20–40 páginas)</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Contínua</w:t>
            </w:r>
          </w:p>
        </w:tc>
        <w:tc>
          <w:tcPr>
            <w:tcW w:type="dxa" w:w="3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Publicar resultados de pesquisas dos GTPs e pesquisadores associados</w:t>
            </w:r>
          </w:p>
        </w:tc>
      </w:tr>
      <w:tr>
        <w:tc>
          <w:tcPr>
            <w:tcW w:type="dxa" w:w="1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Notas Técnicas ENAJU</w:t>
            </w:r>
          </w:p>
        </w:tc>
        <w:tc>
          <w:tcPr>
            <w:tcW w:type="dxa" w:w="2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Sínteses executivas (4–8 páginas)</w:t>
            </w:r>
          </w:p>
        </w:tc>
        <w:tc>
          <w:tcPr>
            <w:tcW w:type="dxa" w:w="1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Sob demanda</w:t>
            </w:r>
          </w:p>
        </w:tc>
        <w:tc>
          <w:tcPr>
            <w:tcW w:type="dxa" w:w="35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Subsidiar decisões da ENAJU e do CNJ com evidências de pesquisa</w:t>
            </w:r>
          </w:p>
        </w:tc>
      </w:tr>
      <w:tr>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Cadernos Pedagógicos</w:t>
            </w:r>
          </w:p>
        </w:tc>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Materiais didáticos derivados de pesquisa (10–30 páginas)</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Anual por linha temática</w:t>
            </w:r>
          </w:p>
        </w:tc>
        <w:tc>
          <w:tcPr>
            <w:tcW w:type="dxa" w:w="3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Traduzir resultados de pesquisa em conteúdo formativo para as escolas</w:t>
            </w:r>
          </w:p>
        </w:tc>
      </w:tr>
      <w:tr>
        <w:tc>
          <w:tcPr>
            <w:tcW w:type="dxa" w:w="1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Relatório Anual de Pesquisa em Educação Judicial</w:t>
            </w:r>
          </w:p>
        </w:tc>
        <w:tc>
          <w:tcPr>
            <w:tcW w:type="dxa" w:w="2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Panorama consolidado da rede</w:t>
            </w:r>
          </w:p>
        </w:tc>
        <w:tc>
          <w:tcPr>
            <w:tcW w:type="dxa" w:w="1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Anual</w:t>
            </w:r>
          </w:p>
        </w:tc>
        <w:tc>
          <w:tcPr>
            <w:tcW w:type="dxa" w:w="35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Registrar a produção do Núcleo, publicizar indicadores e balancear resultados</w:t>
            </w:r>
          </w:p>
        </w:tc>
      </w:tr>
    </w:tbl>
    <w:p>
      <w:pPr>
        <w:spacing w:after="80" w:before="80"/>
      </w:pPr>
      <w:r>
        <w:t xml:space="preserve"/>
      </w:r>
    </w:p>
    <w:p>
      <w:pPr>
        <w:spacing w:after="80" w:before="80" w:line="276"/>
        <w:jc w:val="both"/>
      </w:pPr>
      <w:r>
        <w:rPr>
          <w:rFonts w:ascii="Arial" w:cs="Arial" w:eastAsia="Arial" w:hAnsi="Arial"/>
          <w:sz w:val="22"/>
          <w:szCs w:val="22"/>
        </w:rPr>
        <w:t xml:space="preserve">Todas as publicações serão depositadas no Repositório Digital do NuPEC-EJ, integrado ao portal da ENAJU, com acesso aberto e metadados padronizados. O Repositório também funcionará como banco de teses, dissertações e monografias de servidores do Judiciário sobre temas de educação judicial, independentemente de vínculo formal com o Núcleo.</w:t>
      </w:r>
    </w:p>
    <w:p>
      <w:pPr>
        <w:spacing w:after="80" w:before="80"/>
      </w:pPr>
      <w:r>
        <w:t xml:space="preserve"/>
      </w:r>
    </w:p>
    <w:p>
      <w:pPr>
        <w:pStyle w:val="Heading1"/>
        <w:spacing w:after="160" w:before="320"/>
      </w:pPr>
      <w:r>
        <w:rPr>
          <w:rFonts w:ascii="Arial" w:cs="Arial" w:eastAsia="Arial" w:hAnsi="Arial"/>
          <w:b/>
          <w:bCs/>
          <w:color w:val="003580"/>
          <w:sz w:val="28"/>
          <w:szCs w:val="28"/>
        </w:rPr>
        <w:t xml:space="preserve">10. Encontro Anual de Pesquisa em Educação Judicial — EPEJ</w:t>
      </w:r>
    </w:p>
    <w:p>
      <w:pPr>
        <w:spacing w:after="80" w:before="80" w:line="276"/>
        <w:jc w:val="both"/>
      </w:pPr>
      <w:r>
        <w:rPr>
          <w:rFonts w:ascii="Arial" w:cs="Arial" w:eastAsia="Arial" w:hAnsi="Arial"/>
          <w:sz w:val="22"/>
          <w:szCs w:val="22"/>
        </w:rPr>
        <w:t xml:space="preserve">O Encontro Anual de Pesquisa em Educação Judicial (EPEJ) será o evento âncora do NuPEC-EJ, realizado preferencialmente em novembro de cada ano, articulado com o calendário do EnAJUS (Encontro Nacional de Gestão Educacional do Judiciário). O EPEJ cumprirá quatro funções simultâneas:</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Vitrina científica: apresentação dos resultados dos GTPs e dos pesquisadores associados ao longo do ano;</w:t>
      </w:r>
    </w:p>
    <w:p>
      <w:pPr>
        <w:pStyle w:val="ListParagraph"/>
        <w:numPr>
          <w:ilvl w:val="0"/>
          <w:numId w:val="3"/>
        </w:numPr>
        <w:spacing w:after="60" w:before="60"/>
      </w:pPr>
      <w:r>
        <w:rPr>
          <w:rFonts w:ascii="Arial" w:cs="Arial" w:eastAsia="Arial" w:hAnsi="Arial"/>
          <w:sz w:val="22"/>
          <w:szCs w:val="22"/>
        </w:rPr>
        <w:t xml:space="preserve">Fórum de prioridades: definição e revisão das linhas temáticas e agenda de pesquisa do ciclo seguinte;</w:t>
      </w:r>
    </w:p>
    <w:p>
      <w:pPr>
        <w:pStyle w:val="ListParagraph"/>
        <w:numPr>
          <w:ilvl w:val="0"/>
          <w:numId w:val="3"/>
        </w:numPr>
        <w:spacing w:after="60" w:before="60"/>
      </w:pPr>
      <w:r>
        <w:rPr>
          <w:rFonts w:ascii="Arial" w:cs="Arial" w:eastAsia="Arial" w:hAnsi="Arial"/>
          <w:sz w:val="22"/>
          <w:szCs w:val="22"/>
        </w:rPr>
        <w:t xml:space="preserve">Espaço de integração: aproximação entre pesquisadores de diferentes tribunais, estímulo à formação de novos grupos e parcerias;</w:t>
      </w:r>
    </w:p>
    <w:p>
      <w:pPr>
        <w:pStyle w:val="ListParagraph"/>
        <w:numPr>
          <w:ilvl w:val="0"/>
          <w:numId w:val="3"/>
        </w:numPr>
        <w:spacing w:after="60" w:before="60"/>
      </w:pPr>
      <w:r>
        <w:rPr>
          <w:rFonts w:ascii="Arial" w:cs="Arial" w:eastAsia="Arial" w:hAnsi="Arial"/>
          <w:sz w:val="22"/>
          <w:szCs w:val="22"/>
        </w:rPr>
        <w:t xml:space="preserve">Diálogo com a academia: sessões abertas com pesquisadores universitários, organismos internacionais e representantes de escolas de governo.</w:t>
      </w:r>
    </w:p>
    <w:p>
      <w:pPr>
        <w:spacing w:after="80" w:before="80"/>
      </w:pPr>
      <w:r>
        <w:t xml:space="preserve"/>
      </w:r>
    </w:p>
    <w:p>
      <w:pPr>
        <w:spacing w:after="80" w:before="80" w:line="276"/>
        <w:jc w:val="both"/>
      </w:pPr>
      <w:r>
        <w:rPr>
          <w:rFonts w:ascii="Arial" w:cs="Arial" w:eastAsia="Arial" w:hAnsi="Arial"/>
          <w:sz w:val="22"/>
          <w:szCs w:val="22"/>
        </w:rPr>
        <w:t xml:space="preserve">O EPEJ será aberto a servidores não credenciados, estudantes de pós-graduação e pesquisadores acadêmicos, garantindo permeabilidade entre o saber institucional e o saber científico externo. Os melhores trabalhos serão indicados para publicação nos Cadernos NuPEC-EJ ou para submissão ao EnAJUS.</w:t>
      </w:r>
    </w:p>
    <w:p>
      <w:pPr>
        <w:spacing w:after="80" w:before="80"/>
      </w:pPr>
      <w:r>
        <w:t xml:space="preserve"/>
      </w:r>
    </w:p>
    <w:p>
      <w:pPr>
        <w:pStyle w:val="Heading1"/>
        <w:spacing w:after="160" w:before="320"/>
      </w:pPr>
      <w:r>
        <w:rPr>
          <w:rFonts w:ascii="Arial" w:cs="Arial" w:eastAsia="Arial" w:hAnsi="Arial"/>
          <w:b/>
          <w:bCs/>
          <w:color w:val="003580"/>
          <w:sz w:val="28"/>
          <w:szCs w:val="28"/>
        </w:rPr>
        <w:t xml:space="preserve">11. Parcerias e Cooperação</w:t>
      </w:r>
    </w:p>
    <w:p>
      <w:pPr>
        <w:pStyle w:val="Heading3"/>
        <w:spacing w:after="80" w:before="200"/>
      </w:pPr>
      <w:r>
        <w:rPr>
          <w:rFonts w:ascii="Arial" w:cs="Arial" w:eastAsia="Arial" w:hAnsi="Arial"/>
          <w:b/>
          <w:bCs/>
          <w:color w:val="1A3A6B"/>
          <w:sz w:val="22"/>
          <w:szCs w:val="22"/>
        </w:rPr>
        <w:t xml:space="preserve">11.1 Parcerias Internas ao Sistema de Justiça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Parceiro</w:t>
            </w:r>
          </w:p>
        </w:tc>
        <w:tc>
          <w:tcPr>
            <w:tcW w:type="dxa" w:w="22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Modalidade</w:t>
            </w:r>
          </w:p>
        </w:tc>
        <w:tc>
          <w:tcPr>
            <w:tcW w:type="dxa" w:w="456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Contribuição esperada</w:t>
            </w:r>
          </w:p>
        </w:tc>
      </w:tr>
      <w:tr>
        <w:tc>
          <w:tcPr>
            <w:tcW w:type="dxa" w:w="2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ENFAM</w:t>
            </w:r>
          </w:p>
        </w:tc>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Cooperação interinstitucional</w:t>
            </w:r>
          </w:p>
        </w:tc>
        <w:tc>
          <w:tcPr>
            <w:tcW w:type="dxa" w:w="4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Compartilhamento de dados de formação de magistrados; articulação com a RENEJUM; acesso ao Banco Nacional de Formadores</w:t>
            </w:r>
          </w:p>
        </w:tc>
      </w:tr>
      <w:tr>
        <w:tc>
          <w:tcPr>
            <w:tcW w:type="dxa" w:w="26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ENAMAT</w:t>
            </w:r>
          </w:p>
        </w:tc>
        <w:tc>
          <w:tcPr>
            <w:tcW w:type="dxa" w:w="2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Cooperação interinstitucional</w:t>
            </w:r>
          </w:p>
        </w:tc>
        <w:tc>
          <w:tcPr>
            <w:tcW w:type="dxa" w:w="45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Integração de pesquisadores da Justiça do Trabalho; compartilhamento de boas práticas em educação especializada</w:t>
            </w:r>
          </w:p>
        </w:tc>
      </w:tr>
      <w:tr>
        <w:tc>
          <w:tcPr>
            <w:tcW w:type="dxa" w:w="2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Escolas judiciais dos TJs, TRFs e TRTs</w:t>
            </w:r>
          </w:p>
        </w:tc>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Rede NuPEC-EJ</w:t>
            </w:r>
          </w:p>
        </w:tc>
        <w:tc>
          <w:tcPr>
            <w:tcW w:type="dxa" w:w="4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Credenciamento de pesquisadores associados; cessão de dados anonimizados para estudos; execução de pesquisas locais articuladas ao Núcleo</w:t>
            </w:r>
          </w:p>
        </w:tc>
      </w:tr>
      <w:tr>
        <w:tc>
          <w:tcPr>
            <w:tcW w:type="dxa" w:w="26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Copedem</w:t>
            </w:r>
          </w:p>
        </w:tc>
        <w:tc>
          <w:tcPr>
            <w:tcW w:type="dxa" w:w="2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Parceria temática</w:t>
            </w:r>
          </w:p>
        </w:tc>
        <w:tc>
          <w:tcPr>
            <w:tcW w:type="dxa" w:w="45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Articulação com escolas estaduais de magistratura; acesso a experiências regionais</w:t>
            </w:r>
          </w:p>
        </w:tc>
      </w:tr>
    </w:tbl>
    <w:p>
      <w:pPr>
        <w:spacing w:after="80" w:before="80"/>
      </w:pPr>
      <w:r>
        <w:t xml:space="preserve"/>
      </w:r>
    </w:p>
    <w:p>
      <w:pPr>
        <w:pStyle w:val="Heading3"/>
        <w:spacing w:after="80" w:before="200"/>
      </w:pPr>
      <w:r>
        <w:rPr>
          <w:rFonts w:ascii="Arial" w:cs="Arial" w:eastAsia="Arial" w:hAnsi="Arial"/>
          <w:b/>
          <w:bCs/>
          <w:color w:val="1A3A6B"/>
          <w:sz w:val="22"/>
          <w:szCs w:val="22"/>
        </w:rPr>
        <w:t xml:space="preserve">11.2 Parcerias Acadêmicas e Internacionais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Parceiro</w:t>
            </w:r>
          </w:p>
        </w:tc>
        <w:tc>
          <w:tcPr>
            <w:tcW w:type="dxa" w:w="22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Modalidade</w:t>
            </w:r>
          </w:p>
        </w:tc>
        <w:tc>
          <w:tcPr>
            <w:tcW w:type="dxa" w:w="456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Contribuição esperada</w:t>
            </w:r>
          </w:p>
        </w:tc>
      </w:tr>
      <w:tr>
        <w:tc>
          <w:tcPr>
            <w:tcW w:type="dxa" w:w="2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Programas de pós-graduação (Direito, Administração Pública, Educação)</w:t>
            </w:r>
          </w:p>
        </w:tc>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Convênio acadêmico</w:t>
            </w:r>
          </w:p>
        </w:tc>
        <w:tc>
          <w:tcPr>
            <w:tcW w:type="dxa" w:w="4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Orientação de pesquisas; realização de pesquisas colaborativas; publicações conjuntas</w:t>
            </w:r>
          </w:p>
        </w:tc>
      </w:tr>
      <w:tr>
        <w:tc>
          <w:tcPr>
            <w:tcW w:type="dxa" w:w="26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ENAP</w:t>
            </w:r>
          </w:p>
        </w:tc>
        <w:tc>
          <w:tcPr>
            <w:tcW w:type="dxa" w:w="2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Acordo de cooperação</w:t>
            </w:r>
          </w:p>
        </w:tc>
        <w:tc>
          <w:tcPr>
            <w:tcW w:type="dxa" w:w="45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Compartilhamento de metodologias de pesquisa aplicada; acesso ao repositório institucional; modelo de pesquisador visitante</w:t>
            </w:r>
          </w:p>
        </w:tc>
      </w:tr>
      <w:tr>
        <w:tc>
          <w:tcPr>
            <w:tcW w:type="dxa" w:w="2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IOJT (International Organization for Judicial Training)</w:t>
            </w:r>
          </w:p>
        </w:tc>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Cooperação internacional</w:t>
            </w:r>
          </w:p>
        </w:tc>
        <w:tc>
          <w:tcPr>
            <w:tcW w:type="dxa" w:w="4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Benchmarking global; acesso a relatórios comparados; participação em redes de pesquisa judicial internacional</w:t>
            </w:r>
          </w:p>
        </w:tc>
      </w:tr>
      <w:tr>
        <w:tc>
          <w:tcPr>
            <w:tcW w:type="dxa" w:w="26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EJTN (European Judicial Training Network)</w:t>
            </w:r>
          </w:p>
        </w:tc>
        <w:tc>
          <w:tcPr>
            <w:tcW w:type="dxa" w:w="2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Cooperação internacional</w:t>
            </w:r>
          </w:p>
        </w:tc>
        <w:tc>
          <w:tcPr>
            <w:tcW w:type="dxa" w:w="45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Modelo de working groups; acesso a pesquisas europeias sobre formação judicial; intercâmbio de pesquisadores</w:t>
            </w:r>
          </w:p>
        </w:tc>
      </w:tr>
      <w:tr>
        <w:tc>
          <w:tcPr>
            <w:tcW w:type="dxa" w:w="2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PNUD Brasil</w:t>
            </w:r>
          </w:p>
        </w:tc>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Projeto de cooperação técnica</w:t>
            </w:r>
          </w:p>
        </w:tc>
        <w:tc>
          <w:tcPr>
            <w:tcW w:type="dxa" w:w="4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Financiamento de estudos específicos; assessoria metodológica; validação internacional de resultados</w:t>
            </w:r>
          </w:p>
        </w:tc>
      </w:tr>
    </w:tbl>
    <w:p>
      <w:pPr>
        <w:spacing w:after="80" w:before="80"/>
      </w:pPr>
      <w:r>
        <w:t xml:space="preserve"/>
      </w:r>
    </w:p>
    <w:p>
      <w:pPr>
        <w:pStyle w:val="Heading1"/>
        <w:spacing w:after="160" w:before="320"/>
      </w:pPr>
      <w:r>
        <w:rPr>
          <w:rFonts w:ascii="Arial" w:cs="Arial" w:eastAsia="Arial" w:hAnsi="Arial"/>
          <w:b/>
          <w:bCs/>
          <w:color w:val="003580"/>
          <w:sz w:val="28"/>
          <w:szCs w:val="28"/>
        </w:rPr>
        <w:t xml:space="preserve">12. Governança e Fluxos Operacionais</w:t>
      </w:r>
    </w:p>
    <w:p>
      <w:pPr>
        <w:pStyle w:val="Heading3"/>
        <w:spacing w:after="80" w:before="200"/>
      </w:pPr>
      <w:r>
        <w:rPr>
          <w:rFonts w:ascii="Arial" w:cs="Arial" w:eastAsia="Arial" w:hAnsi="Arial"/>
          <w:b/>
          <w:bCs/>
          <w:color w:val="1A3A6B"/>
          <w:sz w:val="22"/>
          <w:szCs w:val="22"/>
        </w:rPr>
        <w:t xml:space="preserve">12.1 Ciclo Anual do NuPEC-EJ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Período</w:t>
            </w:r>
          </w:p>
        </w:tc>
        <w:tc>
          <w:tcPr>
            <w:tcW w:type="dxa" w:w="50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Atividade</w:t>
            </w:r>
          </w:p>
        </w:tc>
        <w:tc>
          <w:tcPr>
            <w:tcW w:type="dxa" w:w="256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Responsável</w:t>
            </w:r>
          </w:p>
        </w:tc>
      </w:tr>
      <w:tr>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Janeiro–Fevereiro</w:t>
            </w:r>
          </w:p>
        </w:tc>
        <w:tc>
          <w:tcPr>
            <w:tcW w:type="dxa" w:w="50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Balanço do ciclo anterior; revisão das linhas temáticas; planejamento do ciclo novo</w:t>
            </w:r>
          </w:p>
        </w:tc>
        <w:tc>
          <w:tcPr>
            <w:tcW w:type="dxa" w:w="2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Conselho Científico + CODE</w:t>
            </w:r>
          </w:p>
        </w:tc>
      </w:tr>
      <w:tr>
        <w:tc>
          <w:tcPr>
            <w:tcW w:type="dxa" w:w="1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Março–Abril</w:t>
            </w:r>
          </w:p>
        </w:tc>
        <w:tc>
          <w:tcPr>
            <w:tcW w:type="dxa" w:w="50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Chamada pública para credenciamento de pesquisadores associados</w:t>
            </w:r>
          </w:p>
        </w:tc>
        <w:tc>
          <w:tcPr>
            <w:tcW w:type="dxa" w:w="25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CODE/ENAJU</w:t>
            </w:r>
          </w:p>
        </w:tc>
      </w:tr>
      <w:tr>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Maio</w:t>
            </w:r>
          </w:p>
        </w:tc>
        <w:tc>
          <w:tcPr>
            <w:tcW w:type="dxa" w:w="50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Formação dos GTPs; eleição de líderes; aprovação de planos de trabalho</w:t>
            </w:r>
          </w:p>
        </w:tc>
        <w:tc>
          <w:tcPr>
            <w:tcW w:type="dxa" w:w="2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CODE + GTPs</w:t>
            </w:r>
          </w:p>
        </w:tc>
      </w:tr>
      <w:tr>
        <w:tc>
          <w:tcPr>
            <w:tcW w:type="dxa" w:w="1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Maio–Outubro</w:t>
            </w:r>
          </w:p>
        </w:tc>
        <w:tc>
          <w:tcPr>
            <w:tcW w:type="dxa" w:w="50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Execução dos projetos de pesquisa nos GTPs e pelos pesquisadores individuais</w:t>
            </w:r>
          </w:p>
        </w:tc>
        <w:tc>
          <w:tcPr>
            <w:tcW w:type="dxa" w:w="25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Pesquisadores Associados</w:t>
            </w:r>
          </w:p>
        </w:tc>
      </w:tr>
      <w:tr>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Agosto</w:t>
            </w:r>
          </w:p>
        </w:tc>
        <w:tc>
          <w:tcPr>
            <w:tcW w:type="dxa" w:w="50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Relatório semestral de progresso; ajustes de cronograma</w:t>
            </w:r>
          </w:p>
        </w:tc>
        <w:tc>
          <w:tcPr>
            <w:tcW w:type="dxa" w:w="2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Líderes de GTP + CODE</w:t>
            </w:r>
          </w:p>
        </w:tc>
      </w:tr>
      <w:tr>
        <w:tc>
          <w:tcPr>
            <w:tcW w:type="dxa" w:w="1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Novembro</w:t>
            </w:r>
          </w:p>
        </w:tc>
        <w:tc>
          <w:tcPr>
            <w:tcW w:type="dxa" w:w="50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Encontro Anual de Pesquisa em Educação Judicial (EPEJ)</w:t>
            </w:r>
          </w:p>
        </w:tc>
        <w:tc>
          <w:tcPr>
            <w:tcW w:type="dxa" w:w="25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CODE/ENAJU</w:t>
            </w:r>
          </w:p>
        </w:tc>
      </w:tr>
      <w:tr>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Dezembro</w:t>
            </w:r>
          </w:p>
        </w:tc>
        <w:tc>
          <w:tcPr>
            <w:tcW w:type="dxa" w:w="50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Publicação dos produtos; depósito no Repositório; relatório anual do NuPEC-EJ</w:t>
            </w:r>
          </w:p>
        </w:tc>
        <w:tc>
          <w:tcPr>
            <w:tcW w:type="dxa" w:w="25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CODE/ENAJU</w:t>
            </w:r>
          </w:p>
        </w:tc>
      </w:tr>
    </w:tbl>
    <w:p>
      <w:pPr>
        <w:spacing w:after="80" w:before="80"/>
      </w:pPr>
      <w:r>
        <w:t xml:space="preserve"/>
      </w:r>
    </w:p>
    <w:p>
      <w:pPr>
        <w:pStyle w:val="Heading3"/>
        <w:spacing w:after="80" w:before="200"/>
      </w:pPr>
      <w:r>
        <w:rPr>
          <w:rFonts w:ascii="Arial" w:cs="Arial" w:eastAsia="Arial" w:hAnsi="Arial"/>
          <w:b/>
          <w:bCs/>
          <w:color w:val="1A3A6B"/>
          <w:sz w:val="22"/>
          <w:szCs w:val="22"/>
        </w:rPr>
        <w:t xml:space="preserve">12.2 Fluxo de Aprovação de Pesquisas</w:t>
      </w:r>
    </w:p>
    <w:p>
      <w:pPr>
        <w:spacing w:after="80" w:before="80" w:line="276"/>
        <w:jc w:val="both"/>
      </w:pPr>
      <w:r>
        <w:rPr>
          <w:rFonts w:ascii="Arial" w:cs="Arial" w:eastAsia="Arial" w:hAnsi="Arial"/>
          <w:sz w:val="22"/>
          <w:szCs w:val="22"/>
        </w:rPr>
        <w:t xml:space="preserve">Projetos individuais: elaboração pelo pesquisador → avaliação pela CODE → registro no sistema do NuPEC-EJ → execução → entrega de produto → publicação.</w:t>
      </w:r>
    </w:p>
    <w:p>
      <w:pPr>
        <w:spacing w:after="80" w:before="80"/>
      </w:pPr>
      <w:r>
        <w:t xml:space="preserve"/>
      </w:r>
    </w:p>
    <w:p>
      <w:pPr>
        <w:spacing w:after="80" w:before="80" w:line="276"/>
        <w:jc w:val="both"/>
      </w:pPr>
      <w:r>
        <w:rPr>
          <w:rFonts w:ascii="Arial" w:cs="Arial" w:eastAsia="Arial" w:hAnsi="Arial"/>
          <w:sz w:val="22"/>
          <w:szCs w:val="22"/>
        </w:rPr>
        <w:t xml:space="preserve">Projetos coletivos de GTP: elaboração pelo grupo → aprovação pelo Conselho Científico → execução → apresentação no EPEJ → publicação nos Cadernos NuPEC-EJ.</w:t>
      </w:r>
    </w:p>
    <w:p>
      <w:pPr>
        <w:spacing w:after="80" w:before="80"/>
      </w:pPr>
      <w:r>
        <w:t xml:space="preserve"/>
      </w:r>
    </w:p>
    <w:p>
      <w:pPr>
        <w:spacing w:after="80" w:before="80" w:line="276"/>
        <w:jc w:val="both"/>
      </w:pPr>
      <w:r>
        <w:rPr>
          <w:rFonts w:ascii="Arial" w:cs="Arial" w:eastAsia="Arial" w:hAnsi="Arial"/>
          <w:sz w:val="22"/>
          <w:szCs w:val="22"/>
        </w:rPr>
        <w:t xml:space="preserve">Pesquisas encomendadas pela ENAJU: demanda da CODE/Direção → chamada interna ou externa → seleção de equipe → execução com acompanhamento mensal → entrega de Nota Técnica ou Caderno Pedagógico.</w:t>
      </w:r>
    </w:p>
    <w:p>
      <w:pPr>
        <w:spacing w:after="80" w:before="80"/>
      </w:pPr>
      <w:r>
        <w:t xml:space="preserve"/>
      </w:r>
    </w:p>
    <w:p>
      <w:pPr>
        <w:pStyle w:val="Heading1"/>
        <w:spacing w:after="160" w:before="320"/>
      </w:pPr>
      <w:r>
        <w:rPr>
          <w:rFonts w:ascii="Arial" w:cs="Arial" w:eastAsia="Arial" w:hAnsi="Arial"/>
          <w:b/>
          <w:bCs/>
          <w:color w:val="003580"/>
          <w:sz w:val="28"/>
          <w:szCs w:val="28"/>
        </w:rPr>
        <w:t xml:space="preserve">13. Indicadores de Desempenho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900"/>
        <w:gridCol w:w="900"/>
      </w:tblGrid>
      <w:tr>
        <w:trPr>
          <w:tblHeader/>
        </w:trPr>
        <w:tc>
          <w:tcPr>
            <w:tcW w:type="dxa" w:w="28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Indicador</w:t>
            </w:r>
          </w:p>
        </w:tc>
        <w:tc>
          <w:tcPr>
            <w:tcW w:type="dxa" w:w="28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Fórmula / Descrição</w:t>
            </w:r>
          </w:p>
        </w:tc>
        <w:tc>
          <w:tcPr>
            <w:tcW w:type="dxa" w:w="9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 Ano 1</w:t>
            </w:r>
          </w:p>
        </w:tc>
        <w:tc>
          <w:tcPr>
            <w:tcW w:type="dxa" w:w="9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 Ano 2</w:t>
            </w:r>
          </w:p>
        </w:tc>
        <w:tc>
          <w:tcPr>
            <w:tcW w:type="dxa" w:w="9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 Ano 3</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Pesquisadores associados credenciados</w:t>
            </w:r>
          </w:p>
        </w:tc>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Nº de servidores credenciados ativos</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30</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60</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100</w:t>
            </w:r>
          </w:p>
        </w:tc>
      </w:tr>
      <w:tr>
        <w:tc>
          <w:tcPr>
            <w:tcW w:type="dxa" w:w="2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Tribunais representados na rede</w:t>
            </w:r>
          </w:p>
        </w:tc>
        <w:tc>
          <w:tcPr>
            <w:tcW w:type="dxa" w:w="2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Nº de tribunais com ao menos 1 pesquisador ativo</w:t>
            </w:r>
          </w:p>
        </w:tc>
        <w:tc>
          <w:tcPr>
            <w:tcW w:type="dxa" w:w="9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15</w:t>
            </w:r>
          </w:p>
        </w:tc>
        <w:tc>
          <w:tcPr>
            <w:tcW w:type="dxa" w:w="9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25</w:t>
            </w:r>
          </w:p>
        </w:tc>
        <w:tc>
          <w:tcPr>
            <w:tcW w:type="dxa" w:w="9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40</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GTPs em operação</w:t>
            </w:r>
          </w:p>
        </w:tc>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Nº de grupos com plano aprovado e reuniões regulares</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r>
      <w:tr>
        <w:tc>
          <w:tcPr>
            <w:tcW w:type="dxa" w:w="2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Produtos publicados</w:t>
            </w:r>
          </w:p>
        </w:tc>
        <w:tc>
          <w:tcPr>
            <w:tcW w:type="dxa" w:w="2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Artigos, notas técnicas, cadernos pedagógicos</w:t>
            </w:r>
          </w:p>
        </w:tc>
        <w:tc>
          <w:tcPr>
            <w:tcW w:type="dxa" w:w="9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9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20</w:t>
            </w:r>
          </w:p>
        </w:tc>
        <w:tc>
          <w:tcPr>
            <w:tcW w:type="dxa" w:w="9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30</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Participantes no EPEJ</w:t>
            </w:r>
          </w:p>
        </w:tc>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Servidores, pesquisadores, acadêmicos presentes</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100</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200</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300</w:t>
            </w:r>
          </w:p>
        </w:tc>
      </w:tr>
      <w:tr>
        <w:tc>
          <w:tcPr>
            <w:tcW w:type="dxa" w:w="2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Parcerias formalizadas</w:t>
            </w:r>
          </w:p>
        </w:tc>
        <w:tc>
          <w:tcPr>
            <w:tcW w:type="dxa" w:w="2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Nº de acordos/convênios vigentes</w:t>
            </w:r>
          </w:p>
        </w:tc>
        <w:tc>
          <w:tcPr>
            <w:tcW w:type="dxa" w:w="9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9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9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8</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Repositório: acervo depositado</w:t>
            </w:r>
          </w:p>
        </w:tc>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Nº de itens no repositório digital</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50</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120</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200</w:t>
            </w:r>
          </w:p>
        </w:tc>
      </w:tr>
    </w:tbl>
    <w:p>
      <w:pPr>
        <w:spacing w:after="80" w:before="80"/>
      </w:pPr>
      <w:r>
        <w:t xml:space="preserve"/>
      </w:r>
    </w:p>
    <w:p>
      <w:pPr>
        <w:pStyle w:val="Heading1"/>
        <w:spacing w:after="160" w:before="320"/>
      </w:pPr>
      <w:r>
        <w:rPr>
          <w:rFonts w:ascii="Arial" w:cs="Arial" w:eastAsia="Arial" w:hAnsi="Arial"/>
          <w:b/>
          <w:bCs/>
          <w:color w:val="003580"/>
          <w:sz w:val="28"/>
          <w:szCs w:val="28"/>
        </w:rPr>
        <w:t xml:space="preserve">14. Infraestrutura e Recursos</w:t>
      </w:r>
    </w:p>
    <w:p>
      <w:pPr>
        <w:pStyle w:val="Heading3"/>
        <w:spacing w:after="80" w:before="200"/>
      </w:pPr>
      <w:r>
        <w:rPr>
          <w:rFonts w:ascii="Arial" w:cs="Arial" w:eastAsia="Arial" w:hAnsi="Arial"/>
          <w:b/>
          <w:bCs/>
          <w:color w:val="1A3A6B"/>
          <w:sz w:val="22"/>
          <w:szCs w:val="22"/>
        </w:rPr>
        <w:t xml:space="preserve">14.1 Infraestrutura Digital</w:t>
      </w:r>
    </w:p>
    <w:p>
      <w:pPr>
        <w:pStyle w:val="ListParagraph"/>
        <w:numPr>
          <w:ilvl w:val="0"/>
          <w:numId w:val="2"/>
        </w:numPr>
        <w:spacing w:after="60" w:before="60"/>
      </w:pPr>
      <w:r>
        <w:rPr>
          <w:rFonts w:ascii="Arial" w:cs="Arial" w:eastAsia="Arial" w:hAnsi="Arial"/>
          <w:sz w:val="22"/>
          <w:szCs w:val="22"/>
        </w:rPr>
        <w:t xml:space="preserve">Plataforma colaborativa para os GTPs (repositório de documentos, comunicação e gestão de projetos — integrada ao ambiente digital da ENAJU)</w:t>
      </w:r>
    </w:p>
    <w:p>
      <w:pPr>
        <w:pStyle w:val="ListParagraph"/>
        <w:numPr>
          <w:ilvl w:val="0"/>
          <w:numId w:val="2"/>
        </w:numPr>
        <w:spacing w:after="60" w:before="60"/>
      </w:pPr>
      <w:r>
        <w:rPr>
          <w:rFonts w:ascii="Arial" w:cs="Arial" w:eastAsia="Arial" w:hAnsi="Arial"/>
          <w:sz w:val="22"/>
          <w:szCs w:val="22"/>
        </w:rPr>
        <w:t xml:space="preserve">Repositório digital com metadados padronizados e acesso aberto (solução baseada em DSpace ou equivalente, modelo do Repositório ENAP)</w:t>
      </w:r>
    </w:p>
    <w:p>
      <w:pPr>
        <w:pStyle w:val="ListParagraph"/>
        <w:numPr>
          <w:ilvl w:val="0"/>
          <w:numId w:val="2"/>
        </w:numPr>
        <w:spacing w:after="60" w:before="60"/>
      </w:pPr>
      <w:r>
        <w:rPr>
          <w:rFonts w:ascii="Arial" w:cs="Arial" w:eastAsia="Arial" w:hAnsi="Arial"/>
          <w:sz w:val="22"/>
          <w:szCs w:val="22"/>
        </w:rPr>
        <w:t xml:space="preserve">Sistema de cadastro e gestão de pesquisadores associados, projetos e produtos</w:t>
      </w:r>
    </w:p>
    <w:p>
      <w:pPr>
        <w:pStyle w:val="ListParagraph"/>
        <w:numPr>
          <w:ilvl w:val="0"/>
          <w:numId w:val="2"/>
        </w:numPr>
        <w:spacing w:after="60" w:before="60"/>
      </w:pPr>
      <w:r>
        <w:rPr>
          <w:rFonts w:ascii="Arial" w:cs="Arial" w:eastAsia="Arial" w:hAnsi="Arial"/>
          <w:sz w:val="22"/>
          <w:szCs w:val="22"/>
        </w:rPr>
        <w:t xml:space="preserve">Canal de comunicação interno (lista de e-mails, newsletters periódicas e espaço no portal da ENAJU)</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14.2 Recursos Humanos</w:t>
      </w:r>
    </w:p>
    <w:p>
      <w:pPr>
        <w:spacing w:after="80" w:before="80" w:line="276"/>
        <w:jc w:val="both"/>
      </w:pPr>
      <w:r>
        <w:rPr>
          <w:rFonts w:ascii="Arial" w:cs="Arial" w:eastAsia="Arial" w:hAnsi="Arial"/>
          <w:sz w:val="22"/>
          <w:szCs w:val="22"/>
        </w:rPr>
        <w:t xml:space="preserve">O NuPEC-EJ opera de forma predominantemente distribuída, aproveitando o capital humano existente nos tribunais. No âmbito da CODE/ENAJU, o Núcleo demanda:</w:t>
      </w:r>
    </w:p>
    <w:p>
      <w:pPr>
        <w:pStyle w:val="ListParagraph"/>
        <w:numPr>
          <w:ilvl w:val="0"/>
          <w:numId w:val="2"/>
        </w:numPr>
        <w:spacing w:after="60" w:before="60"/>
      </w:pPr>
      <w:r>
        <w:rPr>
          <w:rFonts w:ascii="Arial" w:cs="Arial" w:eastAsia="Arial" w:hAnsi="Arial"/>
          <w:sz w:val="22"/>
          <w:szCs w:val="22"/>
        </w:rPr>
        <w:t xml:space="preserve">1 Articulador do NuPEC-EJ (servidor da CODE com dedicação parcial — 40% da carga horária);</w:t>
      </w:r>
    </w:p>
    <w:p>
      <w:pPr>
        <w:pStyle w:val="ListParagraph"/>
        <w:numPr>
          <w:ilvl w:val="0"/>
          <w:numId w:val="2"/>
        </w:numPr>
        <w:spacing w:after="60" w:before="60"/>
      </w:pPr>
      <w:r>
        <w:rPr>
          <w:rFonts w:ascii="Arial" w:cs="Arial" w:eastAsia="Arial" w:hAnsi="Arial"/>
          <w:sz w:val="22"/>
          <w:szCs w:val="22"/>
        </w:rPr>
        <w:t xml:space="preserve">Apoio administrativo para gestão de chamadas, contratos e eventos (compartilhado com a estrutura da CODE);</w:t>
      </w:r>
    </w:p>
    <w:p>
      <w:pPr>
        <w:pStyle w:val="ListParagraph"/>
        <w:numPr>
          <w:ilvl w:val="0"/>
          <w:numId w:val="2"/>
        </w:numPr>
        <w:spacing w:after="60" w:before="60"/>
      </w:pPr>
      <w:r>
        <w:rPr>
          <w:rFonts w:ascii="Arial" w:cs="Arial" w:eastAsia="Arial" w:hAnsi="Arial"/>
          <w:sz w:val="22"/>
          <w:szCs w:val="22"/>
        </w:rPr>
        <w:t xml:space="preserve">Possibilidade de pesquisador visitante externo (modelo Resolução ENAP nº 28/2022), para projetos específicos ou suporte metodológico.</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14.3 Recursos Financeiros</w:t>
      </w:r>
    </w:p>
    <w:p>
      <w:pPr>
        <w:spacing w:after="80" w:before="80" w:line="276"/>
        <w:jc w:val="both"/>
      </w:pPr>
      <w:r>
        <w:rPr>
          <w:rFonts w:ascii="Arial" w:cs="Arial" w:eastAsia="Arial" w:hAnsi="Arial"/>
          <w:sz w:val="22"/>
          <w:szCs w:val="22"/>
        </w:rPr>
        <w:t xml:space="preserve">O NuPEC-EJ é concebido para operar com custo marginal mínimo, aproveitando a capilaridade do Sistema e a dedicação voluntária dos pesquisadores-servidores em suas respectivas lotações. Os principais itens de custo a prever no orçamento da ENAJU são:</w:t>
      </w:r>
    </w:p>
    <w:p>
      <w:pPr>
        <w:pStyle w:val="ListParagraph"/>
        <w:numPr>
          <w:ilvl w:val="0"/>
          <w:numId w:val="2"/>
        </w:numPr>
        <w:spacing w:after="60" w:before="60"/>
      </w:pPr>
      <w:r>
        <w:rPr>
          <w:rFonts w:ascii="Arial" w:cs="Arial" w:eastAsia="Arial" w:hAnsi="Arial"/>
          <w:sz w:val="22"/>
          <w:szCs w:val="22"/>
        </w:rPr>
        <w:t xml:space="preserve">Realização do EPEJ (espaço físico ou virtual, transmissão, apoio logístico): R$ 80–150 mil/ano;</w:t>
      </w:r>
    </w:p>
    <w:p>
      <w:pPr>
        <w:pStyle w:val="ListParagraph"/>
        <w:numPr>
          <w:ilvl w:val="0"/>
          <w:numId w:val="2"/>
        </w:numPr>
        <w:spacing w:after="60" w:before="60"/>
      </w:pPr>
      <w:r>
        <w:rPr>
          <w:rFonts w:ascii="Arial" w:cs="Arial" w:eastAsia="Arial" w:hAnsi="Arial"/>
          <w:sz w:val="22"/>
          <w:szCs w:val="22"/>
        </w:rPr>
        <w:t xml:space="preserve">Publicação e diagramação dos Cadernos NuPEC-EJ e outros produtos: R$ 30–60 mil/ano;</w:t>
      </w:r>
    </w:p>
    <w:p>
      <w:pPr>
        <w:pStyle w:val="ListParagraph"/>
        <w:numPr>
          <w:ilvl w:val="0"/>
          <w:numId w:val="2"/>
        </w:numPr>
        <w:spacing w:after="60" w:before="60"/>
      </w:pPr>
      <w:r>
        <w:rPr>
          <w:rFonts w:ascii="Arial" w:cs="Arial" w:eastAsia="Arial" w:hAnsi="Arial"/>
          <w:sz w:val="22"/>
          <w:szCs w:val="22"/>
        </w:rPr>
        <w:t xml:space="preserve">Manutenção da plataforma digital e repositório: R$ 20–40 mil/ano;</w:t>
      </w:r>
    </w:p>
    <w:p>
      <w:pPr>
        <w:pStyle w:val="ListParagraph"/>
        <w:numPr>
          <w:ilvl w:val="0"/>
          <w:numId w:val="2"/>
        </w:numPr>
        <w:spacing w:after="60" w:before="60"/>
      </w:pPr>
      <w:r>
        <w:rPr>
          <w:rFonts w:ascii="Arial" w:cs="Arial" w:eastAsia="Arial" w:hAnsi="Arial"/>
          <w:sz w:val="22"/>
          <w:szCs w:val="22"/>
        </w:rPr>
        <w:t xml:space="preserve">Viagens pontuais de representação (IOJT, EJTN, eventos acadêmicos): R$ 30–50 mil/ano.</w:t>
      </w:r>
    </w:p>
    <w:p>
      <w:pPr>
        <w:spacing w:after="80" w:before="80"/>
      </w:pPr>
      <w:r>
        <w:t xml:space="preserve"/>
      </w:r>
    </w:p>
    <w:p>
      <w:pPr>
        <w:spacing w:after="80" w:before="80" w:line="276"/>
        <w:jc w:val="both"/>
      </w:pPr>
      <w:r>
        <w:rPr>
          <w:rFonts w:ascii="Arial" w:cs="Arial" w:eastAsia="Arial" w:hAnsi="Arial"/>
          <w:sz w:val="22"/>
          <w:szCs w:val="22"/>
        </w:rPr>
        <w:t xml:space="preserve">Adicionalmente, a CODE deverá explorar fontes de financiamento externas, como projetos de cooperação com o PNUD, editais de fomento à pesquisa em administração da justiça e acordos de cooperação técnica com universidades.</w:t>
      </w:r>
    </w:p>
    <w:p>
      <w:pPr>
        <w:spacing w:after="80" w:before="80"/>
      </w:pPr>
      <w:r>
        <w:t xml:space="preserve"/>
      </w:r>
    </w:p>
    <w:p>
      <w:pPr>
        <w:pStyle w:val="Heading1"/>
        <w:spacing w:after="160" w:before="320"/>
      </w:pPr>
      <w:r>
        <w:rPr>
          <w:rFonts w:ascii="Arial" w:cs="Arial" w:eastAsia="Arial" w:hAnsi="Arial"/>
          <w:b/>
          <w:bCs/>
          <w:color w:val="003580"/>
          <w:sz w:val="28"/>
          <w:szCs w:val="28"/>
        </w:rPr>
        <w:t xml:space="preserve">15. Plano de Implementação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800"/>
        <w:gridCol w:w="3460"/>
      </w:tblGrid>
      <w:tr>
        <w:trPr>
          <w:tblHeader/>
        </w:trPr>
        <w:tc>
          <w:tcPr>
            <w:tcW w:type="dxa" w:w="9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12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Período</w:t>
            </w:r>
          </w:p>
        </w:tc>
        <w:tc>
          <w:tcPr>
            <w:tcW w:type="dxa" w:w="38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Ações principais</w:t>
            </w:r>
          </w:p>
        </w:tc>
        <w:tc>
          <w:tcPr>
            <w:tcW w:type="dxa" w:w="346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Entregáveis</w:t>
            </w:r>
          </w:p>
        </w:tc>
      </w:tr>
      <w:tr>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 — Estruturação</w:t>
            </w:r>
          </w:p>
        </w:tc>
        <w:tc>
          <w:tcPr>
            <w:tcW w:type="dxa" w:w="1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Jul–Set 2026</w:t>
            </w:r>
          </w:p>
        </w:tc>
        <w:tc>
          <w:tcPr>
            <w:tcW w:type="dxa" w:w="3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Aprovação da proposta pela Direção da ENAJU; publicação do regulamento do NuPEC-EJ por portaria da CODE; constituição do Conselho Científico; definição das linhas temáticas iniciais; lançamento do repositório digital (versão beta)</w:t>
            </w:r>
          </w:p>
        </w:tc>
        <w:tc>
          <w:tcPr>
            <w:tcW w:type="dxa" w:w="34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Portaria de criação; regulamento; Conselho Científico constituído; repositório no ar</w:t>
            </w:r>
          </w:p>
        </w:tc>
      </w:tr>
      <w:tr>
        <w:tc>
          <w:tcPr>
            <w:tcW w:type="dxa" w:w="9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II — Mobilização</w:t>
            </w:r>
          </w:p>
        </w:tc>
        <w:tc>
          <w:tcPr>
            <w:tcW w:type="dxa" w:w="1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Out–Dez 2026</w:t>
            </w:r>
          </w:p>
        </w:tc>
        <w:tc>
          <w:tcPr>
            <w:tcW w:type="dxa" w:w="3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Primeira chamada pública de credenciamento; comunicação às escolas judiciais e tribunais; webinários de apresentação do NuPEC-EJ; formação dos primeiros GTPs; aprovação dos planos de trabalho</w:t>
            </w:r>
          </w:p>
        </w:tc>
        <w:tc>
          <w:tcPr>
            <w:tcW w:type="dxa" w:w="34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Primeiros pesquisadores credenciados; GTPs formados; planos de trabalho aprovados</w:t>
            </w:r>
          </w:p>
        </w:tc>
      </w:tr>
      <w:tr>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III — Operação inicial</w:t>
            </w:r>
          </w:p>
        </w:tc>
        <w:tc>
          <w:tcPr>
            <w:tcW w:type="dxa" w:w="1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Jan–Nov 2027</w:t>
            </w:r>
          </w:p>
        </w:tc>
        <w:tc>
          <w:tcPr>
            <w:tcW w:type="dxa" w:w="3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Execução dos projetos de pesquisa; publicação dos primeiros Cadernos NuPEC-EJ e Notas Técnicas; realização do I EPEJ; formalização das primeiras parcerias acadêmicas e institucionais</w:t>
            </w:r>
          </w:p>
        </w:tc>
        <w:tc>
          <w:tcPr>
            <w:tcW w:type="dxa" w:w="34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Primeiras publicações; I EPEJ realizado; parcerias formalizadas; relatório anual do NuPEC-EJ</w:t>
            </w:r>
          </w:p>
        </w:tc>
      </w:tr>
      <w:tr>
        <w:tc>
          <w:tcPr>
            <w:tcW w:type="dxa" w:w="9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IV — Consolidação</w:t>
            </w:r>
          </w:p>
        </w:tc>
        <w:tc>
          <w:tcPr>
            <w:tcW w:type="dxa" w:w="1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2028 em diante</w:t>
            </w:r>
          </w:p>
        </w:tc>
        <w:tc>
          <w:tcPr>
            <w:tcW w:type="dxa" w:w="38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Expansão da rede para ao menos 40 tribunais; integração ao EnAJUS; avaliação do modelo e revisão do regulamento; busca de financiamento externo complementar</w:t>
            </w:r>
          </w:p>
        </w:tc>
        <w:tc>
          <w:tcPr>
            <w:tcW w:type="dxa" w:w="34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Rede consolidada; segundo ciclo de pesquisa em operação; modelo avaliado e ajustado</w:t>
            </w:r>
          </w:p>
        </w:tc>
      </w:tr>
    </w:tbl>
    <w:p>
      <w:pPr>
        <w:spacing w:after="80" w:before="80"/>
      </w:pPr>
      <w:r>
        <w:t xml:space="preserve"/>
      </w:r>
    </w:p>
    <w:p>
      <w:pPr>
        <w:pStyle w:val="Heading1"/>
        <w:spacing w:after="160" w:before="320"/>
      </w:pPr>
      <w:r>
        <w:rPr>
          <w:rFonts w:ascii="Arial" w:cs="Arial" w:eastAsia="Arial" w:hAnsi="Arial"/>
          <w:b/>
          <w:bCs/>
          <w:color w:val="003580"/>
          <w:sz w:val="28"/>
          <w:szCs w:val="28"/>
        </w:rPr>
        <w:t xml:space="preserve">16. Considerações Finais</w:t>
      </w:r>
    </w:p>
    <w:p>
      <w:pPr>
        <w:spacing w:after="80" w:before="80" w:line="276"/>
        <w:jc w:val="both"/>
      </w:pPr>
      <w:r>
        <w:rPr>
          <w:rFonts w:ascii="Arial" w:cs="Arial" w:eastAsia="Arial" w:hAnsi="Arial"/>
          <w:sz w:val="22"/>
          <w:szCs w:val="22"/>
        </w:rPr>
        <w:t xml:space="preserve">A criação do NuPEC-EJ representa um passo estruturante na consolidação da ENAJU como escola nacional de referência — não apenas executora de cursos, mas produtora e gestora de conhecimento sobre educação judicial. O Núcleo não inventa um problema novo: ele organiza, potencializa e dá visibilidade institucional a uma produção que já existe dispersa nos 90 tribunais do País, protagonizada por servidores com formação avançada que carecem de um canal coletivo para fazer seu conhecimento circular e ter impacto.</w:t>
      </w:r>
    </w:p>
    <w:p>
      <w:pPr>
        <w:spacing w:after="80" w:before="80"/>
      </w:pPr>
      <w:r>
        <w:t xml:space="preserve"/>
      </w:r>
    </w:p>
    <w:p>
      <w:pPr>
        <w:spacing w:after="80" w:before="80" w:line="276"/>
        <w:jc w:val="both"/>
      </w:pPr>
      <w:r>
        <w:rPr>
          <w:rFonts w:ascii="Arial" w:cs="Arial" w:eastAsia="Arial" w:hAnsi="Arial"/>
          <w:sz w:val="22"/>
          <w:szCs w:val="22"/>
        </w:rPr>
        <w:t xml:space="preserve">O modelo proposto é deliberadamente incremental e de baixo custo de implantação. Não exige novos cargos, estruturas físicas ou dotações orçamentárias expressivas. Exige, fundamentalmente, vontade institucional de reconhecer o valor da pesquisa aplicada como insumo indispensável para a qualidade das políticas de formação — e de criar as condições mínimas para que essa pesquisa aconteça de forma organizada, colaborativa e com produtos que retornem ao Sistema como conhecimento útil.</w:t>
      </w:r>
    </w:p>
    <w:p>
      <w:pPr>
        <w:spacing w:after="80" w:before="80"/>
      </w:pPr>
      <w:r>
        <w:t xml:space="preserve"/>
      </w:r>
    </w:p>
    <w:p>
      <w:pPr>
        <w:spacing w:after="80" w:before="80" w:line="276"/>
        <w:jc w:val="both"/>
      </w:pPr>
      <w:r>
        <w:rPr>
          <w:rFonts w:ascii="Arial" w:cs="Arial" w:eastAsia="Arial" w:hAnsi="Arial"/>
          <w:sz w:val="22"/>
          <w:szCs w:val="22"/>
        </w:rPr>
        <w:t xml:space="preserve">A competência prevista no Art. 3º, inciso VII da Resolução CNJ nº 643/2025 — 'incentivar a pesquisa aplicada, o desenvolvimento de projetos inovadores e a avaliação das ações educacionais' — não é ornamental. É um mandato normativo. O NuPEC-EJ é a proposta da CODE para cumpri-lo com rigor, método e ambição adequados à responsabilidade que a ENAJU assume como órgão central do Sistema Nacional de Formação e Aperfeiçoamento de Servidores do Poder Judiciário.</w:t>
      </w:r>
    </w:p>
    <w:p>
      <w:pPr>
        <w:spacing w:after="80" w:before="80"/>
      </w:pPr>
      <w:r>
        <w:t xml:space="preserve"/>
      </w:r>
    </w:p>
    <w:p>
      <w:pPr>
        <w:spacing w:after="80" w:before="80"/>
      </w:pPr>
      <w:r>
        <w:t xml:space="preserve"/>
      </w:r>
    </w:p>
    <w:p>
      <w:r>
        <w:br w:type="page"/>
      </w:r>
    </w:p>
    <w:p>
      <w:pPr>
        <w:pStyle w:val="Heading1"/>
        <w:spacing w:after="160" w:before="320"/>
      </w:pPr>
      <w:r>
        <w:rPr>
          <w:rFonts w:ascii="Arial" w:cs="Arial" w:eastAsia="Arial" w:hAnsi="Arial"/>
          <w:b/>
          <w:bCs/>
          <w:color w:val="003580"/>
          <w:sz w:val="28"/>
          <w:szCs w:val="28"/>
        </w:rPr>
        <w:t xml:space="preserve">Anexo — Síntese Comparativa de Modelos de Referência</w:t>
      </w:r>
    </w:p>
    <w:p>
      <w:pPr>
        <w:spacing w:after="80" w:before="80" w:line="276"/>
        <w:jc w:val="both"/>
      </w:pPr>
      <w:r>
        <w:rPr>
          <w:rFonts w:ascii="Arial" w:cs="Arial" w:eastAsia="Arial" w:hAnsi="Arial"/>
          <w:sz w:val="22"/>
          <w:szCs w:val="22"/>
        </w:rPr>
        <w:t xml:space="preserve">A proposta do NuPEC-EJ foi informada pela análise de experiências consolidadas de integração entre pesquisa e formação em escolas públicas nacionais e internacionais.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Instituição</w:t>
            </w:r>
          </w:p>
        </w:tc>
        <w:tc>
          <w:tcPr>
            <w:tcW w:type="dxa" w:w="340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Mecanismo de pesquisa</w:t>
            </w:r>
          </w:p>
        </w:tc>
        <w:tc>
          <w:tcPr>
            <w:tcW w:type="dxa" w:w="3760"/>
            <w:tcBorders>
              <w:top w:val="single" w:color="003580" w:sz="6"/>
              <w:left w:val="single" w:color="003580" w:sz="6"/>
              <w:bottom w:val="single" w:color="003580" w:sz="6"/>
              <w:right w:val="single" w:color="003580" w:sz="6"/>
            </w:tcBorders>
            <w:shd w:fill="0035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Lição incorporada ao NuPEC-EJ</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ENAP (Brasil)</w:t>
            </w:r>
          </w:p>
        </w:tc>
        <w:tc>
          <w:tcPr>
            <w:tcW w:type="dxa" w:w="3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Coordenação-Geral de Pesquisa; pesquisador visitante (Res. 28/2022); grupos temáticos; repositório institucional; Encontros anuais de pesquisa</w:t>
            </w:r>
          </w:p>
        </w:tc>
        <w:tc>
          <w:tcPr>
            <w:tcW w:type="dxa" w:w="37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Modelo de pesquisador visitante; ciclo anual; repositório aberto; articulação entre grupos temáticos e evento anual</w:t>
            </w:r>
          </w:p>
        </w:tc>
      </w:tr>
      <w:tr>
        <w:tc>
          <w:tcPr>
            <w:tcW w:type="dxa" w:w="2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Singapore Civil Service College</w:t>
            </w:r>
          </w:p>
        </w:tc>
        <w:tc>
          <w:tcPr>
            <w:tcW w:type="dxa" w:w="34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Institute for Government Innovation: pesquisa e desenvolvimento de práticas inovadoras integrados à formação; publicações da série 'Ethos'</w:t>
            </w:r>
          </w:p>
        </w:tc>
        <w:tc>
          <w:tcPr>
            <w:tcW w:type="dxa" w:w="37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Integração orgânica entre pesquisa e desenho curricular; linha editorial como canal de influência na política pública</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Canada School of Public Service (CSPS)</w:t>
            </w:r>
          </w:p>
        </w:tc>
        <w:tc>
          <w:tcPr>
            <w:tcW w:type="dxa" w:w="3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Rede de parceiros universitários; pesquisa colaborativa sobre aprendizagem no setor público; publicações de acesso aberto</w:t>
            </w:r>
          </w:p>
        </w:tc>
        <w:tc>
          <w:tcPr>
            <w:tcW w:type="dxa" w:w="37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Rede distribuída sem equipe interna numerosa; parceria universitária como alavanca de qualidade metodológica</w:t>
            </w:r>
          </w:p>
        </w:tc>
      </w:tr>
      <w:tr>
        <w:tc>
          <w:tcPr>
            <w:tcW w:type="dxa" w:w="22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European Judicial Training Network (EJTN)</w:t>
            </w:r>
          </w:p>
        </w:tc>
        <w:tc>
          <w:tcPr>
            <w:tcW w:type="dxa" w:w="340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Working groups temáticos com representantes de escolas de múltiplos países; relatórios comparados; bases de dados sobre formação judicial europeia</w:t>
            </w:r>
          </w:p>
        </w:tc>
        <w:tc>
          <w:tcPr>
            <w:tcW w:type="dxa" w:w="3760"/>
            <w:tcBorders>
              <w:top w:val="single" w:color="E2E8F0" w:sz="6"/>
              <w:left w:val="single" w:color="E2E8F0" w:sz="6"/>
              <w:bottom w:val="single" w:color="E2E8F0" w:sz="6"/>
              <w:right w:val="single" w:color="E2E8F0" w:sz="6"/>
            </w:tcBorders>
            <w:shd w:fill="F4F6FA" w:val="clear"/>
            <w:tcMar>
              <w:top w:type="dxa" w:w="80"/>
              <w:left w:type="dxa" w:w="120"/>
              <w:bottom w:type="dxa" w:w="80"/>
              <w:right w:type="dxa" w:w="120"/>
            </w:tcMar>
          </w:tcPr>
          <w:p>
            <w:pPr>
              <w:jc w:val="left"/>
            </w:pPr>
            <w:r>
              <w:rPr>
                <w:rFonts w:ascii="Arial" w:cs="Arial" w:eastAsia="Arial" w:hAnsi="Arial"/>
                <w:sz w:val="20"/>
                <w:szCs w:val="20"/>
              </w:rPr>
              <w:t xml:space="preserve">Estrutura de grupos temáticos como unidade operacional; foco em benchmarking comparado; publicações coletivas</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Federal Judicial Center — FJC (EUA)</w:t>
            </w:r>
          </w:p>
        </w:tc>
        <w:tc>
          <w:tcPr>
            <w:tcW w:type="dxa" w:w="3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Divisão de pesquisa dedicada; estudos sobre impacto de programas formativos; avaliação sistemática de cursos; publicações técnicas</w:t>
            </w:r>
          </w:p>
        </w:tc>
        <w:tc>
          <w:tcPr>
            <w:tcW w:type="dxa" w:w="376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Cultura de avaliação de impacto; Notas Técnicas como produto de conhecimento executivo; estudo longitudinal de competências</w:t>
            </w:r>
          </w:p>
        </w:tc>
      </w:tr>
    </w:tbl>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358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358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A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2026-06-06T19:52:25.498Z</dcterms:created>
  <dcterms:modified xsi:type="dcterms:W3CDTF">2026-06-06T19:52:25.498Z</dcterms:modified>
</cp:coreProperties>
</file>

<file path=docProps/custom.xml><?xml version="1.0" encoding="utf-8"?>
<Properties xmlns="http://schemas.openxmlformats.org/officeDocument/2006/custom-properties" xmlns:vt="http://schemas.openxmlformats.org/officeDocument/2006/docPropsVTypes"/>
</file>