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rmo-de-abertura-de-projeto-tap"/>
    <w:p>
      <w:pPr>
        <w:pStyle w:val="Heading1"/>
      </w:pPr>
      <w:r>
        <w:t xml:space="preserve">TERMO DE ABERTURA DE PROJETO (TAP)</w:t>
      </w:r>
    </w:p>
    <w:p>
      <w:pPr>
        <w:pStyle w:val="BlockText"/>
      </w:pPr>
      <w:r>
        <w:t xml:space="preserve">Em caso de dúvida sobre o preenchimento e processo de formalização de projetos institucionais, entre em contato com o Escritório Corporativo de Projetos Institucionais — ECP — Ramal 4854.</w:t>
      </w:r>
    </w:p>
    <w:p>
      <w:pPr>
        <w:pStyle w:val="BlockText"/>
      </w:pPr>
      <w:r>
        <w:rPr>
          <w:b/>
          <w:bCs/>
        </w:rPr>
        <w:t xml:space="preserve">Nota de versão:</w:t>
      </w:r>
      <w:r>
        <w:t xml:space="preserve"> </w:t>
      </w:r>
      <w:r>
        <w:t xml:space="preserve">Esta é a versão reestruturada do TAP da ENAJU. Ela substitui o documento "Estruturação da Escola Nacional e aperfeiçoamento de servidores do Poder Judiciário" e incorpora os ajustes recomendados na análise crítica do TAP, o fato de a ENAJU já estar instituída na estrutura orgânica do CNJ (Portaria CNJ nº 221/2026, DOU de 1º de junho de 2026) e a diretriz de reunir, como entregas (KRs), os projetos que consolidam a ENAJU como referência nacional de capacitação de servidores e hub central das escolas judiciais.</w:t>
      </w:r>
    </w:p>
    <w:p>
      <w:r>
        <w:pict>
          <v:rect style="width:0;height:1.5pt" o:hralign="center" o:hrstd="t" o:hr="t"/>
        </w:pict>
      </w:r>
    </w:p>
    <w:bookmarkStart w:id="9" w:name="identificação-do-projeto"/>
    <w:p>
      <w:pPr>
        <w:pStyle w:val="Heading2"/>
      </w:pPr>
      <w:r>
        <w:t xml:space="preserve">IDENTIFICAÇÃO DO PROJETO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 do projeto</w:t>
            </w:r>
          </w:p>
        </w:tc>
        <w:tc>
          <w:tcPr/>
          <w:p>
            <w:pPr>
              <w:pStyle w:val="Compact"/>
            </w:pPr>
            <w:r>
              <w:t xml:space="preserve">Projeto de Implantação e Consolidação da ENAJU: governança, infraestrutura de aprendizagem e conhecimento aplicado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elaboração do TAP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/2026</w:t>
            </w:r>
            <w:r>
              <w:t xml:space="preserve"> </w:t>
            </w:r>
            <w:r>
              <w:rPr>
                <w:i/>
                <w:iCs/>
              </w:rPr>
              <w:t xml:space="preserve">(preencher na formalização)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Patrocinador do projeto</w:t>
            </w:r>
          </w:p>
        </w:tc>
        <w:tc>
          <w:tcPr/>
          <w:p>
            <w:pPr>
              <w:pStyle w:val="Compact"/>
            </w:pPr>
            <w:r>
              <w:t xml:space="preserve">Dr. Paulo — Secretário da Secretaria de Estratégia e Projetos (SEP)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 do Projeto / Gestor Negocial</w:t>
            </w:r>
          </w:p>
        </w:tc>
        <w:tc>
          <w:tcPr/>
          <w:p>
            <w:pPr>
              <w:pStyle w:val="Compact"/>
            </w:pPr>
            <w:r>
              <w:t xml:space="preserve">Dr. Daniel Avelar — Juiz Auxiliar da SEP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Gerente do Projeto</w:t>
            </w:r>
          </w:p>
        </w:tc>
        <w:tc>
          <w:tcPr/>
          <w:p>
            <w:pPr>
              <w:pStyle w:val="Compact"/>
            </w:pPr>
            <w:r>
              <w:t xml:space="preserve">Fábio Lopes Fernandes Ramos — Diretor da ENAJU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Equipe do Projeto</w:t>
            </w:r>
          </w:p>
        </w:tc>
        <w:tc>
          <w:tcPr/>
          <w:p>
            <w:pPr>
              <w:pStyle w:val="Compact"/>
            </w:pPr>
            <w:r>
              <w:t xml:space="preserve">Equipe técnica da ENAJU, com apoio do ECP, do DTI, da SCS e do DPJ</w:t>
            </w:r>
            <w:r>
              <w:t xml:space="preserve"> </w:t>
            </w:r>
            <w:r>
              <w:rPr>
                <w:i/>
                <w:iCs/>
              </w:rPr>
              <w:t xml:space="preserve">(indicar nominalmente os participantes na formalização)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plano-de-negócio"/>
    <w:p>
      <w:pPr>
        <w:pStyle w:val="Heading2"/>
      </w:pPr>
      <w:r>
        <w:t xml:space="preserve">PLANO DE NEGÓCIO</w:t>
      </w:r>
    </w:p>
    <w:bookmarkStart w:id="10" w:name="objeto-do-projeto"/>
    <w:p>
      <w:pPr>
        <w:pStyle w:val="Heading3"/>
      </w:pPr>
      <w:r>
        <w:t xml:space="preserve">OBJETO DO PROJETO</w:t>
      </w:r>
    </w:p>
    <w:p>
      <w:pPr>
        <w:pStyle w:val="FirstParagraph"/>
      </w:pPr>
      <w:r>
        <w:t xml:space="preserve">Implantar operacionalmente a Escola Nacional do Judiciário (ENAJU) e consolidá-la como referência nacional de capacitação de servidores e hub central das escolas judiciais, mediante a entrega de três blocos de resultados: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instrumentos normativos de funcionamento, operacionalização da Rede Nacional, plano pedagógico nacional e estrutura física de produção;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infraestrutura integrada de conteúdos e aprendizagem (hub nacional, banco de conteúdos, modernização do Moodle, painel de BI e série audiovisual institucional); e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produção de conhecimento aplicado e inteligência educacional baseada em evidências (cadernos técnico-científicos, relatórios pós-evento e rede de pesquisadores com parcerias acadêmicas e internacionais).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i/>
          <w:iCs/>
        </w:rPr>
        <w:t xml:space="preserve">Key Result</w:t>
      </w:r>
      <w:r>
        <w:t xml:space="preserve"> </w:t>
      </w:r>
      <w:r>
        <w:t xml:space="preserve">(KR) deste TAP corresponde a um</w:t>
      </w:r>
      <w:r>
        <w:t xml:space="preserve"> </w:t>
      </w:r>
      <w:r>
        <w:rPr>
          <w:b/>
          <w:bCs/>
        </w:rPr>
        <w:t xml:space="preserve">projeto entregável</w:t>
      </w:r>
      <w:r>
        <w:t xml:space="preserve"> </w:t>
      </w:r>
      <w:r>
        <w:t xml:space="preserve">que pavimenta as condições para que a ENAJU cumpra o mandato definido em seus normativos.</w:t>
      </w:r>
    </w:p>
    <w:p>
      <w:pPr>
        <w:pStyle w:val="BodyText"/>
      </w:pPr>
      <w:r>
        <w:rPr>
          <w:b/>
          <w:bCs/>
        </w:rPr>
        <w:t xml:space="preserve">Meta do projeto:</w:t>
      </w:r>
      <w:r>
        <w:t xml:space="preserve"> </w:t>
      </w:r>
      <w:r>
        <w:t xml:space="preserve">entregar todos os KRs em funcionamento, com produtos concretos e análise de resultados,</w:t>
      </w:r>
      <w:r>
        <w:t xml:space="preserve"> </w:t>
      </w:r>
      <w:r>
        <w:rPr>
          <w:b/>
          <w:bCs/>
        </w:rPr>
        <w:t xml:space="preserve">até junho de 2027</w:t>
      </w:r>
      <w:r>
        <w:t xml:space="preserve">.</w:t>
      </w:r>
    </w:p>
    <w:bookmarkEnd w:id="10"/>
    <w:bookmarkStart w:id="11" w:name="justificativa-do-projeto"/>
    <w:p>
      <w:pPr>
        <w:pStyle w:val="Heading3"/>
      </w:pPr>
      <w:r>
        <w:t xml:space="preserve">JUSTIFICATIVA DO PROJETO</w:t>
      </w:r>
    </w:p>
    <w:p>
      <w:pPr>
        <w:pStyle w:val="FirstParagraph"/>
      </w:pPr>
      <w:r>
        <w:t xml:space="preserve">A transformação do antigo Centro de Aperfeiçoamento de Servidores do Poder Judiciário (Ceajud) em Escola Nacional do Judiciário (ENAJU), instituída pela</w:t>
      </w:r>
      <w:r>
        <w:t xml:space="preserve"> </w:t>
      </w:r>
      <w:r>
        <w:rPr>
          <w:b/>
          <w:bCs/>
        </w:rPr>
        <w:t xml:space="preserve">Resolução CNJ nº 643/2025</w:t>
      </w:r>
      <w:r>
        <w:t xml:space="preserve">, criou nova unidade estratégica com atribuições ampliadas e papel central no Sistema Nacional de Formação e Aperfeiçoamento de Servidores do Poder Judiciário.</w:t>
      </w:r>
    </w:p>
    <w:p>
      <w:pPr>
        <w:pStyle w:val="BodyText"/>
      </w:pPr>
      <w:r>
        <w:t xml:space="preserve">Diferentemente do estágio em que o primeiro TAP foi concebido,</w:t>
      </w:r>
      <w:r>
        <w:t xml:space="preserve"> </w:t>
      </w:r>
      <w:r>
        <w:rPr>
          <w:b/>
          <w:bCs/>
        </w:rPr>
        <w:t xml:space="preserve">a estrutura organizacional básica da ENAJU já está formalizada</w:t>
      </w:r>
      <w:r>
        <w:t xml:space="preserve">: a</w:t>
      </w:r>
      <w:r>
        <w:t xml:space="preserve"> </w:t>
      </w:r>
      <w:r>
        <w:rPr>
          <w:b/>
          <w:bCs/>
        </w:rPr>
        <w:t xml:space="preserve">Portaria CNJ nº 221/2026</w:t>
      </w:r>
      <w:r>
        <w:t xml:space="preserve"> </w:t>
      </w:r>
      <w:r>
        <w:t xml:space="preserve">(Estrutura Orgânica do CNJ, publicada no DOU de 1º de junho de 2026) posiciona a Escola no âmbito da Secretaria de Estratégia e Projetos (SEP) e formaliza sua estrutura interna.</w:t>
      </w:r>
    </w:p>
    <w:p>
      <w:pPr>
        <w:pStyle w:val="BodyText"/>
      </w:pPr>
      <w:r>
        <w:t xml:space="preserve">Com a criação e o organograma já publicados, o desafio deixou de ser</w:t>
      </w:r>
      <w:r>
        <w:t xml:space="preserve"> </w:t>
      </w:r>
      <w:r>
        <w:rPr>
          <w:b/>
          <w:bCs/>
        </w:rPr>
        <w:t xml:space="preserve">definir a estrutura</w:t>
      </w:r>
      <w:r>
        <w:t xml:space="preserve"> </w:t>
      </w:r>
      <w:r>
        <w:t xml:space="preserve">e passou a ser</w:t>
      </w:r>
      <w:r>
        <w:t xml:space="preserve"> </w:t>
      </w:r>
      <w:r>
        <w:rPr>
          <w:b/>
          <w:bCs/>
        </w:rPr>
        <w:t xml:space="preserve">implantá-la e consolidá-la operacionalmente</w:t>
      </w:r>
      <w:r>
        <w:t xml:space="preserve">. Persistem, contudo, lacunas que impedem a plena execução da missão: faltam</w:t>
      </w:r>
      <w:r>
        <w:t xml:space="preserve"> </w:t>
      </w:r>
      <w:r>
        <w:rPr>
          <w:b/>
          <w:bCs/>
        </w:rPr>
        <w:t xml:space="preserve">instrumentos normativos internos e externos</w:t>
      </w:r>
      <w:r>
        <w:t xml:space="preserve"> </w:t>
      </w:r>
      <w:r>
        <w:t xml:space="preserve">que detalhem fluxos, competências e a articulação da Escola com os tribunais; a</w:t>
      </w:r>
      <w:r>
        <w:t xml:space="preserve"> </w:t>
      </w:r>
      <w:r>
        <w:rPr>
          <w:b/>
          <w:bCs/>
        </w:rPr>
        <w:t xml:space="preserve">Rede Nacional de Formação</w:t>
      </w:r>
      <w:r>
        <w:t xml:space="preserve"> </w:t>
      </w:r>
      <w:r>
        <w:t xml:space="preserve">ainda não está operacionalizada, embora prevista; não há</w:t>
      </w:r>
      <w:r>
        <w:t xml:space="preserve"> </w:t>
      </w:r>
      <w:r>
        <w:rPr>
          <w:b/>
          <w:bCs/>
        </w:rPr>
        <w:t xml:space="preserve">Plano Nacional Pedagógico de Capacitação</w:t>
      </w:r>
      <w:r>
        <w:t xml:space="preserve"> </w:t>
      </w:r>
      <w:r>
        <w:t xml:space="preserve">consolidado; e a</w:t>
      </w:r>
      <w:r>
        <w:t xml:space="preserve"> </w:t>
      </w:r>
      <w:r>
        <w:rPr>
          <w:b/>
          <w:bCs/>
        </w:rPr>
        <w:t xml:space="preserve">infraestrutura de conteúdos, aprendizagem e produção de conhecimento</w:t>
      </w:r>
      <w:r>
        <w:t xml:space="preserve"> </w:t>
      </w:r>
      <w:r>
        <w:t xml:space="preserve">ainda precisa ser construída para dar densidade à atuação nacional da Escola.</w:t>
      </w:r>
    </w:p>
    <w:p>
      <w:pPr>
        <w:pStyle w:val="BodyText"/>
      </w:pPr>
      <w:r>
        <w:t xml:space="preserve">A Resolução estabelece competências de alta complexidade — formular e revisar a Política Nacional de Formação, manter plataforma unificada de gestão da educação corporativa, articular a rede de escolas judiciais,</w:t>
      </w:r>
      <w:r>
        <w:t xml:space="preserve"> </w:t>
      </w:r>
      <w:r>
        <w:rPr>
          <w:b/>
          <w:bCs/>
        </w:rPr>
        <w:t xml:space="preserve">incentivar a pesquisa aplicada e a avaliação das ações educacionais</w:t>
      </w:r>
      <w:r>
        <w:t xml:space="preserve"> </w:t>
      </w:r>
      <w:r>
        <w:t xml:space="preserve">(art. 3º, inciso VII), produzir cursos e trilhas em múltiplas modalidades e apoiar políticas judiciárias. Sem fluxos, plataformas, conteúdos, instrumentos de inteligência e capacidade de pesquisa, tais competências permanecem no plano normativo.</w:t>
      </w:r>
    </w:p>
    <w:p>
      <w:pPr>
        <w:pStyle w:val="BodyText"/>
      </w:pPr>
      <w:r>
        <w:t xml:space="preserve">Este projeto responde a esse conjunto de lacunas ao organizar, como entregas verificáveis, os projetos que tornam a ENAJU efetivamente operante e que a firmam como</w:t>
      </w:r>
      <w:r>
        <w:t xml:space="preserve"> </w:t>
      </w:r>
      <w:r>
        <w:rPr>
          <w:b/>
          <w:bCs/>
        </w:rPr>
        <w:t xml:space="preserve">referência nacional em desenvolvimento, pesquisa e inovação educacional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hub central das escolas</w:t>
      </w:r>
      <w:r>
        <w:t xml:space="preserve">, gerando valor público por meio do desenvolvimento de competências dos servidores, da modernização da educação corporativa e da promoção de uma cultura nacional de aprendizagem contínua e de decisão baseada em evidências.</w:t>
      </w:r>
    </w:p>
    <w:bookmarkEnd w:id="11"/>
    <w:bookmarkStart w:id="12" w:name="alinhamento-estratégico"/>
    <w:p>
      <w:pPr>
        <w:pStyle w:val="Heading3"/>
      </w:pPr>
      <w:r>
        <w:t xml:space="preserve">ALINHAMENTO ESTRATÉGICO</w:t>
      </w:r>
    </w:p>
    <w:p>
      <w:pPr>
        <w:pStyle w:val="FirstParagraph"/>
      </w:pPr>
      <w:r>
        <w:rPr>
          <w:b/>
          <w:bCs/>
        </w:rPr>
        <w:t xml:space="preserve">Planejamento Estratégico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estratégico I</w:t>
      </w:r>
      <w:r>
        <w:t xml:space="preserve"> </w:t>
      </w:r>
      <w:r>
        <w:t xml:space="preserve">— desenvolver políticas judiciárias e instrumentos para o aperfeiçoamento das atividades dos órgãos do Poder Judiciário, seus serviços auxiliares, notariais e de registro, e demais órgãos correicionais.</w:t>
      </w:r>
      <w:r>
        <w:t xml:space="preserve"> </w:t>
      </w:r>
      <w:r>
        <w:rPr>
          <w:i/>
          <w:iCs/>
        </w:rPr>
        <w:t xml:space="preserve">Justificativa:</w:t>
      </w:r>
      <w:r>
        <w:t xml:space="preserve"> </w:t>
      </w:r>
      <w:r>
        <w:t xml:space="preserve">a consolidação operacional da ENAJU fortalece a capacidade institucional do CNJ de implementar políticas nacionais de formação que sustentam políticas judiciárias.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estratégico IV</w:t>
      </w:r>
      <w:r>
        <w:t xml:space="preserve"> </w:t>
      </w:r>
      <w:r>
        <w:t xml:space="preserve">— promover a disseminação das informações de forma padronizada e sistêmica.</w:t>
      </w:r>
      <w:r>
        <w:t xml:space="preserve"> </w:t>
      </w:r>
      <w:r>
        <w:rPr>
          <w:i/>
          <w:iCs/>
        </w:rPr>
        <w:t xml:space="preserve">Justificativa:</w:t>
      </w:r>
      <w:r>
        <w:t xml:space="preserve"> </w:t>
      </w:r>
      <w:r>
        <w:t xml:space="preserve">a ENAJU padronizará a oferta formativa e os instrumentos de gestão do conhecimento, com disseminação sistêmica para todo o Judiciário.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estratégico XVI</w:t>
      </w:r>
      <w:r>
        <w:t xml:space="preserve"> </w:t>
      </w:r>
      <w:r>
        <w:t xml:space="preserve">— aperfeiçoar políticas e práticas de gestão de pessoas.</w:t>
      </w:r>
      <w:r>
        <w:t xml:space="preserve"> </w:t>
      </w:r>
      <w:r>
        <w:rPr>
          <w:i/>
          <w:iCs/>
        </w:rPr>
        <w:t xml:space="preserve">Justificativa:</w:t>
      </w:r>
      <w:r>
        <w:t xml:space="preserve"> </w:t>
      </w:r>
      <w:r>
        <w:t xml:space="preserve">a ENAJU é responsável pela Política Nacional de Formação e Aperfeiçoamento de Servidores.</w:t>
      </w:r>
    </w:p>
    <w:p>
      <w:pPr>
        <w:pStyle w:val="FirstParagraph"/>
      </w:pPr>
      <w:r>
        <w:rPr>
          <w:b/>
          <w:bCs/>
        </w:rPr>
        <w:t xml:space="preserve">Estratégia Nacional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Macrodesafio:</w:t>
      </w:r>
      <w:r>
        <w:t xml:space="preserve"> </w:t>
      </w:r>
      <w:r>
        <w:t xml:space="preserve">Aperfeiçoamento da Gestão de Pessoas.</w:t>
      </w:r>
    </w:p>
    <w:p>
      <w:pPr>
        <w:pStyle w:val="FirstParagraph"/>
      </w:pPr>
      <w:r>
        <w:rPr>
          <w:b/>
          <w:bCs/>
        </w:rPr>
        <w:t xml:space="preserve">Política Judiciária / Normativos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Resolução CNJ nº 643/2025</w:t>
      </w:r>
      <w:r>
        <w:t xml:space="preserve"> </w:t>
      </w:r>
      <w:r>
        <w:t xml:space="preserve">— institui a ENAJU e o Sistema Nacional de Formação e Aperfeiçoamento de Servidores (fundamento de todo o projeto); o</w:t>
      </w:r>
      <w:r>
        <w:t xml:space="preserve"> </w:t>
      </w:r>
      <w:r>
        <w:rPr>
          <w:b/>
          <w:bCs/>
        </w:rPr>
        <w:t xml:space="preserve">art. 3º, inciso VII</w:t>
      </w:r>
      <w:r>
        <w:t xml:space="preserve">, fundamenta o Benefício 3 (pesquisa aplicada e avaliação das ações educacionais).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Portaria CNJ nº 221/2026</w:t>
      </w:r>
      <w:r>
        <w:t xml:space="preserve"> </w:t>
      </w:r>
      <w:r>
        <w:t xml:space="preserve">— Estrutura Orgânica do CNJ; formaliza a ENAJU no âmbito da SEP (base da implantação operacional).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Resolução CNJ nº 640/2025</w:t>
      </w:r>
      <w:r>
        <w:t xml:space="preserve"> </w:t>
      </w:r>
      <w:r>
        <w:t xml:space="preserve">— Política de Comunicação do Poder Judiciário (fundamenta o KR 2.4 — série "Conversa com o CNJ!").</w:t>
      </w:r>
    </w:p>
    <w:p>
      <w:pPr>
        <w:pStyle w:val="FirstParagraph"/>
      </w:pPr>
      <w:r>
        <w:rPr>
          <w:b/>
          <w:bCs/>
        </w:rPr>
        <w:t xml:space="preserve">Eixo de Gestão 2025-2027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Eixo 2: Estrutura, Inovação e Transparência.</w:t>
      </w:r>
      <w:r>
        <w:t xml:space="preserve"> </w:t>
      </w:r>
      <w:r>
        <w:rPr>
          <w:i/>
          <w:iCs/>
        </w:rPr>
        <w:t xml:space="preserve">Justificativa:</w:t>
      </w:r>
      <w:r>
        <w:t xml:space="preserve"> </w:t>
      </w:r>
      <w:r>
        <w:t xml:space="preserve">o projeto trata da implantação institucional e operacional da ENAJU — governança, organização interna, processos, normativos, infraestrutura de aprendizagem e inovação — temas diretamente alinhados ao fortalecimento estrutural e à modernização institucional do CNJ.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9a50913410a9bbcfe3e7abe065e536ad42b679e"/>
    <w:p>
      <w:pPr>
        <w:pStyle w:val="Heading2"/>
      </w:pPr>
      <w:r>
        <w:t xml:space="preserve">BENEFÍCIOS / VALOR PÚBLICO DO PROJETO (BKRS)</w:t>
      </w:r>
    </w:p>
    <w:p>
      <w:pPr>
        <w:pStyle w:val="FirstParagraph"/>
      </w:pPr>
      <w:r>
        <w:t xml:space="preserve">O projeto organiza-se em</w:t>
      </w:r>
      <w:r>
        <w:t xml:space="preserve"> </w:t>
      </w:r>
      <w:r>
        <w:rPr>
          <w:b/>
          <w:bCs/>
        </w:rPr>
        <w:t xml:space="preserve">três benefícios</w:t>
      </w:r>
      <w:r>
        <w:t xml:space="preserve">, cada um composto por</w:t>
      </w:r>
      <w:r>
        <w:t xml:space="preserve"> </w:t>
      </w:r>
      <w:r>
        <w:rPr>
          <w:i/>
          <w:iCs/>
        </w:rPr>
        <w:t xml:space="preserve">Key Results</w:t>
      </w:r>
      <w:r>
        <w:t xml:space="preserve"> </w:t>
      </w:r>
      <w:r>
        <w:t xml:space="preserve">que correspondem a projetos entregáveis.</w:t>
      </w:r>
    </w:p>
    <w:bookmarkStart w:id="14" w:name="X07c44bf2f6c5d3ca07529ed79bf67bf78cc3404"/>
    <w:p>
      <w:pPr>
        <w:pStyle w:val="Heading3"/>
      </w:pPr>
      <w:r>
        <w:t xml:space="preserve">BENEFÍCIO 1 — Governança estruturada e capacidade institucional fortalecida</w:t>
      </w:r>
    </w:p>
    <w:p>
      <w:pPr>
        <w:pStyle w:val="FirstParagraph"/>
      </w:pPr>
      <w:r>
        <w:rPr>
          <w:b/>
          <w:bCs/>
        </w:rPr>
        <w:t xml:space="preserve">Valor público:</w:t>
      </w:r>
      <w:r>
        <w:t xml:space="preserve"> </w:t>
      </w:r>
      <w:r>
        <w:t xml:space="preserve">segurança institucional, clareza de papéis e fortalecimento da capacidade operacional da ENAJU, assegurando coerência, integração e eficiência na Política Nacional de Formação e Aperfeiçoamento dos Servidores e dando à Escola as condições normativas, de rede, pedagógicas e físicas para operar em escala nacional.</w:t>
      </w:r>
    </w:p>
    <w:p>
      <w:pPr>
        <w:pStyle w:val="BodyText"/>
      </w:pPr>
      <w:r>
        <w:rPr>
          <w:b/>
          <w:bCs/>
        </w:rPr>
        <w:t xml:space="preserve">Key Results (entregas-chave):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 1.1 — Instrumentos normativos de funcionamento interno e externo.</w:t>
      </w:r>
      <w:r>
        <w:t xml:space="preserve"> </w:t>
      </w:r>
      <w:r>
        <w:t xml:space="preserve">Regimento Interno da ENAJU, portarias e fluxos que definam competências, processos decisórios e a articulação interna de seus setores e externa (tribunais e escolas judiciais), complementando a estrutura já publicada na Portaria CNJ nº 221/2026.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 1.2 — Operacionalização da Rede Nacional de Formação e Aperfeiçoamento.</w:t>
      </w:r>
      <w:r>
        <w:t xml:space="preserve"> </w:t>
      </w:r>
      <w:r>
        <w:t xml:space="preserve">Modelo de governança e funcionamento da Rede de Escolas Judiciais (instâncias, adesão, fluxos de cooperação), incorporando a realização periódica do</w:t>
      </w:r>
      <w:r>
        <w:t xml:space="preserve"> </w:t>
      </w:r>
      <w:r>
        <w:rPr>
          <w:b/>
          <w:bCs/>
        </w:rPr>
        <w:t xml:space="preserve">Encontro Nacional de Escolas Judiciais</w:t>
      </w:r>
      <w:r>
        <w:t xml:space="preserve"> </w:t>
      </w:r>
      <w:r>
        <w:t xml:space="preserve">como espaço de articulação da Rede e, simultaneamente, de fomento à adesão e ao povoamento do HUB ENAJU (KR 2.1).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 1.3 — Plano Nacional Pedagógico de Capacitação.</w:t>
      </w:r>
      <w:r>
        <w:t xml:space="preserve"> </w:t>
      </w:r>
      <w:r>
        <w:t xml:space="preserve">Documento que traduz a Política Nacional de Formação em diretrizes pedagógicas, matriz de competências, trilhas prioritárias e critérios de qualidade para a Rede.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 1.4 — Estúdio próprio de gravação no CNJ.</w:t>
      </w:r>
      <w:r>
        <w:t xml:space="preserve"> </w:t>
      </w:r>
      <w:r>
        <w:t xml:space="preserve">Estrutura física institucional para produção de conteúdos educacionais e audiovisuais da ENAJU (base de produção dos KRs 2.4 e 3.x).</w:t>
      </w:r>
    </w:p>
    <w:p>
      <w:pPr>
        <w:pStyle w:val="BlockText"/>
      </w:pPr>
      <w:r>
        <w:rPr>
          <w:i/>
          <w:iCs/>
        </w:rPr>
        <w:t xml:space="preserve">Como impulsiona o benefício:</w:t>
      </w:r>
      <w:r>
        <w:t xml:space="preserve"> </w:t>
      </w:r>
      <w:r>
        <w:t xml:space="preserve">os KRs 1.1–1.4 entregam, respectivamente, as</w:t>
      </w:r>
      <w:r>
        <w:t xml:space="preserve"> </w:t>
      </w:r>
      <w:r>
        <w:rPr>
          <w:b/>
          <w:bCs/>
        </w:rPr>
        <w:t xml:space="preserve">regras de operação</w:t>
      </w:r>
      <w:r>
        <w:t xml:space="preserve">, a</w:t>
      </w:r>
      <w:r>
        <w:t xml:space="preserve"> </w:t>
      </w:r>
      <w:r>
        <w:rPr>
          <w:b/>
          <w:bCs/>
        </w:rPr>
        <w:t xml:space="preserve">rede operante</w:t>
      </w:r>
      <w:r>
        <w:t xml:space="preserve">, a</w:t>
      </w:r>
      <w:r>
        <w:t xml:space="preserve"> </w:t>
      </w:r>
      <w:r>
        <w:rPr>
          <w:b/>
          <w:bCs/>
        </w:rPr>
        <w:t xml:space="preserve">diretriz pedagógica nacional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base física de produção</w:t>
      </w:r>
      <w:r>
        <w:t xml:space="preserve"> </w:t>
      </w:r>
      <w:r>
        <w:t xml:space="preserve">— os quatro pilares da capacidade institucional da Escola.</w:t>
      </w:r>
    </w:p>
    <w:p>
      <w:pPr>
        <w:pStyle w:val="FirstParagraph"/>
      </w:pPr>
      <w:r>
        <w:rPr>
          <w:b/>
          <w:bCs/>
        </w:rPr>
        <w:t xml:space="preserve">Indicador composto — % de implantação da governança e estrutura operacional da ENAJU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1.1</w:t>
            </w:r>
          </w:p>
        </w:tc>
        <w:tc>
          <w:tcPr/>
          <w:p>
            <w:pPr>
              <w:pStyle w:val="Compact"/>
            </w:pPr>
            <w:r>
              <w:t xml:space="preserve">Instrumentos normativos internos/externos publicados e vigentes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1.2</w:t>
            </w:r>
          </w:p>
        </w:tc>
        <w:tc>
          <w:tcPr/>
          <w:p>
            <w:pPr>
              <w:pStyle w:val="Compact"/>
            </w:pPr>
            <w:r>
              <w:t xml:space="preserve">Modelo de operacionalização da Rede aprovado e em adesão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1.3</w:t>
            </w:r>
          </w:p>
        </w:tc>
        <w:tc>
          <w:tcPr/>
          <w:p>
            <w:pPr>
              <w:pStyle w:val="Compact"/>
            </w:pPr>
            <w:r>
              <w:t xml:space="preserve">Plano Nacional Pedagógico de Capacitação aprovado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1.4</w:t>
            </w:r>
          </w:p>
        </w:tc>
        <w:tc>
          <w:tcPr/>
          <w:p>
            <w:pPr>
              <w:pStyle w:val="Compact"/>
            </w:pPr>
            <w:r>
              <w:t xml:space="preserve">Estúdio implantado ou com projeto executivo/estudo técnico aprovado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Meta:</w:t>
      </w:r>
      <w:r>
        <w:t xml:space="preserve"> </w:t>
      </w:r>
      <w:r>
        <w:t xml:space="preserve">100% de implantação até junho de 2027 (encerramento do projeto).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Fonte de dados:</w:t>
      </w:r>
      <w:r>
        <w:t xml:space="preserve"> </w:t>
      </w:r>
      <w:r>
        <w:t xml:space="preserve">atos formais (Portarias, Resoluções), Regimento Interno, documentação da Rede, Plano Pedagógico e relatórios da ENAJU.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Frequência:</w:t>
      </w:r>
      <w:r>
        <w:t xml:space="preserve"> </w:t>
      </w:r>
      <w:r>
        <w:t xml:space="preserve">trimestral.</w:t>
      </w:r>
    </w:p>
    <w:bookmarkEnd w:id="14"/>
    <w:bookmarkStart w:id="15" w:name="Xa6af6553896be33bb19dcec9ab39dd78f68fc74"/>
    <w:p>
      <w:pPr>
        <w:pStyle w:val="Heading3"/>
      </w:pPr>
      <w:r>
        <w:t xml:space="preserve">BENEFÍCIO 2 — Infraestrutura integrada de conteúdos e aprendizagem</w:t>
      </w:r>
    </w:p>
    <w:p>
      <w:pPr>
        <w:pStyle w:val="FirstParagraph"/>
      </w:pPr>
      <w:r>
        <w:rPr>
          <w:b/>
          <w:bCs/>
        </w:rPr>
        <w:t xml:space="preserve">Valor público:</w:t>
      </w:r>
      <w:r>
        <w:t xml:space="preserve"> </w:t>
      </w:r>
      <w:r>
        <w:t xml:space="preserve">elevação da qualidade e da amplitude da formação continuada no Judiciário, com alcance nacional, ampliando a capacidade de oferta, compartilhamento e reaproveitamento de conhecimento educacional, com metodologias adequadas e adaptadas às realidades locais.</w:t>
      </w:r>
    </w:p>
    <w:p>
      <w:pPr>
        <w:pStyle w:val="BodyText"/>
      </w:pPr>
      <w:r>
        <w:rPr>
          <w:b/>
          <w:bCs/>
        </w:rPr>
        <w:t xml:space="preserve">Key Results (entregas-chave):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KR 2.1 — HUB ENAJU: portal único nacional e Banco de Conteúdos Educacionais.</w:t>
      </w:r>
      <w:r>
        <w:t xml:space="preserve"> </w:t>
      </w:r>
      <w:r>
        <w:t xml:space="preserve">Vertente em rede da ENAJU que integra, em portal único, a oferta de cursos e trilhas para servidores e estrutura o repositório nacional de conteúdos educacionais das escolas judiciais, com curadoria, metadados padronizados e reaproveitamento pelos tribunais; a adesão das escolas é impulsionada pelo Encontro Nacional (KR 1.2).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KR 2.2 — Modernização do ambiente Moodle.</w:t>
      </w:r>
      <w:r>
        <w:t xml:space="preserve"> </w:t>
      </w:r>
      <w:r>
        <w:t xml:space="preserve">Atualização da usabilidade, da navegação, da experiência do usuário e da acessibilidade do ambiente Moodle da ENAJU.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KR 2.3 — Painel de Business Intelligence (BI) das ações formativas.</w:t>
      </w:r>
      <w:r>
        <w:t xml:space="preserve"> </w:t>
      </w:r>
      <w:r>
        <w:t xml:space="preserve">Painel com dados consolidados e dinâmicos das ações formativas do Poder Judiciário, com adesão progressiva dos tribunais.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KR 2.4 — "Conversa com o CNJ!": série audiovisual de mediação pedagógica.</w:t>
      </w:r>
      <w:r>
        <w:t xml:space="preserve"> </w:t>
      </w:r>
      <w:r>
        <w:t xml:space="preserve">Série institucional de podcasts/episódios em áudio e vídeo dedicada à divulgação, interpretação e mediação pedagógica das políticas judiciárias, com difusão de massa (YouTube/redes), ambiente de aprendizagem na plataforma da ENAJU e certificação de participação.</w:t>
      </w:r>
    </w:p>
    <w:p>
      <w:pPr>
        <w:pStyle w:val="BlockText"/>
      </w:pPr>
      <w:r>
        <w:rPr>
          <w:i/>
          <w:iCs/>
        </w:rPr>
        <w:t xml:space="preserve">Como impulsiona o benefício:</w:t>
      </w:r>
      <w:r>
        <w:t xml:space="preserve"> </w:t>
      </w:r>
      <w:r>
        <w:t xml:space="preserve">os KRs 2.1–2.4 entregam, respectivamente, a</w:t>
      </w:r>
      <w:r>
        <w:t xml:space="preserve"> </w:t>
      </w:r>
      <w:r>
        <w:rPr>
          <w:b/>
          <w:bCs/>
        </w:rPr>
        <w:t xml:space="preserve">plataforma/hub</w:t>
      </w:r>
      <w:r>
        <w:t xml:space="preserve"> </w:t>
      </w:r>
      <w:r>
        <w:t xml:space="preserve">de integração, o</w:t>
      </w:r>
      <w:r>
        <w:t xml:space="preserve"> </w:t>
      </w:r>
      <w:r>
        <w:rPr>
          <w:b/>
          <w:bCs/>
        </w:rPr>
        <w:t xml:space="preserve">ambiente de aprendizagem</w:t>
      </w:r>
      <w:r>
        <w:t xml:space="preserve"> </w:t>
      </w:r>
      <w:r>
        <w:t xml:space="preserve">modernizado, a</w:t>
      </w:r>
      <w:r>
        <w:t xml:space="preserve"> </w:t>
      </w:r>
      <w:r>
        <w:rPr>
          <w:b/>
          <w:bCs/>
        </w:rPr>
        <w:t xml:space="preserve">inteligência de dados</w:t>
      </w:r>
      <w:r>
        <w:t xml:space="preserve"> </w:t>
      </w:r>
      <w:r>
        <w:t xml:space="preserve">das ações formativas e o</w:t>
      </w:r>
      <w:r>
        <w:t xml:space="preserve"> </w:t>
      </w:r>
      <w:r>
        <w:rPr>
          <w:b/>
          <w:bCs/>
        </w:rPr>
        <w:t xml:space="preserve">conteúdo audiovisual de alto alcance</w:t>
      </w:r>
      <w:r>
        <w:t xml:space="preserve"> </w:t>
      </w:r>
      <w:r>
        <w:t xml:space="preserve">— compondo a infraestrutura integrada de conteúdos e aprendizagem.</w:t>
      </w:r>
    </w:p>
    <w:p>
      <w:pPr>
        <w:pStyle w:val="FirstParagraph"/>
      </w:pPr>
      <w:r>
        <w:rPr>
          <w:b/>
          <w:bCs/>
        </w:rPr>
        <w:t xml:space="preserve">Indicador composto — % de implantação da infraestrutura integrada de aprendizagem da ENAJU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2.1</w:t>
            </w:r>
          </w:p>
        </w:tc>
        <w:tc>
          <w:tcPr/>
          <w:p>
            <w:pPr>
              <w:pStyle w:val="Compact"/>
            </w:pPr>
            <w:r>
              <w:t xml:space="preserve">HUB e Banco de Conteúdos publicados e em adesão pelas escolas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2.2</w:t>
            </w:r>
          </w:p>
        </w:tc>
        <w:tc>
          <w:tcPr/>
          <w:p>
            <w:pPr>
              <w:pStyle w:val="Compact"/>
            </w:pPr>
            <w:r>
              <w:t xml:space="preserve">Requisitos de modernização do Moodle homologados/implantados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2.3</w:t>
            </w:r>
          </w:p>
        </w:tc>
        <w:tc>
          <w:tcPr/>
          <w:p>
            <w:pPr>
              <w:pStyle w:val="Compact"/>
            </w:pPr>
            <w:r>
              <w:t xml:space="preserve">Painel de BI publicado ou prototipado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2.4</w:t>
            </w:r>
          </w:p>
        </w:tc>
        <w:tc>
          <w:tcPr/>
          <w:p>
            <w:pPr>
              <w:pStyle w:val="Compact"/>
            </w:pPr>
            <w:r>
              <w:t xml:space="preserve">1ª temporada planejada com ato/curadoria e episódio-piloto publicado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Meta:</w:t>
      </w:r>
      <w:r>
        <w:t xml:space="preserve"> </w:t>
      </w:r>
      <w:r>
        <w:t xml:space="preserve">100% dos critérios atendidos até junho de 2027.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Fonte de dados:</w:t>
      </w:r>
      <w:r>
        <w:t xml:space="preserve"> </w:t>
      </w:r>
      <w:r>
        <w:t xml:space="preserve">relatórios da ENAJU, registros de adesão dos tribunais, métricas de plataforma e de difusão.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Frequência:</w:t>
      </w:r>
      <w:r>
        <w:t xml:space="preserve"> </w:t>
      </w:r>
      <w:r>
        <w:t xml:space="preserve">trimestral.</w:t>
      </w:r>
    </w:p>
    <w:bookmarkEnd w:id="15"/>
    <w:bookmarkStart w:id="16" w:name="X65a7802730e2d20fa10e8200f74a6e64895c1dc"/>
    <w:p>
      <w:pPr>
        <w:pStyle w:val="Heading3"/>
      </w:pPr>
      <w:r>
        <w:t xml:space="preserve">BENEFÍCIO 3 (NOVO) — Conhecimento aplicado e inteligência educacional baseada em evidências</w:t>
      </w:r>
    </w:p>
    <w:p>
      <w:pPr>
        <w:pStyle w:val="FirstParagraph"/>
      </w:pPr>
      <w:r>
        <w:rPr>
          <w:b/>
          <w:bCs/>
        </w:rPr>
        <w:t xml:space="preserve">Valor público:</w:t>
      </w:r>
      <w:r>
        <w:t xml:space="preserve"> </w:t>
      </w:r>
      <w:r>
        <w:t xml:space="preserve">transição de uma escola operadora para uma</w:t>
      </w:r>
      <w:r>
        <w:t xml:space="preserve"> </w:t>
      </w:r>
      <w:r>
        <w:rPr>
          <w:b/>
          <w:bCs/>
        </w:rPr>
        <w:t xml:space="preserve">escola pensante</w:t>
      </w:r>
      <w:r>
        <w:t xml:space="preserve">, capaz de produzir evidências sobre o que funciona em educação judicial, dialogar com a academia e devolver ao Sistema conhecimento convertido em produtos formativos de qualidade superior — firmando a ENAJU como produtora de conhecimento e referência nacional.</w:t>
      </w:r>
    </w:p>
    <w:p>
      <w:pPr>
        <w:pStyle w:val="BodyText"/>
      </w:pPr>
      <w:r>
        <w:rPr>
          <w:b/>
          <w:bCs/>
        </w:rPr>
        <w:t xml:space="preserve">Key Results (entregas-chave):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KR 3.1 — CADERNOS_ENAJU: linha de produção técnico-científica.</w:t>
      </w:r>
      <w:r>
        <w:t xml:space="preserve"> </w:t>
      </w:r>
      <w:r>
        <w:t xml:space="preserve">Linha editorial e metodológica da ENAJU para produzir conhecimento aplicado e trilhas formativas baseadas em evidências, com repositório versionado (GitHub) e ambiente de trabalho assistido por agentes (VS Code); produto-piloto: Caderno ENAJU nº 1.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KR 3.2 — ENAJU Evidências: relatórios pós-evento.</w:t>
      </w:r>
      <w:r>
        <w:t xml:space="preserve"> </w:t>
      </w:r>
      <w:r>
        <w:t xml:space="preserve">Série editorial que transforma cada ação formativa da ENAJU em inteligência institucional sistemática, rastreável e reutilizável (síntese, capacidades desenvolvidas, conexão com políticas judiciárias e agenda de continuidade), apoiada por pipeline de transcrição e análise; evento-piloto: webinário "Precisamos Falar de Cuidados e Pessoas Idosas".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KR 3.3 — NuPEC-EJ / Grupo de Altos Estudos: rede de pesquisadores e parcerias.</w:t>
      </w:r>
      <w:r>
        <w:t xml:space="preserve"> </w:t>
      </w:r>
      <w:r>
        <w:t xml:space="preserve">Núcleo de Pesquisa e Conhecimento em Educação Judicial, articulando pesquisadores-servidores dos tribunais em grupos temáticos, com Encontro Anual de Pesquisa (EPEJ, articulado ao EnAJUS) e</w:t>
      </w:r>
      <w:r>
        <w:t xml:space="preserve"> </w:t>
      </w:r>
      <w:r>
        <w:rPr>
          <w:b/>
          <w:bCs/>
        </w:rPr>
        <w:t xml:space="preserve">parcerias com universidades, escolas de governo e organismos internacionais</w:t>
      </w:r>
      <w:r>
        <w:t xml:space="preserve"> </w:t>
      </w:r>
      <w:r>
        <w:t xml:space="preserve">(ENAP, IOJT, EJTN, PNUD).</w:t>
      </w:r>
    </w:p>
    <w:p>
      <w:pPr>
        <w:pStyle w:val="BlockText"/>
      </w:pPr>
      <w:r>
        <w:rPr>
          <w:i/>
          <w:iCs/>
        </w:rPr>
        <w:t xml:space="preserve">Como impulsiona o benefício:</w:t>
      </w:r>
      <w:r>
        <w:t xml:space="preserve"> </w:t>
      </w:r>
      <w:r>
        <w:t xml:space="preserve">os KRs 3.1–3.3 entregam, respectivamente, a</w:t>
      </w:r>
      <w:r>
        <w:t xml:space="preserve"> </w:t>
      </w:r>
      <w:r>
        <w:rPr>
          <w:b/>
          <w:bCs/>
        </w:rPr>
        <w:t xml:space="preserve">produção técnico-científica</w:t>
      </w:r>
      <w:r>
        <w:t xml:space="preserve">, a</w:t>
      </w:r>
      <w:r>
        <w:t xml:space="preserve"> </w:t>
      </w:r>
      <w:r>
        <w:rPr>
          <w:b/>
          <w:bCs/>
        </w:rPr>
        <w:t xml:space="preserve">inteligência pós-evento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rede de pesquisadores e parcerias</w:t>
      </w:r>
      <w:r>
        <w:t xml:space="preserve"> </w:t>
      </w:r>
      <w:r>
        <w:t xml:space="preserve">— os três motores que firmam a ENAJU como produtora de evidências e referência nacional.</w:t>
      </w:r>
    </w:p>
    <w:p>
      <w:pPr>
        <w:pStyle w:val="FirstParagraph"/>
      </w:pPr>
      <w:r>
        <w:rPr>
          <w:b/>
          <w:bCs/>
        </w:rPr>
        <w:t xml:space="preserve">Indicador composto — % de implantação da agenda de conhecimento e evidências da ENAJU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Critério de aceite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3.1</w:t>
            </w:r>
          </w:p>
        </w:tc>
        <w:tc>
          <w:tcPr/>
          <w:p>
            <w:pPr>
              <w:pStyle w:val="Compact"/>
            </w:pPr>
            <w:r>
              <w:t xml:space="preserve">Caderno ENAJU nº 1 publicado e repositório/ambiente operacional ativo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3.2</w:t>
            </w:r>
          </w:p>
        </w:tc>
        <w:tc>
          <w:tcPr/>
          <w:p>
            <w:pPr>
              <w:pStyle w:val="Compact"/>
            </w:pPr>
            <w:r>
              <w:t xml:space="preserve">Série ENAJU Evidências instituída e nº de edições previstas no ciclo publicadas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 3.3</w:t>
            </w:r>
          </w:p>
        </w:tc>
        <w:tc>
          <w:tcPr/>
          <w:p>
            <w:pPr>
              <w:pStyle w:val="Compact"/>
            </w:pPr>
            <w:r>
              <w:t xml:space="preserve">NuPEC-EJ instituído (regulamento + 1ª chamada) e parcerias formalizadas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Meta:</w:t>
      </w:r>
      <w:r>
        <w:t xml:space="preserve"> </w:t>
      </w:r>
      <w:r>
        <w:t xml:space="preserve">100% dos critérios atendidos até junho de 2027.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Fonte de dados:</w:t>
      </w:r>
      <w:r>
        <w:t xml:space="preserve"> </w:t>
      </w:r>
      <w:r>
        <w:t xml:space="preserve">repositório da ENAJU, edições publicadas, atos de instituição do NuPEC-EJ e acordos/convênios vigentes.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Frequência:</w:t>
      </w:r>
      <w:r>
        <w:t xml:space="preserve"> </w:t>
      </w:r>
      <w:r>
        <w:t xml:space="preserve">trimestral.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efd7a03b2a1cdef93b8fa66639a875b609138f9"/>
    <w:p>
      <w:pPr>
        <w:pStyle w:val="Heading2"/>
      </w:pPr>
      <w:r>
        <w:t xml:space="preserve">ESCOPO DO PROJETO E ESTRUTURA ANALÍTICA DE BENEFÍCIOS (EAB)</w:t>
      </w:r>
    </w:p>
    <w:p>
      <w:pPr>
        <w:pStyle w:val="SourceCode"/>
      </w:pPr>
      <w:r>
        <w:rPr>
          <w:rStyle w:val="VerbatimChar"/>
        </w:rPr>
        <w:t xml:space="preserve">Projeto de Implantação e Consolidação da ENAJU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Benefício 1 — Governança estruturada e capacidade institucional</w:t>
      </w:r>
      <w:r>
        <w:br/>
      </w:r>
      <w:r>
        <w:rPr>
          <w:rStyle w:val="VerbatimChar"/>
        </w:rPr>
        <w:t xml:space="preserve">│   ├── KR 1.1 Instrumentos normativos internos/externos</w:t>
      </w:r>
      <w:r>
        <w:br/>
      </w:r>
      <w:r>
        <w:rPr>
          <w:rStyle w:val="VerbatimChar"/>
        </w:rPr>
        <w:t xml:space="preserve">│   ├── KR 1.2 Operacionalização da Rede Nacional</w:t>
      </w:r>
      <w:r>
        <w:br/>
      </w:r>
      <w:r>
        <w:rPr>
          <w:rStyle w:val="VerbatimChar"/>
        </w:rPr>
        <w:t xml:space="preserve">│   ├── KR 1.3 Plano Nacional Pedagógico de Capacitação</w:t>
      </w:r>
      <w:r>
        <w:br/>
      </w:r>
      <w:r>
        <w:rPr>
          <w:rStyle w:val="VerbatimChar"/>
        </w:rPr>
        <w:t xml:space="preserve">│   └── KR 1.4 Estúdio de gravação no CNJ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Benefício 2 — Infraestrutura integrada de conteúdos e aprendizagem</w:t>
      </w:r>
      <w:r>
        <w:br/>
      </w:r>
      <w:r>
        <w:rPr>
          <w:rStyle w:val="VerbatimChar"/>
        </w:rPr>
        <w:t xml:space="preserve">│   ├── KR 2.1 HUB ENAJU (portal único + Banco de Conteúdos)</w:t>
      </w:r>
      <w:r>
        <w:br/>
      </w:r>
      <w:r>
        <w:rPr>
          <w:rStyle w:val="VerbatimChar"/>
        </w:rPr>
        <w:t xml:space="preserve">│   ├── KR 2.2 Modernização do Moodle</w:t>
      </w:r>
      <w:r>
        <w:br/>
      </w:r>
      <w:r>
        <w:rPr>
          <w:rStyle w:val="VerbatimChar"/>
        </w:rPr>
        <w:t xml:space="preserve">│   ├── KR 2.3 Painel de BI</w:t>
      </w:r>
      <w:r>
        <w:br/>
      </w:r>
      <w:r>
        <w:rPr>
          <w:rStyle w:val="VerbatimChar"/>
        </w:rPr>
        <w:t xml:space="preserve">│   └── KR 2.4 "Conversa com o CNJ!" (série audiovisual)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Benefício 3 — Conhecimento aplicado e inteligência educacional baseada em evidências</w:t>
      </w:r>
      <w:r>
        <w:br/>
      </w:r>
      <w:r>
        <w:rPr>
          <w:rStyle w:val="VerbatimChar"/>
        </w:rPr>
        <w:t xml:space="preserve">    ├── KR 3.1 CADERNOS_ENAJU</w:t>
      </w:r>
      <w:r>
        <w:br/>
      </w:r>
      <w:r>
        <w:rPr>
          <w:rStyle w:val="VerbatimChar"/>
        </w:rPr>
        <w:t xml:space="preserve">    ├── KR 3.2 ENAJU Evidências (relatórios pós-evento)</w:t>
      </w:r>
      <w:r>
        <w:br/>
      </w:r>
      <w:r>
        <w:rPr>
          <w:rStyle w:val="VerbatimChar"/>
        </w:rPr>
        <w:t xml:space="preserve">    └── KR 3.3 NuPEC-EJ / Grupo de Altos Estudos + Parcerias</w:t>
      </w:r>
    </w:p>
    <w:bookmarkStart w:id="18" w:name="não-escopo"/>
    <w:p>
      <w:pPr>
        <w:pStyle w:val="Heading3"/>
      </w:pPr>
      <w:r>
        <w:t xml:space="preserve">NÃO ESCOPO</w:t>
      </w:r>
    </w:p>
    <w:p>
      <w:pPr>
        <w:pStyle w:val="FirstParagraph"/>
      </w:pPr>
      <w:r>
        <w:t xml:space="preserve">Não integram o escopo deste projeto:</w:t>
      </w:r>
    </w:p>
    <w:p>
      <w:pPr>
        <w:pStyle w:val="Compact"/>
        <w:numPr>
          <w:ilvl w:val="0"/>
          <w:numId w:val="1011"/>
        </w:numPr>
      </w:pPr>
      <w:r>
        <w:t xml:space="preserve">a criação de cargos ou funções (a estrutura e o quadro já foram tratados pela Portaria CNJ nº 221/2026; eventual ampliação por projeto de lei é externa a este projeto);</w:t>
      </w:r>
    </w:p>
    <w:p>
      <w:pPr>
        <w:pStyle w:val="Compact"/>
        <w:numPr>
          <w:ilvl w:val="0"/>
          <w:numId w:val="1011"/>
        </w:numPr>
      </w:pPr>
      <w:r>
        <w:t xml:space="preserve">a aprovação de projeto de lei;</w:t>
      </w:r>
    </w:p>
    <w:p>
      <w:pPr>
        <w:pStyle w:val="Compact"/>
        <w:numPr>
          <w:ilvl w:val="0"/>
          <w:numId w:val="1011"/>
        </w:numPr>
      </w:pPr>
      <w:r>
        <w:t xml:space="preserve">a execução ordinária e continuada de cursos pela Escola;</w:t>
      </w:r>
    </w:p>
    <w:p>
      <w:pPr>
        <w:pStyle w:val="Compact"/>
        <w:numPr>
          <w:ilvl w:val="0"/>
          <w:numId w:val="1011"/>
        </w:numPr>
      </w:pPr>
      <w:r>
        <w:t xml:space="preserve">o desenvolvimento integral de um novo sistema/LMS além das melhorias previstas;</w:t>
      </w:r>
    </w:p>
    <w:p>
      <w:pPr>
        <w:pStyle w:val="Compact"/>
        <w:numPr>
          <w:ilvl w:val="0"/>
          <w:numId w:val="1011"/>
        </w:numPr>
      </w:pPr>
      <w:r>
        <w:t xml:space="preserve">a gestão continuada do Moodle após a implantação das melhorias;</w:t>
      </w:r>
    </w:p>
    <w:p>
      <w:pPr>
        <w:pStyle w:val="Compact"/>
        <w:numPr>
          <w:ilvl w:val="0"/>
          <w:numId w:val="1011"/>
        </w:numPr>
      </w:pPr>
      <w:r>
        <w:t xml:space="preserve">a alteração das estruturas das escolas judiciais dos tribunais;</w:t>
      </w:r>
    </w:p>
    <w:p>
      <w:pPr>
        <w:pStyle w:val="Compact"/>
        <w:numPr>
          <w:ilvl w:val="0"/>
          <w:numId w:val="1011"/>
        </w:numPr>
      </w:pPr>
      <w:r>
        <w:t xml:space="preserve">a realização de contratações externas não previstas em estudo técnico específico.</w:t>
      </w:r>
    </w:p>
    <w:bookmarkEnd w:id="18"/>
    <w:bookmarkStart w:id="19" w:name="dicionário-da-eab"/>
    <w:p>
      <w:pPr>
        <w:pStyle w:val="Heading3"/>
      </w:pPr>
      <w:r>
        <w:t xml:space="preserve">DICIONÁRIO DA EAB</w:t>
      </w:r>
    </w:p>
    <w:p>
      <w:pPr>
        <w:pStyle w:val="FirstParagraph"/>
      </w:pPr>
      <w:r>
        <w:rPr>
          <w:b/>
          <w:bCs/>
        </w:rPr>
        <w:t xml:space="preserve">Benefício 1 — Governança estruturada e capacidade institucional fortalecida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KR 1.1 — Instrumentos normativos internos e externos.</w:t>
      </w:r>
      <w:r>
        <w:t xml:space="preserve"> </w:t>
      </w:r>
      <w:r>
        <w:t xml:space="preserve">Produção, revisão e aprovação do conjunto mínimo de normativos para o funcionamento da ENAJU (Regimento Interno, portarias, procedimentos e fluxos), definindo competências e a articulação interna de seus setores e com a Rede. Garante segurança normativa e suporte jurídico-institucional às operações da Escola.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KR 1.2 — Operacionalização da Rede Nacional.</w:t>
      </w:r>
      <w:r>
        <w:t xml:space="preserve"> </w:t>
      </w:r>
      <w:r>
        <w:t xml:space="preserve">Definição de instâncias, regras de adesão e fluxos de cooperação da Rede de Escolas Judiciais, incluindo o Encontro Nacional de Escolas Judiciais como espaço de articulação e integração da Rede e, ao mesmo tempo, de mobilização das escolas para a adesão e o compartilhamento de conteúdos no HUB ENAJU (KR 2.1).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KR 1.3 — Plano Nacional Pedagógico de Capacitação.</w:t>
      </w:r>
      <w:r>
        <w:t xml:space="preserve"> </w:t>
      </w:r>
      <w:r>
        <w:t xml:space="preserve">Diretrizes pedagógicas, matriz de competências, trilhas prioritárias e critérios de qualidade que materializam a Política Nacional de Formação para todo o Sistema.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KR 1.4 — Estúdio próprio de gravação no CNJ.</w:t>
      </w:r>
      <w:r>
        <w:t xml:space="preserve"> </w:t>
      </w:r>
      <w:r>
        <w:t xml:space="preserve">Implantação de estúdio institucional para gravação e produção de conteúdos educacionais e audiovisuais da ENAJU, base física dos KRs 2.4 e 3.x.</w:t>
      </w:r>
    </w:p>
    <w:p>
      <w:pPr>
        <w:pStyle w:val="FirstParagraph"/>
      </w:pPr>
      <w:r>
        <w:rPr>
          <w:b/>
          <w:bCs/>
        </w:rPr>
        <w:t xml:space="preserve">Benefício 2 — Infraestrutura integrada de conteúdos e aprendizagem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KR 2.1 — HUB ENAJU + Banco de Conteúdos.</w:t>
      </w:r>
      <w:r>
        <w:t xml:space="preserve"> </w:t>
      </w:r>
      <w:r>
        <w:t xml:space="preserve">Portal único nacional que integra a oferta de cursos/trilhas para servidores e o repositório nacional de conteúdos educacionais das escolas judiciais, com governança em rede, curadoria, metadados padronizados e reaproveitamento pelos tribunais. A adesão das escolas é impulsionada pelo Encontro Nacional (KR 1.2).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KR 2.2 — Modernização do Moodle.</w:t>
      </w:r>
      <w:r>
        <w:t xml:space="preserve"> </w:t>
      </w:r>
      <w:r>
        <w:t xml:space="preserve">Atualização de usabilidade, navegação, experiência do usuário e acessibilidade do ambiente Moodle da ENAJU.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KR 2.3 — Painel de BI.</w:t>
      </w:r>
      <w:r>
        <w:t xml:space="preserve"> </w:t>
      </w:r>
      <w:r>
        <w:t xml:space="preserve">Painel com dados consolidados e dinâmicos das ações formativas do Poder Judiciário, com potencial de adesão progressiva dos tribunais.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KR 2.4 — "Conversa com o CNJ!".</w:t>
      </w:r>
      <w:r>
        <w:t xml:space="preserve"> </w:t>
      </w:r>
      <w:r>
        <w:t xml:space="preserve">Série institucional em áudio e vídeo de mediação pedagógica das políticas judiciárias, com difusão de massa, ambiente de aprendizagem na plataforma da ENAJU e certificação de participação, em governança compartilhada (ENAJU, Presidência, SEP, SCS, ECP) e alinhada à Política de Comunicação do Judiciário (Res. CNJ nº 640/2025).</w:t>
      </w:r>
    </w:p>
    <w:p>
      <w:pPr>
        <w:pStyle w:val="FirstParagraph"/>
      </w:pPr>
      <w:r>
        <w:rPr>
          <w:b/>
          <w:bCs/>
        </w:rPr>
        <w:t xml:space="preserve">Benefício 3 — Conhecimento aplicado e inteligência educacional baseada em evidências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KR 3.1 — CADERNOS_ENAJU.</w:t>
      </w:r>
      <w:r>
        <w:t xml:space="preserve"> </w:t>
      </w:r>
      <w:r>
        <w:t xml:space="preserve">Linha estruturada de produção técnico-científica da ENAJU: cadernos temáticos, protocolos de pesquisa replicáveis, templates de trilhas baseadas em evidências, repositório versionado e ambiente operacional assistido por agentes; produto-piloto Caderno ENAJU nº 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KR 3.2 — ENAJU Evidências.</w:t>
      </w:r>
      <w:r>
        <w:t xml:space="preserve"> </w:t>
      </w:r>
      <w:r>
        <w:t xml:space="preserve">Série editorial que converte cada ação formativa relevante em relatório padronizado (problema público, achados, capacidades, conexão com políticas judiciárias e agenda de continuidade), apoiada por pipeline de transcrição/análise e revisão humana; evento-piloto webinário sobre cuidados e pessoas idosas.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KR 3.3 — NuPEC-EJ / Grupo de Altos Estudos.</w:t>
      </w:r>
      <w:r>
        <w:t xml:space="preserve"> </w:t>
      </w:r>
      <w:r>
        <w:t xml:space="preserve">Instância permanente da ENAJU que mobiliza e credencia pesquisadores-servidores, organiza grupos temáticos, mantém repositório e linha editorial, realiza o Encontro Anual de Pesquisa (EPEJ) e formaliza parcerias com universidades, escolas de governo e organismos internacionais.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ronograma-do-projeto-por-entregas"/>
    <w:p>
      <w:pPr>
        <w:pStyle w:val="Heading2"/>
      </w:pPr>
      <w:r>
        <w:t xml:space="preserve">CRONOGRAMA DO PROJETO (POR ENTREGAS)</w:t>
      </w:r>
    </w:p>
    <w:p>
      <w:pPr>
        <w:pStyle w:val="FirstParagraph"/>
      </w:pPr>
      <w:r>
        <w:t xml:space="preserve">Cronograma orientado por</w:t>
      </w:r>
      <w:r>
        <w:t xml:space="preserve"> </w:t>
      </w:r>
      <w:r>
        <w:rPr>
          <w:b/>
          <w:bCs/>
        </w:rPr>
        <w:t xml:space="preserve">entregas verificáveis</w:t>
      </w:r>
      <w:r>
        <w:t xml:space="preserve"> </w:t>
      </w:r>
      <w:r>
        <w:t xml:space="preserve">(KRs), e não por fluxo de tramitação. As datas consideram a</w:t>
      </w:r>
      <w:r>
        <w:t xml:space="preserve"> </w:t>
      </w:r>
      <w:r>
        <w:rPr>
          <w:b/>
          <w:bCs/>
        </w:rPr>
        <w:t xml:space="preserve">aprovação do projeto e início em agosto de 2026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encerramento, com tudo funcionando e analisado, em junho de 2027</w:t>
      </w:r>
      <w:r>
        <w:t xml:space="preserve">. As fases de benefício correm em paralelo, conforme a capacidade das unidades envolvidas.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Fase / Entrega</w:t>
            </w:r>
          </w:p>
        </w:tc>
        <w:tc>
          <w:tcPr/>
          <w:p>
            <w:pPr>
              <w:pStyle w:val="Compact"/>
            </w:pPr>
            <w:r>
              <w:t xml:space="preserve">Produto verificável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Início</w:t>
            </w:r>
          </w:p>
        </w:tc>
        <w:tc>
          <w:tcPr/>
          <w:p>
            <w:pPr>
              <w:pStyle w:val="Compact"/>
            </w:pPr>
            <w:r>
              <w:t xml:space="preserve">Término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Validação do escopo e governança do projeto</w:t>
            </w:r>
          </w:p>
        </w:tc>
        <w:tc>
          <w:tcPr/>
          <w:p>
            <w:pPr>
              <w:pStyle w:val="Compact"/>
            </w:pPr>
            <w:r>
              <w:t xml:space="preserve">TAP aprovado, EAB revisada, matriz de KRs aprovada, equipe designada</w:t>
            </w:r>
          </w:p>
        </w:tc>
        <w:tc>
          <w:tcPr/>
          <w:p>
            <w:pPr>
              <w:pStyle w:val="Compact"/>
            </w:pPr>
            <w:r>
              <w:t xml:space="preserve">Gerente do Projeto / SEP / ECP</w:t>
            </w:r>
          </w:p>
        </w:tc>
        <w:tc>
          <w:tcPr/>
          <w:p>
            <w:pPr>
              <w:pStyle w:val="Compact"/>
            </w:pPr>
            <w:r>
              <w:t xml:space="preserve">01/08/2026</w:t>
            </w:r>
          </w:p>
        </w:tc>
        <w:tc>
          <w:tcPr/>
          <w:p>
            <w:pPr>
              <w:pStyle w:val="Compact"/>
            </w:pPr>
            <w:r>
              <w:t xml:space="preserve">31/08/2026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Benefício 1</w:t>
            </w:r>
            <w:r>
              <w:t xml:space="preserve"> </w:t>
            </w:r>
            <w:r>
              <w:t xml:space="preserve">— Governança e estrutura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28/02/2027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KR 1.1 Normativos internos/externos</w:t>
            </w:r>
          </w:p>
        </w:tc>
        <w:tc>
          <w:tcPr/>
          <w:p>
            <w:pPr>
              <w:pStyle w:val="Compact"/>
            </w:pPr>
            <w:r>
              <w:t xml:space="preserve">Regimento Interno e portarias de fluxos publicados</w:t>
            </w:r>
          </w:p>
        </w:tc>
        <w:tc>
          <w:tcPr/>
          <w:p>
            <w:pPr>
              <w:pStyle w:val="Compact"/>
            </w:pPr>
            <w:r>
              <w:t xml:space="preserve">ENAJU / SG / DG / CONF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30/11/2026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KR 1.2 Operacionalização da Rede</w:t>
            </w:r>
          </w:p>
        </w:tc>
        <w:tc>
          <w:tcPr/>
          <w:p>
            <w:pPr>
              <w:pStyle w:val="Compact"/>
            </w:pPr>
            <w:r>
              <w:t xml:space="preserve">Modelo de governança da Rede aprovado; Encontro Nacional realizado/planejado</w:t>
            </w: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01/10/2026</w:t>
            </w:r>
          </w:p>
        </w:tc>
        <w:tc>
          <w:tcPr/>
          <w:p>
            <w:pPr>
              <w:pStyle w:val="Compact"/>
            </w:pPr>
            <w:r>
              <w:t xml:space="preserve">31/01/2027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KR 1.3 Plano Nacional Pedagógico</w:t>
            </w:r>
          </w:p>
        </w:tc>
        <w:tc>
          <w:tcPr/>
          <w:p>
            <w:pPr>
              <w:pStyle w:val="Compact"/>
            </w:pPr>
            <w:r>
              <w:t xml:space="preserve">Plano Pedagógico aprovado</w:t>
            </w: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31/12/2026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KR 1.4 Estúdio de gravação</w:t>
            </w:r>
          </w:p>
        </w:tc>
        <w:tc>
          <w:tcPr/>
          <w:p>
            <w:pPr>
              <w:pStyle w:val="Compact"/>
            </w:pPr>
            <w:r>
              <w:t xml:space="preserve">Estúdio implantado ou projeto executivo aprovado</w:t>
            </w:r>
          </w:p>
        </w:tc>
        <w:tc>
          <w:tcPr/>
          <w:p>
            <w:pPr>
              <w:pStyle w:val="Compact"/>
            </w:pPr>
            <w:r>
              <w:t xml:space="preserve">ENAJU / SCS / SAD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28/02/2027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Benefício 2</w:t>
            </w:r>
            <w:r>
              <w:t xml:space="preserve"> </w:t>
            </w:r>
            <w:r>
              <w:t xml:space="preserve">— Infraestrutura de conteúdos e aprendizagem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ENAJU / DTI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30/04/2027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KR 2.1 HUB + Banco de Conteúdos</w:t>
            </w:r>
          </w:p>
        </w:tc>
        <w:tc>
          <w:tcPr/>
          <w:p>
            <w:pPr>
              <w:pStyle w:val="Compact"/>
            </w:pPr>
            <w:r>
              <w:t xml:space="preserve">Portal único e banco publicados; termos de adesão</w:t>
            </w:r>
          </w:p>
        </w:tc>
        <w:tc>
          <w:tcPr/>
          <w:p>
            <w:pPr>
              <w:pStyle w:val="Compact"/>
            </w:pPr>
            <w:r>
              <w:t xml:space="preserve">ENAJU / DTI</w:t>
            </w:r>
          </w:p>
        </w:tc>
        <w:tc>
          <w:tcPr/>
          <w:p>
            <w:pPr>
              <w:pStyle w:val="Compact"/>
            </w:pPr>
            <w:r>
              <w:t xml:space="preserve">01/10/2026</w:t>
            </w:r>
          </w:p>
        </w:tc>
        <w:tc>
          <w:tcPr/>
          <w:p>
            <w:pPr>
              <w:pStyle w:val="Compact"/>
            </w:pPr>
            <w:r>
              <w:t xml:space="preserve">30/04/2027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KR 2.2 Modernização do Moodle</w:t>
            </w:r>
          </w:p>
        </w:tc>
        <w:tc>
          <w:tcPr/>
          <w:p>
            <w:pPr>
              <w:pStyle w:val="Compact"/>
            </w:pPr>
            <w:r>
              <w:t xml:space="preserve">Requisitos homologados/implantados</w:t>
            </w:r>
          </w:p>
        </w:tc>
        <w:tc>
          <w:tcPr/>
          <w:p>
            <w:pPr>
              <w:pStyle w:val="Compact"/>
            </w:pPr>
            <w:r>
              <w:t xml:space="preserve">ENAJU / DTI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28/02/2027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KR 2.3 Painel de BI</w:t>
            </w:r>
          </w:p>
        </w:tc>
        <w:tc>
          <w:tcPr/>
          <w:p>
            <w:pPr>
              <w:pStyle w:val="Compact"/>
            </w:pPr>
            <w:r>
              <w:t xml:space="preserve">Painel publicado/prototipado</w:t>
            </w:r>
          </w:p>
        </w:tc>
        <w:tc>
          <w:tcPr/>
          <w:p>
            <w:pPr>
              <w:pStyle w:val="Compact"/>
            </w:pPr>
            <w:r>
              <w:t xml:space="preserve">ENAJU / DTI</w:t>
            </w:r>
          </w:p>
        </w:tc>
        <w:tc>
          <w:tcPr/>
          <w:p>
            <w:pPr>
              <w:pStyle w:val="Compact"/>
            </w:pPr>
            <w:r>
              <w:t xml:space="preserve">01/11/2026</w:t>
            </w:r>
          </w:p>
        </w:tc>
        <w:tc>
          <w:tcPr/>
          <w:p>
            <w:pPr>
              <w:pStyle w:val="Compact"/>
            </w:pPr>
            <w:r>
              <w:t xml:space="preserve">31/03/2027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KR 2.4 Conversa com o CNJ!</w:t>
            </w:r>
          </w:p>
        </w:tc>
        <w:tc>
          <w:tcPr/>
          <w:p>
            <w:pPr>
              <w:pStyle w:val="Compact"/>
            </w:pPr>
            <w:r>
              <w:t xml:space="preserve">Curadoria da 1ª temporada e episódio-piloto publicado</w:t>
            </w:r>
          </w:p>
        </w:tc>
        <w:tc>
          <w:tcPr/>
          <w:p>
            <w:pPr>
              <w:pStyle w:val="Compact"/>
            </w:pPr>
            <w:r>
              <w:t xml:space="preserve">ENAJU / SCS / Presidência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31/05/2027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Benefício 3</w:t>
            </w:r>
            <w:r>
              <w:t xml:space="preserve"> </w:t>
            </w:r>
            <w:r>
              <w:t xml:space="preserve">— Conhecimento e evidências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31/05/2027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KR 3.1 CADERNOS_ENAJU</w:t>
            </w:r>
          </w:p>
        </w:tc>
        <w:tc>
          <w:tcPr/>
          <w:p>
            <w:pPr>
              <w:pStyle w:val="Compact"/>
            </w:pPr>
            <w:r>
              <w:t xml:space="preserve">Caderno nº 1 publicado; repositório/ambiente ativo</w:t>
            </w: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31/03/2027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KR 3.2 ENAJU Evidências</w:t>
            </w:r>
          </w:p>
        </w:tc>
        <w:tc>
          <w:tcPr/>
          <w:p>
            <w:pPr>
              <w:pStyle w:val="Compact"/>
            </w:pPr>
            <w:r>
              <w:t xml:space="preserve">Série instituída; edições do ciclo publicadas</w:t>
            </w: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01/09/2026</w:t>
            </w:r>
          </w:p>
        </w:tc>
        <w:tc>
          <w:tcPr/>
          <w:p>
            <w:pPr>
              <w:pStyle w:val="Compact"/>
            </w:pPr>
            <w:r>
              <w:t xml:space="preserve">31/05/2027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KR 3.3 NuPEC-EJ + Parcerias</w:t>
            </w:r>
          </w:p>
        </w:tc>
        <w:tc>
          <w:tcPr/>
          <w:p>
            <w:pPr>
              <w:pStyle w:val="Compact"/>
            </w:pPr>
            <w:r>
              <w:t xml:space="preserve">Regulamento e 1ª chamada; parcerias formalizadas</w:t>
            </w:r>
          </w:p>
        </w:tc>
        <w:tc>
          <w:tcPr/>
          <w:p>
            <w:pPr>
              <w:pStyle w:val="Compact"/>
            </w:pPr>
            <w:r>
              <w:t xml:space="preserve">ENAJU</w:t>
            </w:r>
          </w:p>
        </w:tc>
        <w:tc>
          <w:tcPr/>
          <w:p>
            <w:pPr>
              <w:pStyle w:val="Compact"/>
            </w:pPr>
            <w:r>
              <w:t xml:space="preserve">01/10/2026</w:t>
            </w:r>
          </w:p>
        </w:tc>
        <w:tc>
          <w:tcPr/>
          <w:p>
            <w:pPr>
              <w:pStyle w:val="Compact"/>
            </w:pPr>
            <w:r>
              <w:t xml:space="preserve">31/05/2027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Homologação e encerramento</w:t>
            </w:r>
          </w:p>
        </w:tc>
        <w:tc>
          <w:tcPr/>
          <w:p>
            <w:pPr>
              <w:pStyle w:val="Compact"/>
            </w:pPr>
            <w:r>
              <w:t xml:space="preserve">Relatório de benefícios, análise de resultados dos produtos entregues, evidências dos KRs e Termo de Encerramento do Projeto (TEP) enviado ao ECP</w:t>
            </w:r>
          </w:p>
        </w:tc>
        <w:tc>
          <w:tcPr/>
          <w:p>
            <w:pPr>
              <w:pStyle w:val="Compact"/>
            </w:pPr>
            <w:r>
              <w:t xml:space="preserve">Gerente do Projeto</w:t>
            </w:r>
          </w:p>
        </w:tc>
        <w:tc>
          <w:tcPr/>
          <w:p>
            <w:pPr>
              <w:pStyle w:val="Compact"/>
            </w:pPr>
            <w:r>
              <w:t xml:space="preserve">01/06/2027</w:t>
            </w:r>
          </w:p>
        </w:tc>
        <w:tc>
          <w:tcPr/>
          <w:p>
            <w:pPr>
              <w:pStyle w:val="Compact"/>
            </w:pPr>
            <w:r>
              <w:t xml:space="preserve">30/06/2027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esembolso-financeiro"/>
    <w:p>
      <w:pPr>
        <w:pStyle w:val="Heading2"/>
      </w:pPr>
      <w:r>
        <w:t xml:space="preserve">DESEMBOLSO FINANCEIRO</w:t>
      </w:r>
    </w:p>
    <w:p>
      <w:pPr>
        <w:pStyle w:val="FirstParagraph"/>
      </w:pPr>
      <w:r>
        <w:t xml:space="preserve">O orçamento reflete a natureza mista do projeto: entregas estritamente normativas têm custo direto nulo, enquanto entregas de infraestrutura, produção audiovisual e eventos exigem custo de capacidade institucional e/ou contratação, a detalhar por estudo técnico específico.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Áreas</w:t>
            </w:r>
          </w:p>
        </w:tc>
        <w:tc>
          <w:tcPr/>
          <w:p>
            <w:pPr>
              <w:pStyle w:val="Compact"/>
            </w:pPr>
            <w:r>
              <w:t xml:space="preserve">Valor (R$)</w:t>
            </w:r>
          </w:p>
        </w:tc>
        <w:tc>
          <w:tcPr/>
          <w:p>
            <w:pPr>
              <w:pStyle w:val="Compact"/>
            </w:pPr>
            <w:r>
              <w:t xml:space="preserve">Observações / Detalhamento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Entregas normativas (KR 1.1, 1.2, 1.3)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Essencialmente normativas/administrativas, sem contratação externa.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de TI — HUB/portal, Moodle, BI (KR 2.1–2.3)</w:t>
            </w:r>
          </w:p>
        </w:tc>
        <w:tc>
          <w:tcPr/>
          <w:p>
            <w:pPr>
              <w:pStyle w:val="Compact"/>
            </w:pPr>
            <w:r>
              <w:t xml:space="preserve">A detalhar por estudo técnico</w:t>
            </w:r>
          </w:p>
        </w:tc>
        <w:tc>
          <w:tcPr/>
          <w:p>
            <w:pPr>
              <w:pStyle w:val="Compact"/>
            </w:pPr>
            <w:r>
              <w:t xml:space="preserve">Custo de capacidade do DTI; verificar reaproveitamento de soluções existentes; eventuais contratações sob estudo técnico.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Estúdio de gravação (KR 1.4)</w:t>
            </w:r>
          </w:p>
        </w:tc>
        <w:tc>
          <w:tcPr/>
          <w:p>
            <w:pPr>
              <w:pStyle w:val="Compact"/>
            </w:pPr>
            <w:r>
              <w:t xml:space="preserve">A detalhar por estudo técnico</w:t>
            </w:r>
          </w:p>
        </w:tc>
        <w:tc>
          <w:tcPr/>
          <w:p>
            <w:pPr>
              <w:pStyle w:val="Compact"/>
            </w:pPr>
            <w:r>
              <w:t xml:space="preserve">Implantação física: engenharia, equipamentos e instalação.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 audiovisual — Conversa com o CNJ! (KR 2.4)</w:t>
            </w:r>
          </w:p>
        </w:tc>
        <w:tc>
          <w:tcPr/>
          <w:p>
            <w:pPr>
              <w:pStyle w:val="Compact"/>
            </w:pPr>
            <w:r>
              <w:t xml:space="preserve">A detalhar por estudo técnico</w:t>
            </w:r>
          </w:p>
        </w:tc>
        <w:tc>
          <w:tcPr/>
          <w:p>
            <w:pPr>
              <w:pStyle w:val="Compact"/>
            </w:pPr>
            <w:r>
              <w:t xml:space="preserve">Gravação, edição, identidade visual e difusão; em articulação com a SCS.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Conhecimento e eventos (KR 3.1–3.3)</w:t>
            </w:r>
          </w:p>
        </w:tc>
        <w:tc>
          <w:tcPr/>
          <w:p>
            <w:pPr>
              <w:pStyle w:val="Compact"/>
            </w:pPr>
            <w:r>
              <w:t xml:space="preserve">Estimativa anual</w:t>
            </w:r>
          </w:p>
        </w:tc>
        <w:tc>
          <w:tcPr/>
          <w:p>
            <w:pPr>
              <w:pStyle w:val="Compact"/>
            </w:pPr>
            <w:r>
              <w:t xml:space="preserve">EPEJ: R$ 80–150 mil/ano; publicações/diagramação: R$ 30–60 mil/ano; plataforma/repositório: R$ 20–40 mil/ano; viagens de representação (IOJT, EJTN, eventos): R$ 30–50 mil/ano.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 consolidar</w:t>
            </w:r>
          </w:p>
        </w:tc>
        <w:tc>
          <w:tcPr/>
          <w:p>
            <w:pPr>
              <w:pStyle w:val="Compact"/>
            </w:pPr>
            <w:r>
              <w:t xml:space="preserve">Consolidar após estudos técnicos dos KRs com custo. Explorar fontes externas (cooperação PNUD, editais de fomento, acordos de cooperação técnica).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iscos"/>
    <w:p>
      <w:pPr>
        <w:pStyle w:val="Heading2"/>
      </w:pPr>
      <w:r>
        <w:t xml:space="preserve">RISCOS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Riscos identificados</w:t>
            </w:r>
          </w:p>
        </w:tc>
        <w:tc>
          <w:tcPr/>
          <w:p>
            <w:pPr>
              <w:pStyle w:val="Compact"/>
            </w:pPr>
            <w:r>
              <w:t xml:space="preserve">Ações de controle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disponibilidade de cargos/funções para a plena operacionalização da estrutura aprovada.</w:t>
            </w:r>
          </w:p>
        </w:tc>
        <w:tc>
          <w:tcPr/>
          <w:p>
            <w:pPr>
              <w:pStyle w:val="Compact"/>
            </w:pPr>
            <w:r>
              <w:t xml:space="preserve">Acompanhar a tramitação do PL de cargos; dialogar com SGP e DG sobre alternativas transitórias; registrar condicionantes nos atos normativos.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Retrabalho ou atraso por ajustes normativos exigidos pelas áreas técnicas (SG, DG, DIGE/SEORG, CONF, DTI).</w:t>
            </w:r>
          </w:p>
        </w:tc>
        <w:tc>
          <w:tcPr/>
          <w:p>
            <w:pPr>
              <w:pStyle w:val="Compact"/>
            </w:pPr>
            <w:r>
              <w:t xml:space="preserve">Alinhamentos contínuos; versões únicas e controladas; reuniões de harmonização antes da submissão final.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do DTI para HUB, Moodle e BI.</w:t>
            </w:r>
          </w:p>
        </w:tc>
        <w:tc>
          <w:tcPr/>
          <w:p>
            <w:pPr>
              <w:pStyle w:val="Compact"/>
            </w:pPr>
            <w:r>
              <w:t xml:space="preserve">Alinhar escopo tecnológico desde o início; verificar reaproveitamento de soluções; solicitar análise antecipada de viabilidade.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Dificuldade de agenda com conselheiros para a série "Conversa com o CNJ!".</w:t>
            </w:r>
          </w:p>
        </w:tc>
        <w:tc>
          <w:tcPr/>
          <w:p>
            <w:pPr>
              <w:pStyle w:val="Compact"/>
            </w:pPr>
            <w:r>
              <w:t xml:space="preserve">Planejamento antecipado e estrutura para gravação remota/híbrida; curadoria centralizada pela ENAJU.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 adesão das escolas judiciais ao HUB.</w:t>
            </w:r>
          </w:p>
        </w:tc>
        <w:tc>
          <w:tcPr/>
          <w:p>
            <w:pPr>
              <w:pStyle w:val="Compact"/>
            </w:pPr>
            <w:r>
              <w:t xml:space="preserve">Formalizar adesão por termo de cooperação; usar o Encontro Nacional como mobilizador; demonstrar valor (redução de duplicidade, especialização regional).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 utilização dos materiais pedagógicos e conteúdos produzidos.</w:t>
            </w:r>
          </w:p>
        </w:tc>
        <w:tc>
          <w:tcPr/>
          <w:p>
            <w:pPr>
              <w:pStyle w:val="Compact"/>
            </w:pPr>
            <w:r>
              <w:t xml:space="preserve">Integração nativa com certificação e trilhas; reaproveitamento em cursos e eventos oficiais; monitoramento por BI.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Sustentabilidade orçamentária plurianual das entregas de infraestrutura e conhecimento.</w:t>
            </w:r>
          </w:p>
        </w:tc>
        <w:tc>
          <w:tcPr/>
          <w:p>
            <w:pPr>
              <w:pStyle w:val="Compact"/>
            </w:pPr>
            <w:r>
              <w:t xml:space="preserve">Incorporar ao planejamento plurianual de capacitação; buscar cooperação técnica e fontes externas de fomento.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 de aprovação do projeto impactando o início em agosto/2026 e a meta de junho/2027.</w:t>
            </w:r>
          </w:p>
        </w:tc>
        <w:tc>
          <w:tcPr/>
          <w:p>
            <w:pPr>
              <w:pStyle w:val="Compact"/>
            </w:pPr>
            <w:r>
              <w:t xml:space="preserve">Submeter o TAP com antecedência; priorizar entregas de caminho crítico; manter paralelismo entre os três benefícios.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Lacunas de governança enquanto não consolidados os fluxos internos.</w:t>
            </w:r>
          </w:p>
        </w:tc>
        <w:tc>
          <w:tcPr/>
          <w:p>
            <w:pPr>
              <w:pStyle w:val="Compact"/>
            </w:pPr>
            <w:r>
              <w:t xml:space="preserve">Priorizar a publicação dos normativos do KR 1.1; indicar responsáveis provisórios; registrar condicionantes de implementação.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ssinatura-do-responsável"/>
    <w:p>
      <w:pPr>
        <w:pStyle w:val="Heading2"/>
      </w:pPr>
      <w:r>
        <w:t xml:space="preserve">ASSINATURA DO RESPONSÁVEL</w:t>
      </w:r>
    </w:p>
    <w:p>
      <w:pPr>
        <w:pStyle w:val="FirstParagraph"/>
      </w:pPr>
      <w:r>
        <w:t xml:space="preserve">Assinatura do Patrocinador ou Supervisor do projeto. A assinatura pode ser realizada no formulário ou no despacho de encaminhamento do SEI, ratificando as informações constantes no TAP, PGP ou TEP registrado no SEI em formato PDF.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2026-06-06T20:23:51Z</dcterms:created>
  <dcterms:modified xsi:type="dcterms:W3CDTF">2026-06-06T20:23:51Z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