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posta_de_projeto_pedagógico_enaju"/>
      <w:r>
        <w:rPr>
          <w:rFonts w:eastAsia="georgia" w:cs="georgia" w:ascii="georgia" w:hAnsi="georgia"/>
          <w:b/>
          <w:color w:val="000000"/>
          <w:sz w:val="39"/>
        </w:rPr>
        <w:t xml:space="preserve">Proposta de Projeto Pedagógico ENAJU</w:t>
      </w:r>
      <w:bookmarkEnd w:id="0"/>
    </w:p>
    <w:p>
      <w:pPr>
        <w:spacing w:line="360" w:before="315" w:after="105" w:lineRule="auto"/>
        <w:ind w:left="-30"/>
        <w:jc w:val="left"/>
      </w:pPr>
      <w:bookmarkStart w:id="1" w:name="programa_piloto_nacional_de_fores_437f2a"/>
      <w:r>
        <w:rPr>
          <w:rFonts w:eastAsia="georgia" w:cs="georgia" w:ascii="georgia" w:hAnsi="georgia"/>
          <w:b/>
          <w:color w:val="000000"/>
          <w:sz w:val="24"/>
        </w:rPr>
        <w:t xml:space="preserve">Programa Piloto Nacional de Foresight Estratégico para o Poder Judiciário</w:t>
      </w:r>
      <w:bookmarkEnd w:id="1"/>
    </w:p>
    <w:p>
      <w:pPr>
        <w:spacing w:line="360" w:after="210" w:lineRule="auto"/>
      </w:pPr>
      <w:r>
        <w:rPr>
          <w:rFonts w:eastAsia="georgia" w:cs="georgia" w:ascii="georgia" w:hAnsi="georgia"/>
          <w:b/>
          <w:color w:val="000000"/>
        </w:rPr>
        <w:t xml:space="preserve">Título sugerido do programa:</w:t>
      </w:r>
      <w:r>
        <w:rPr>
          <w:rFonts w:eastAsia="georgia" w:cs="georgia" w:ascii="georgia" w:hAnsi="georgia"/>
          <w:color w:val="000000"/>
        </w:rPr>
        <w:t xml:space="preserve"> Programa ENAJU–DGE de Formação de Formadores em Foresight Estratégico para a Justiça</w:t>
      </w:r>
    </w:p>
    <w:p>
      <w:pPr>
        <w:spacing w:line="360" w:before="315" w:after="105" w:lineRule="auto"/>
        <w:ind w:left="-30"/>
        <w:jc w:val="left"/>
      </w:pPr>
      <w:bookmarkStart w:id="2" w:name="apresentação"/>
      <w:r>
        <w:rPr>
          <w:rFonts w:eastAsia="georgia" w:cs="georgia" w:ascii="georgia" w:hAnsi="georgia"/>
          <w:b/>
          <w:color w:val="000000"/>
          <w:sz w:val="24"/>
        </w:rPr>
        <w:t xml:space="preserve">Apresentação</w:t>
      </w:r>
      <w:bookmarkEnd w:id="2"/>
    </w:p>
    <w:p>
      <w:pPr>
        <w:spacing w:line="360" w:after="210" w:lineRule="auto"/>
      </w:pPr>
      <w:r>
        <w:rPr>
          <w:rFonts w:eastAsia="georgia" w:cs="georgia" w:ascii="georgia" w:hAnsi="georgia"/>
          <w:color w:val="000000"/>
        </w:rPr>
        <w:t xml:space="preserve">A presente proposta organiza um projeto pedagógico completo para implementação, pela Escola Nacional do Judiciário (ENAJU), de um programa piloto de formação de formadores em foresight estratégico, com execução em parceria com o DGE do CNJ e posterior replicação pelas escolas judiciárias.[cite:22][cite:29][cite:75] O desenho responde à dupla necessidade de fortalecer a capacidade formativa das escolas e de conectar a formação à formulação e execução da Estratégia Nacional do Poder Judiciário.[cite:22][cite:57][cite:81]</w:t>
      </w:r>
    </w:p>
    <w:p>
      <w:pPr>
        <w:spacing w:line="360" w:after="210" w:lineRule="auto"/>
      </w:pPr>
      <w:r>
        <w:rPr>
          <w:rFonts w:eastAsia="georgia" w:cs="georgia" w:ascii="georgia" w:hAnsi="georgia"/>
          <w:color w:val="000000"/>
        </w:rPr>
        <w:t xml:space="preserve">A proposta adota como referência a lógica de formação por competências, amplamente utilizada nas escolas judiciais e nos programas de formação de formadores da Enfam, com ênfase no planejamento e execução de ações educativas, metodologias ativas e efeito multiplicador institucional.[cite:75][cite:76][cite:83][cite:86] Ao mesmo tempo, incorpora o método de previsão estratégica de Amy Webb, entendido como processo contínuo de leitura de sinais, identificação de convergências, construção de cenários e teste de estratégias para apoiar decisões organizacionais em contextos de incerteza.[cite:11][cite:12][cite:19]</w:t>
      </w:r>
    </w:p>
    <w:p>
      <w:pPr>
        <w:spacing w:line="360" w:before="315" w:after="105" w:lineRule="auto"/>
        <w:ind w:left="-30"/>
        <w:jc w:val="left"/>
      </w:pPr>
      <w:bookmarkStart w:id="3" w:name="justificativa_estratégica"/>
      <w:r>
        <w:rPr>
          <w:rFonts w:eastAsia="georgia" w:cs="georgia" w:ascii="georgia" w:hAnsi="georgia"/>
          <w:b/>
          <w:color w:val="000000"/>
          <w:sz w:val="24"/>
        </w:rPr>
        <w:t xml:space="preserve">Justificativa estratégica</w:t>
      </w:r>
      <w:bookmarkEnd w:id="3"/>
    </w:p>
    <w:p>
      <w:pPr>
        <w:spacing w:line="360" w:after="210" w:lineRule="auto"/>
      </w:pPr>
      <w:r>
        <w:rPr>
          <w:rFonts w:eastAsia="georgia" w:cs="georgia" w:ascii="georgia" w:hAnsi="georgia"/>
          <w:color w:val="000000"/>
        </w:rPr>
        <w:t xml:space="preserve">A ENAJU foi instituída como órgão central do Sistema Nacional de Formação e Aperfeiçoamento de Servidores do Poder Judiciário, com atribuições de planejar, coordenar e fomentar ações de capacitação, desenvolvimento de competências, inovação e intercâmbio de boas práticas entre tribunais.[cite:22] Esse mandato favorece a criação de um programa nacional que articule formação, inovação e estratégia em rede, sem depender de estruturas extensas em cada tribunal.[cite:22][cite:29]</w:t>
      </w:r>
    </w:p>
    <w:p>
      <w:pPr>
        <w:spacing w:line="360" w:after="210" w:lineRule="auto"/>
      </w:pPr>
      <w:r>
        <w:rPr>
          <w:rFonts w:eastAsia="georgia" w:cs="georgia" w:ascii="georgia" w:hAnsi="georgia"/>
          <w:color w:val="000000"/>
        </w:rPr>
        <w:t xml:space="preserve">A Estratégia Nacional do Poder Judiciário 2021–2026 orienta o planejamento dos tribunais por meio de missão, visão, macrodesafios e indicadores, o que torna especialmente relevante a criação de mecanismos que qualifiquem a leitura de contexto, antecipem riscos e apoiem escolhas institucionais de médio e longo prazo.[cite:57][cite:60] Nesse sentido, o foresight em políticas públicas e organizações é reconhecido como instrumento útil para ampliar a inteligência estratégica, conectar conhecimento, gestão e tomada de decisão e reduzir a dependência de respostas meramente reativas.[cite:61][cite:63]</w:t>
      </w:r>
    </w:p>
    <w:p>
      <w:pPr>
        <w:spacing w:line="360" w:after="210" w:lineRule="auto"/>
      </w:pPr>
      <w:r>
        <w:rPr>
          <w:rFonts w:eastAsia="georgia" w:cs="georgia" w:ascii="georgia" w:hAnsi="georgia"/>
          <w:color w:val="000000"/>
        </w:rPr>
        <w:t xml:space="preserve">Além disso, a experiência das escolas judiciais brasileiras e da Enfam mostra que a formação de formadores é um mecanismo consolidado para desenvolvimento de competências docentes, pedagógicas e de coordenação educacional, com efeito multiplicador e capilaridade institucional.[cite:75][cite:81][cite:82][cite:86] A proposta, portanto, usa um arranjo já legítimo no campo educacional do Judiciário, mas o orienta para um novo objeto: a capacidade de formar pessoas e equipes para pensar futuros da Justiça e traduzi-los em ações estratégicas.[cite:75][cite:83][cite:85]</w:t>
      </w:r>
    </w:p>
    <w:p>
      <w:pPr>
        <w:spacing w:line="360" w:before="315" w:after="105" w:lineRule="auto"/>
        <w:ind w:left="-30"/>
        <w:jc w:val="left"/>
      </w:pPr>
      <w:bookmarkStart w:id="4" w:name="finalidade_do_programa"/>
      <w:r>
        <w:rPr>
          <w:rFonts w:eastAsia="georgia" w:cs="georgia" w:ascii="georgia" w:hAnsi="georgia"/>
          <w:b/>
          <w:color w:val="000000"/>
          <w:sz w:val="24"/>
        </w:rPr>
        <w:t xml:space="preserve">Finalidade do programa</w:t>
      </w:r>
      <w:bookmarkEnd w:id="4"/>
    </w:p>
    <w:p>
      <w:pPr>
        <w:spacing w:line="360" w:after="210" w:lineRule="auto"/>
      </w:pPr>
      <w:r>
        <w:rPr>
          <w:rFonts w:eastAsia="georgia" w:cs="georgia" w:ascii="georgia" w:hAnsi="georgia"/>
          <w:color w:val="000000"/>
        </w:rPr>
        <w:t xml:space="preserve">Instituir, em caráter piloto, um ciclo nacional de formação de formadores em foresight estratégico, coordenado pela ENAJU em articulação com o DGE do CNJ, para capacitar escolas judiciais a conduzir ciclos locais de leitura de sinais, construção de cenários e formulação de respostas estratégicas conectadas à Estratégia Nacional do Poder Judiciário.[cite:22][cite:57][cite:75]</w:t>
      </w:r>
    </w:p>
    <w:p>
      <w:pPr>
        <w:spacing w:line="360" w:before="315" w:after="105" w:lineRule="auto"/>
        <w:ind w:left="-30"/>
        <w:jc w:val="left"/>
      </w:pPr>
      <w:bookmarkStart w:id="5" w:name="objetivo_geral"/>
      <w:r>
        <w:rPr>
          <w:rFonts w:eastAsia="georgia" w:cs="georgia" w:ascii="georgia" w:hAnsi="georgia"/>
          <w:b/>
          <w:color w:val="000000"/>
          <w:sz w:val="24"/>
        </w:rPr>
        <w:t xml:space="preserve">Objetivo geral</w:t>
      </w:r>
      <w:bookmarkEnd w:id="5"/>
    </w:p>
    <w:p>
      <w:pPr>
        <w:spacing w:line="360" w:after="210" w:lineRule="auto"/>
      </w:pPr>
      <w:r>
        <w:rPr>
          <w:rFonts w:eastAsia="georgia" w:cs="georgia" w:ascii="georgia" w:hAnsi="georgia"/>
          <w:color w:val="000000"/>
        </w:rPr>
        <w:t xml:space="preserve">Desenvolver, na rede de escolas judiciárias, competências pedagógicas e estratégicas para conceber, facilitar e executar ciclos educacionais de foresight aplicados a temas prioritários do Poder Judiciário, com alinhamento direto à Estratégia Nacional e às agendas de inovação e transformação institucional.[cite:22][cite:57][cite:75][cite:81]</w:t>
      </w:r>
    </w:p>
    <w:p>
      <w:pPr>
        <w:spacing w:line="360" w:before="315" w:after="105" w:lineRule="auto"/>
        <w:ind w:left="-30"/>
        <w:jc w:val="left"/>
      </w:pPr>
      <w:bookmarkStart w:id="6" w:name="objetivos_específicos"/>
      <w:r>
        <w:rPr>
          <w:rFonts w:eastAsia="georgia" w:cs="georgia" w:ascii="georgia" w:hAnsi="georgia"/>
          <w:b/>
          <w:color w:val="000000"/>
          <w:sz w:val="24"/>
        </w:rPr>
        <w:t xml:space="preserve">Objetivos específicos</w:t>
      </w:r>
      <w:bookmarkEnd w:id="6"/>
    </w:p>
    <w:p>
      <w:pPr>
        <w:numPr>
          <w:ilvl w:val="0"/>
          <w:numId w:val="1"/>
        </w:numPr>
        <w:spacing w:line="360" w:before="105" w:after="105" w:lineRule="auto"/>
      </w:pPr>
      <w:r>
        <w:rPr>
          <w:rFonts w:eastAsia="georgia" w:cs="georgia" w:ascii="georgia" w:hAnsi="georgia"/>
          <w:color w:val="000000"/>
          <w:sz w:val="21"/>
        </w:rPr>
        <w:t xml:space="preserve">Capacitar formadores e equipes técnico-pedagógicas das escolas para planejar e executar ações educativas orientadas por competências e metodologias ativas.[cite:75][cite:76][cite:81][cite:83]</w:t>
      </w:r>
    </w:p>
    <w:p>
      <w:pPr>
        <w:numPr>
          <w:ilvl w:val="0"/>
          <w:numId w:val="1"/>
        </w:numPr>
        <w:spacing w:line="360" w:before="105" w:after="105" w:lineRule="auto"/>
      </w:pPr>
      <w:r>
        <w:rPr>
          <w:rFonts w:eastAsia="georgia" w:cs="georgia" w:ascii="georgia" w:hAnsi="georgia"/>
          <w:color w:val="000000"/>
          <w:sz w:val="21"/>
        </w:rPr>
        <w:t xml:space="preserve">Introduzir fundamentos e ferramentas de foresight estratégico, com base em scanning, tendências, convergências, cenários e teste de estratégias.[cite:11][cite:12][cite:19]</w:t>
      </w:r>
    </w:p>
    <w:p>
      <w:pPr>
        <w:numPr>
          <w:ilvl w:val="0"/>
          <w:numId w:val="1"/>
        </w:numPr>
        <w:spacing w:line="360" w:before="105" w:after="105" w:lineRule="auto"/>
      </w:pPr>
      <w:r>
        <w:rPr>
          <w:rFonts w:eastAsia="georgia" w:cs="georgia" w:ascii="georgia" w:hAnsi="georgia"/>
          <w:color w:val="000000"/>
          <w:sz w:val="21"/>
        </w:rPr>
        <w:t xml:space="preserve">Criar um modelo pedagógico replicável pela rede de escolas judiciais, com materiais padronizados e espaço para adaptação local.[cite:75][cite:82][cite:85]</w:t>
      </w:r>
    </w:p>
    <w:p>
      <w:pPr>
        <w:numPr>
          <w:ilvl w:val="0"/>
          <w:numId w:val="1"/>
        </w:numPr>
        <w:spacing w:line="360" w:before="105" w:after="105" w:lineRule="auto"/>
      </w:pPr>
      <w:r>
        <w:rPr>
          <w:rFonts w:eastAsia="georgia" w:cs="georgia" w:ascii="georgia" w:hAnsi="georgia"/>
          <w:color w:val="000000"/>
          <w:sz w:val="21"/>
        </w:rPr>
        <w:t xml:space="preserve">Produzir insumos úteis à formulação, revisão e execução da Estratégia Nacional do Poder Judiciário, em articulação com o DGE do CNJ.[cite:57][cite:60][cite:63]</w:t>
      </w:r>
    </w:p>
    <w:p>
      <w:pPr>
        <w:numPr>
          <w:ilvl w:val="0"/>
          <w:numId w:val="1"/>
        </w:numPr>
        <w:spacing w:line="360" w:before="105" w:after="105" w:lineRule="auto"/>
      </w:pPr>
      <w:r>
        <w:rPr>
          <w:rFonts w:eastAsia="georgia" w:cs="georgia" w:ascii="georgia" w:hAnsi="georgia"/>
          <w:color w:val="000000"/>
          <w:sz w:val="21"/>
        </w:rPr>
        <w:t xml:space="preserve">Consolidar uma comunidade inicial de prática entre ENAJU, DGE e escolas judiciárias para acompanhamento contínuo de sinais e temas emergentes para a Justiça.[cite:22][cite:29][cite:63]</w:t>
      </w:r>
    </w:p>
    <w:p>
      <w:pPr>
        <w:spacing w:line="360" w:before="315" w:after="105" w:lineRule="auto"/>
        <w:ind w:left="-30"/>
        <w:jc w:val="left"/>
      </w:pPr>
      <w:bookmarkStart w:id="7" w:name="público_alvo"/>
      <w:r>
        <w:rPr>
          <w:rFonts w:eastAsia="georgia" w:cs="georgia" w:ascii="georgia" w:hAnsi="georgia"/>
          <w:b/>
          <w:color w:val="000000"/>
          <w:sz w:val="24"/>
        </w:rPr>
        <w:t xml:space="preserve">Público-alvo</w:t>
      </w:r>
      <w:bookmarkEnd w:id="7"/>
    </w:p>
    <w:p>
      <w:pPr>
        <w:numPr>
          <w:ilvl w:val="0"/>
          <w:numId w:val="2"/>
        </w:numPr>
        <w:spacing w:line="360" w:before="105" w:after="105" w:lineRule="auto"/>
      </w:pPr>
      <w:r>
        <w:rPr>
          <w:rFonts w:eastAsia="georgia" w:cs="georgia" w:ascii="georgia" w:hAnsi="georgia"/>
          <w:color w:val="000000"/>
          <w:sz w:val="21"/>
        </w:rPr>
        <w:t xml:space="preserve">Servidores e magistrados que atuam no planejamento e na execução de ações de formação nas escolas judiciais.[cite:75][cite:81]</w:t>
      </w:r>
    </w:p>
    <w:p>
      <w:pPr>
        <w:numPr>
          <w:ilvl w:val="0"/>
          <w:numId w:val="2"/>
        </w:numPr>
        <w:spacing w:line="360" w:before="105" w:after="105" w:lineRule="auto"/>
      </w:pPr>
      <w:r>
        <w:rPr>
          <w:rFonts w:eastAsia="georgia" w:cs="georgia" w:ascii="georgia" w:hAnsi="georgia"/>
          <w:color w:val="000000"/>
          <w:sz w:val="21"/>
        </w:rPr>
        <w:t xml:space="preserve">Integrantes de equipes técnico-pedagógicas, coordenações educacionais e núcleos de formação de formadores.[cite:81][cite:83]</w:t>
      </w:r>
    </w:p>
    <w:p>
      <w:pPr>
        <w:numPr>
          <w:ilvl w:val="0"/>
          <w:numId w:val="2"/>
        </w:numPr>
        <w:spacing w:line="360" w:before="105" w:after="105" w:lineRule="auto"/>
      </w:pPr>
      <w:r>
        <w:rPr>
          <w:rFonts w:eastAsia="georgia" w:cs="georgia" w:ascii="georgia" w:hAnsi="georgia"/>
          <w:color w:val="000000"/>
          <w:sz w:val="21"/>
        </w:rPr>
        <w:t xml:space="preserve">Profissionais vinculados a planejamento estratégico, inovação, dados, transformação digital ou laboratórios de inovação dos tribunais, desde que tenham papel de multiplicação educacional ou de apoio ao ciclo local.[cite:22][cite:82]</w:t>
      </w:r>
    </w:p>
    <w:p>
      <w:pPr>
        <w:spacing w:line="360" w:before="315" w:after="105" w:lineRule="auto"/>
        <w:ind w:left="-30"/>
        <w:jc w:val="left"/>
      </w:pPr>
      <w:bookmarkStart w:id="8" w:name="problema_educacional_e_institucional"/>
      <w:r>
        <w:rPr>
          <w:rFonts w:eastAsia="georgia" w:cs="georgia" w:ascii="georgia" w:hAnsi="georgia"/>
          <w:b/>
          <w:color w:val="000000"/>
          <w:sz w:val="24"/>
        </w:rPr>
        <w:t xml:space="preserve">Problema educacional e institucional</w:t>
      </w:r>
      <w:bookmarkEnd w:id="8"/>
    </w:p>
    <w:p>
      <w:pPr>
        <w:spacing w:line="360" w:after="210" w:lineRule="auto"/>
      </w:pPr>
      <w:r>
        <w:rPr>
          <w:rFonts w:eastAsia="georgia" w:cs="georgia" w:ascii="georgia" w:hAnsi="georgia"/>
          <w:color w:val="000000"/>
        </w:rPr>
        <w:t xml:space="preserve">As escolas judiciais possuem tradição em formação continuada, desenvolvimento de competências e formação de formadores, mas nem sempre dispõem de metodologias estruturadas para transformar temas emergentes e incertezas estratégicas em objetos pedagógicos e em insumos para o planejamento institucional.[cite:75][cite:80][cite:85] Em paralelo, a Estratégia Nacional demanda capacidade crescente de leitura de mudanças sociais, tecnológicas e organizacionais, especialmente em temas como IA, acesso à Justiça, transformação digital, gestão e inovação.[cite:57][cite:60][cite:63]</w:t>
      </w:r>
    </w:p>
    <w:p>
      <w:pPr>
        <w:spacing w:line="360" w:after="210" w:lineRule="auto"/>
      </w:pPr>
      <w:r>
        <w:rPr>
          <w:rFonts w:eastAsia="georgia" w:cs="georgia" w:ascii="georgia" w:hAnsi="georgia"/>
          <w:color w:val="000000"/>
        </w:rPr>
        <w:t xml:space="preserve">O projeto enfrenta esse problema por meio da criação de um ciclo pedagógico que vincula aprendizagem, produção colaborativa de conhecimento e aplicação institucional, reduzindo a distância entre capacitação e estratégia.[cite:61][cite:63][cite:85]</w:t>
      </w:r>
    </w:p>
    <w:p>
      <w:pPr>
        <w:spacing w:line="360" w:before="315" w:after="105" w:lineRule="auto"/>
        <w:ind w:left="-30"/>
        <w:jc w:val="left"/>
      </w:pPr>
      <w:bookmarkStart w:id="9" w:name="competências_a_desenvolver"/>
      <w:r>
        <w:rPr>
          <w:rFonts w:eastAsia="georgia" w:cs="georgia" w:ascii="georgia" w:hAnsi="georgia"/>
          <w:b/>
          <w:color w:val="000000"/>
          <w:sz w:val="24"/>
        </w:rPr>
        <w:t xml:space="preserve">Competências a desenvolver</w:t>
      </w:r>
      <w:bookmarkEnd w:id="9"/>
    </w:p>
    <w:p>
      <w:pPr>
        <w:spacing w:line="360" w:after="210" w:lineRule="auto"/>
      </w:pPr>
      <w:r>
        <w:rPr>
          <w:rFonts w:eastAsia="georgia" w:cs="georgia" w:ascii="georgia" w:hAnsi="georgia"/>
          <w:color w:val="000000"/>
        </w:rPr>
        <w:t xml:space="preserve">A proposta considera dois grupos de competências já reconhecidos na formação de formadores: as relativas ao conteúdo a ser ensinado e as relativas às habilidades para ensinar.[cite:75] A partir disso, organiza um perfil de competências do formador de foresight para escolas judiciais.</w:t>
      </w:r>
    </w:p>
    <w:p>
      <w:pPr>
        <w:spacing w:line="360" w:before="315" w:after="105" w:lineRule="auto"/>
        <w:ind w:left="-30"/>
        <w:jc w:val="left"/>
      </w:pPr>
      <w:bookmarkStart w:id="10" w:name="bm_1_competências_pedagógicas"/>
      <w:r>
        <w:rPr>
          <w:rFonts w:eastAsia="georgia" w:cs="georgia" w:ascii="georgia" w:hAnsi="georgia"/>
          <w:b/>
          <w:color w:val="000000"/>
          <w:sz w:val="24"/>
        </w:rPr>
        <w:t xml:space="preserve">1. Competências pedagógicas</w:t>
      </w:r>
      <w:bookmarkEnd w:id="10"/>
    </w:p>
    <w:p>
      <w:pPr>
        <w:numPr>
          <w:ilvl w:val="0"/>
          <w:numId w:val="3"/>
        </w:numPr>
        <w:spacing w:line="360" w:before="105" w:after="105" w:lineRule="auto"/>
      </w:pPr>
      <w:r>
        <w:rPr>
          <w:rFonts w:eastAsia="georgia" w:cs="georgia" w:ascii="georgia" w:hAnsi="georgia"/>
          <w:color w:val="000000"/>
          <w:sz w:val="21"/>
        </w:rPr>
        <w:t xml:space="preserve">Planejar ações educativas orientadas por competências, articulando objetivos, conteúdos, metodologias e avaliação.[cite:75][cite:76][cite:83]</w:t>
      </w:r>
    </w:p>
    <w:p>
      <w:pPr>
        <w:numPr>
          <w:ilvl w:val="0"/>
          <w:numId w:val="3"/>
        </w:numPr>
        <w:spacing w:line="360" w:before="105" w:after="105" w:lineRule="auto"/>
      </w:pPr>
      <w:r>
        <w:rPr>
          <w:rFonts w:eastAsia="georgia" w:cs="georgia" w:ascii="georgia" w:hAnsi="georgia"/>
          <w:color w:val="000000"/>
          <w:sz w:val="21"/>
        </w:rPr>
        <w:t xml:space="preserve">Estruturar trilhas formativas e oficinas com uso de metodologias ativas e aprendizagem colaborativa.[cite:76][cite:83][cite:86]</w:t>
      </w:r>
    </w:p>
    <w:p>
      <w:pPr>
        <w:numPr>
          <w:ilvl w:val="0"/>
          <w:numId w:val="3"/>
        </w:numPr>
        <w:spacing w:line="360" w:before="105" w:after="105" w:lineRule="auto"/>
      </w:pPr>
      <w:r>
        <w:rPr>
          <w:rFonts w:eastAsia="georgia" w:cs="georgia" w:ascii="georgia" w:hAnsi="georgia"/>
          <w:color w:val="000000"/>
          <w:sz w:val="21"/>
        </w:rPr>
        <w:t xml:space="preserve">Facilitar processos de aprendizagem entre pares no contexto das escolas judiciais.[cite:75][cite:79][cite:86]</w:t>
      </w:r>
    </w:p>
    <w:p>
      <w:pPr>
        <w:numPr>
          <w:ilvl w:val="0"/>
          <w:numId w:val="3"/>
        </w:numPr>
        <w:spacing w:line="360" w:before="105" w:after="105" w:lineRule="auto"/>
      </w:pPr>
      <w:r>
        <w:rPr>
          <w:rFonts w:eastAsia="georgia" w:cs="georgia" w:ascii="georgia" w:hAnsi="georgia"/>
          <w:color w:val="000000"/>
          <w:sz w:val="21"/>
        </w:rPr>
        <w:t xml:space="preserve">Produzir materiais didáticos e roteiros de atividades adequados à formação continuada de magistrados e servidores.[cite:81][cite:82][cite:83]</w:t>
      </w:r>
    </w:p>
    <w:p>
      <w:pPr>
        <w:spacing w:line="360" w:before="315" w:after="105" w:lineRule="auto"/>
        <w:ind w:left="-30"/>
        <w:jc w:val="left"/>
      </w:pPr>
      <w:bookmarkStart w:id="11" w:name="bm_2_competências_analíticas_e_es_41a7e5"/>
      <w:r>
        <w:rPr>
          <w:rFonts w:eastAsia="georgia" w:cs="georgia" w:ascii="georgia" w:hAnsi="georgia"/>
          <w:b/>
          <w:color w:val="000000"/>
          <w:sz w:val="24"/>
        </w:rPr>
        <w:t xml:space="preserve">2. Competências analíticas e estratégicas</w:t>
      </w:r>
      <w:bookmarkEnd w:id="11"/>
    </w:p>
    <w:p>
      <w:pPr>
        <w:numPr>
          <w:ilvl w:val="0"/>
          <w:numId w:val="4"/>
        </w:numPr>
        <w:spacing w:line="360" w:before="105" w:after="105" w:lineRule="auto"/>
      </w:pPr>
      <w:r>
        <w:rPr>
          <w:rFonts w:eastAsia="georgia" w:cs="georgia" w:ascii="georgia" w:hAnsi="georgia"/>
          <w:color w:val="000000"/>
          <w:sz w:val="21"/>
        </w:rPr>
        <w:t xml:space="preserve">Identificar sinais, tendências e fatores de mudança relevantes para o Poder Judiciário.[cite:11][cite:12][cite:61]</w:t>
      </w:r>
    </w:p>
    <w:p>
      <w:pPr>
        <w:numPr>
          <w:ilvl w:val="0"/>
          <w:numId w:val="4"/>
        </w:numPr>
        <w:spacing w:line="360" w:before="105" w:after="105" w:lineRule="auto"/>
      </w:pPr>
      <w:r>
        <w:rPr>
          <w:rFonts w:eastAsia="georgia" w:cs="georgia" w:ascii="georgia" w:hAnsi="georgia"/>
          <w:color w:val="000000"/>
          <w:sz w:val="21"/>
        </w:rPr>
        <w:t xml:space="preserve">Compreender convergências entre tecnologia, sociedade, regulação, organização do trabalho e demandas de acesso à Justiça.[cite:11][cite:19][cite:63]</w:t>
      </w:r>
    </w:p>
    <w:p>
      <w:pPr>
        <w:numPr>
          <w:ilvl w:val="0"/>
          <w:numId w:val="4"/>
        </w:numPr>
        <w:spacing w:line="360" w:before="105" w:after="105" w:lineRule="auto"/>
      </w:pPr>
      <w:r>
        <w:rPr>
          <w:rFonts w:eastAsia="georgia" w:cs="georgia" w:ascii="georgia" w:hAnsi="georgia"/>
          <w:color w:val="000000"/>
          <w:sz w:val="21"/>
        </w:rPr>
        <w:t xml:space="preserve">Construir cenários plausíveis para apoiar escolhas estratégicas e decisões institucionais.[cite:11][cite:12]</w:t>
      </w:r>
    </w:p>
    <w:p>
      <w:pPr>
        <w:numPr>
          <w:ilvl w:val="0"/>
          <w:numId w:val="4"/>
        </w:numPr>
        <w:spacing w:line="360" w:before="105" w:after="105" w:lineRule="auto"/>
      </w:pPr>
      <w:r>
        <w:rPr>
          <w:rFonts w:eastAsia="georgia" w:cs="georgia" w:ascii="georgia" w:hAnsi="georgia"/>
          <w:color w:val="000000"/>
          <w:sz w:val="21"/>
        </w:rPr>
        <w:t xml:space="preserve">Traduzir cenários em implicações, riscos, oportunidades e opções de ação para tribunais e escolas judiciais.[cite:11][cite:12][cite:63]</w:t>
      </w:r>
    </w:p>
    <w:p>
      <w:pPr>
        <w:spacing w:line="360" w:before="315" w:after="105" w:lineRule="auto"/>
        <w:ind w:left="-30"/>
        <w:jc w:val="left"/>
      </w:pPr>
      <w:bookmarkStart w:id="12" w:name="bm_3_competências_de_articulação_305c4f"/>
      <w:r>
        <w:rPr>
          <w:rFonts w:eastAsia="georgia" w:cs="georgia" w:ascii="georgia" w:hAnsi="georgia"/>
          <w:b/>
          <w:color w:val="000000"/>
          <w:sz w:val="24"/>
        </w:rPr>
        <w:t xml:space="preserve">3. Competências de articulação institucional</w:t>
      </w:r>
      <w:bookmarkEnd w:id="12"/>
    </w:p>
    <w:p>
      <w:pPr>
        <w:numPr>
          <w:ilvl w:val="0"/>
          <w:numId w:val="5"/>
        </w:numPr>
        <w:spacing w:line="360" w:before="105" w:after="105" w:lineRule="auto"/>
      </w:pPr>
      <w:r>
        <w:rPr>
          <w:rFonts w:eastAsia="georgia" w:cs="georgia" w:ascii="georgia" w:hAnsi="georgia"/>
          <w:color w:val="000000"/>
          <w:sz w:val="21"/>
        </w:rPr>
        <w:t xml:space="preserve">Relacionar os produtos do ciclo pedagógico aos macrodesafios, diretrizes e instrumentos da Estratégia Nacional do Poder Judiciário.[cite:57][cite:60]</w:t>
      </w:r>
    </w:p>
    <w:p>
      <w:pPr>
        <w:numPr>
          <w:ilvl w:val="0"/>
          <w:numId w:val="5"/>
        </w:numPr>
        <w:spacing w:line="360" w:before="105" w:after="105" w:lineRule="auto"/>
      </w:pPr>
      <w:r>
        <w:rPr>
          <w:rFonts w:eastAsia="georgia" w:cs="georgia" w:ascii="georgia" w:hAnsi="georgia"/>
          <w:color w:val="000000"/>
          <w:sz w:val="21"/>
        </w:rPr>
        <w:t xml:space="preserve">Dialogar com áreas de planejamento, inovação e gestão para transformar resultados pedagógicos em insumos institucionais.[cite:22][cite:63]</w:t>
      </w:r>
    </w:p>
    <w:p>
      <w:pPr>
        <w:numPr>
          <w:ilvl w:val="0"/>
          <w:numId w:val="5"/>
        </w:numPr>
        <w:spacing w:line="360" w:before="105" w:after="105" w:lineRule="auto"/>
      </w:pPr>
      <w:r>
        <w:rPr>
          <w:rFonts w:eastAsia="georgia" w:cs="georgia" w:ascii="georgia" w:hAnsi="georgia"/>
          <w:color w:val="000000"/>
          <w:sz w:val="21"/>
        </w:rPr>
        <w:t xml:space="preserve">Coordenar processos de multiplicação local nas escolas, com foco em aplicabilidade e sustentabilidade.[cite:75][cite:81][cite:82]</w:t>
      </w:r>
    </w:p>
    <w:p>
      <w:pPr>
        <w:spacing w:line="360" w:before="315" w:after="105" w:lineRule="auto"/>
        <w:ind w:left="-30"/>
        <w:jc w:val="left"/>
      </w:pPr>
      <w:bookmarkStart w:id="13" w:name="princípios_pedagógicos"/>
      <w:r>
        <w:rPr>
          <w:rFonts w:eastAsia="georgia" w:cs="georgia" w:ascii="georgia" w:hAnsi="georgia"/>
          <w:b/>
          <w:color w:val="000000"/>
          <w:sz w:val="24"/>
        </w:rPr>
        <w:t xml:space="preserve">Princípios pedagógicos</w:t>
      </w:r>
      <w:bookmarkEnd w:id="13"/>
    </w:p>
    <w:p>
      <w:pPr>
        <w:spacing w:line="360" w:after="210" w:lineRule="auto"/>
      </w:pPr>
      <w:r>
        <w:rPr>
          <w:rFonts w:eastAsia="georgia" w:cs="georgia" w:ascii="georgia" w:hAnsi="georgia"/>
          <w:color w:val="000000"/>
        </w:rPr>
        <w:t xml:space="preserve">O programa deve ser guiado pelos seguintes princípios:</w:t>
      </w:r>
    </w:p>
    <w:p>
      <w:pPr>
        <w:numPr>
          <w:ilvl w:val="0"/>
          <w:numId w:val="6"/>
        </w:numPr>
        <w:spacing w:line="360" w:before="105" w:after="105" w:lineRule="auto"/>
      </w:pPr>
      <w:r>
        <w:rPr>
          <w:rFonts w:eastAsia="georgia" w:cs="georgia" w:ascii="georgia" w:hAnsi="georgia"/>
          <w:b/>
          <w:color w:val="000000"/>
          <w:sz w:val="21"/>
        </w:rPr>
        <w:t xml:space="preserve">Formação por competências</w:t>
      </w:r>
      <w:r>
        <w:rPr>
          <w:rFonts w:eastAsia="georgia" w:cs="georgia" w:ascii="georgia" w:hAnsi="georgia"/>
          <w:color w:val="000000"/>
          <w:sz w:val="21"/>
        </w:rPr>
        <w:t xml:space="preserve">, em consonância com as diretrizes de formação de formadores observadas nas escolas judiciais.[cite:75][cite:76][cite:83]</w:t>
      </w:r>
    </w:p>
    <w:p>
      <w:pPr>
        <w:numPr>
          <w:ilvl w:val="0"/>
          <w:numId w:val="6"/>
        </w:numPr>
        <w:spacing w:line="360" w:before="105" w:after="105" w:lineRule="auto"/>
      </w:pPr>
      <w:r>
        <w:rPr>
          <w:rFonts w:eastAsia="georgia" w:cs="georgia" w:ascii="georgia" w:hAnsi="georgia"/>
          <w:b/>
          <w:color w:val="000000"/>
          <w:sz w:val="21"/>
        </w:rPr>
        <w:t xml:space="preserve">Aprendizagem entre pares</w:t>
      </w:r>
      <w:r>
        <w:rPr>
          <w:rFonts w:eastAsia="georgia" w:cs="georgia" w:ascii="georgia" w:hAnsi="georgia"/>
          <w:color w:val="000000"/>
          <w:sz w:val="21"/>
        </w:rPr>
        <w:t xml:space="preserve">, considerando que a formação judicial depende fortemente da docência no contexto da magistratura e do compartilhamento de práticas entre profissionais do sistema de Justiça.[cite:75][cite:79][cite:83]</w:t>
      </w:r>
    </w:p>
    <w:p>
      <w:pPr>
        <w:numPr>
          <w:ilvl w:val="0"/>
          <w:numId w:val="6"/>
        </w:numPr>
        <w:spacing w:line="360" w:before="105" w:after="105" w:lineRule="auto"/>
      </w:pPr>
      <w:r>
        <w:rPr>
          <w:rFonts w:eastAsia="georgia" w:cs="georgia" w:ascii="georgia" w:hAnsi="georgia"/>
          <w:b/>
          <w:color w:val="000000"/>
          <w:sz w:val="21"/>
        </w:rPr>
        <w:t xml:space="preserve">Metodologias ativas</w:t>
      </w:r>
      <w:r>
        <w:rPr>
          <w:rFonts w:eastAsia="georgia" w:cs="georgia" w:ascii="georgia" w:hAnsi="georgia"/>
          <w:color w:val="000000"/>
          <w:sz w:val="21"/>
        </w:rPr>
        <w:t xml:space="preserve">, com oficinas, laboratórios, exercícios orientados e produção aplicada.[cite:76][cite:83][cite:86]</w:t>
      </w:r>
    </w:p>
    <w:p>
      <w:pPr>
        <w:numPr>
          <w:ilvl w:val="0"/>
          <w:numId w:val="6"/>
        </w:numPr>
        <w:spacing w:line="360" w:before="105" w:after="105" w:lineRule="auto"/>
      </w:pPr>
      <w:r>
        <w:rPr>
          <w:rFonts w:eastAsia="georgia" w:cs="georgia" w:ascii="georgia" w:hAnsi="georgia"/>
          <w:b/>
          <w:color w:val="000000"/>
          <w:sz w:val="21"/>
        </w:rPr>
        <w:t xml:space="preserve">Integração entre teoria e prática</w:t>
      </w:r>
      <w:r>
        <w:rPr>
          <w:rFonts w:eastAsia="georgia" w:cs="georgia" w:ascii="georgia" w:hAnsi="georgia"/>
          <w:color w:val="000000"/>
          <w:sz w:val="21"/>
        </w:rPr>
        <w:t xml:space="preserve">, ligando leitura de futuro, desenho pedagógico e implicações institucionais.[cite:11][cite:17][cite:85]</w:t>
      </w:r>
    </w:p>
    <w:p>
      <w:pPr>
        <w:numPr>
          <w:ilvl w:val="0"/>
          <w:numId w:val="6"/>
        </w:numPr>
        <w:spacing w:line="360" w:before="105" w:after="105" w:lineRule="auto"/>
      </w:pPr>
      <w:r>
        <w:rPr>
          <w:rFonts w:eastAsia="georgia" w:cs="georgia" w:ascii="georgia" w:hAnsi="georgia"/>
          <w:b/>
          <w:color w:val="000000"/>
          <w:sz w:val="21"/>
        </w:rPr>
        <w:t xml:space="preserve">Ciclo contínuo de aprendizagem institucional</w:t>
      </w:r>
      <w:r>
        <w:rPr>
          <w:rFonts w:eastAsia="georgia" w:cs="georgia" w:ascii="georgia" w:hAnsi="georgia"/>
          <w:color w:val="000000"/>
          <w:sz w:val="21"/>
        </w:rPr>
        <w:t xml:space="preserve">, em linha com a ideia de que o projeto pedagógico deve permanecer vivo, permanentemente avaliado e ajustado.[cite:80][cite:85]</w:t>
      </w:r>
    </w:p>
    <w:p>
      <w:pPr>
        <w:spacing w:line="360" w:before="315" w:after="105" w:lineRule="auto"/>
        <w:ind w:left="-30"/>
        <w:jc w:val="left"/>
      </w:pPr>
      <w:bookmarkStart w:id="14" w:name="estrutura_do_projeto_pedagógico"/>
      <w:r>
        <w:rPr>
          <w:rFonts w:eastAsia="georgia" w:cs="georgia" w:ascii="georgia" w:hAnsi="georgia"/>
          <w:b/>
          <w:color w:val="000000"/>
          <w:sz w:val="24"/>
        </w:rPr>
        <w:t xml:space="preserve">Estrutura do projeto pedagógico</w:t>
      </w:r>
      <w:bookmarkEnd w:id="14"/>
    </w:p>
    <w:p>
      <w:pPr>
        <w:spacing w:line="360" w:after="210" w:lineRule="auto"/>
      </w:pPr>
      <w:r>
        <w:rPr>
          <w:rFonts w:eastAsia="georgia" w:cs="georgia" w:ascii="georgia" w:hAnsi="georgia"/>
          <w:color w:val="000000"/>
        </w:rPr>
        <w:t xml:space="preserve">A proposta está organizada em dois níveis complementares: um nível nacional, sob coordenação da ENAJU em parceria com o DGE, e um nível local, executado pelas escolas judiciárias participantes.[cite:22][cite:29][cite:57]</w:t>
      </w:r>
    </w:p>
    <w:p>
      <w:pPr>
        <w:spacing w:line="360" w:before="315" w:after="105" w:lineRule="auto"/>
        <w:ind w:left="-30"/>
        <w:jc w:val="left"/>
      </w:pPr>
      <w:bookmarkStart w:id="15" w:name="nível_1_enaju_dge"/>
      <w:r>
        <w:rPr>
          <w:rFonts w:eastAsia="georgia" w:cs="georgia" w:ascii="georgia" w:hAnsi="georgia"/>
          <w:b/>
          <w:color w:val="000000"/>
          <w:sz w:val="24"/>
        </w:rPr>
        <w:t xml:space="preserve">Nível 1 – ENAJU + DGE</w:t>
      </w:r>
      <w:bookmarkEnd w:id="15"/>
    </w:p>
    <w:p>
      <w:pPr>
        <w:spacing w:line="360" w:after="210" w:lineRule="auto"/>
      </w:pPr>
      <w:r>
        <w:rPr>
          <w:rFonts w:eastAsia="georgia" w:cs="georgia" w:ascii="georgia" w:hAnsi="georgia"/>
          <w:color w:val="000000"/>
        </w:rPr>
        <w:t xml:space="preserve">A ENAJU realiza a formação de formadores, produz os materiais pedagógicos, organiza o ambiente virtual de aprendizagem e consolida os resultados do piloto.[cite:22][cite:29][cite:75] O DGE atua como instância de alinhamento estratégico, ajudando a vincular o projeto aos macrodesafios e ao ciclo de formulação e execução da Estratégia Nacional.[cite:57][cite:60][cite:63]</w:t>
      </w:r>
    </w:p>
    <w:p>
      <w:pPr>
        <w:spacing w:line="360" w:before="315" w:after="105" w:lineRule="auto"/>
        <w:ind w:left="-30"/>
        <w:jc w:val="left"/>
      </w:pPr>
      <w:bookmarkStart w:id="16" w:name="nível_2_escolas_judiciárias"/>
      <w:r>
        <w:rPr>
          <w:rFonts w:eastAsia="georgia" w:cs="georgia" w:ascii="georgia" w:hAnsi="georgia"/>
          <w:b/>
          <w:color w:val="000000"/>
          <w:sz w:val="24"/>
        </w:rPr>
        <w:t xml:space="preserve">Nível 2 – Escolas judiciárias</w:t>
      </w:r>
      <w:bookmarkEnd w:id="16"/>
    </w:p>
    <w:p>
      <w:pPr>
        <w:spacing w:line="360" w:after="210" w:lineRule="auto"/>
      </w:pPr>
      <w:r>
        <w:rPr>
          <w:rFonts w:eastAsia="georgia" w:cs="georgia" w:ascii="georgia" w:hAnsi="georgia"/>
          <w:color w:val="000000"/>
        </w:rPr>
        <w:t xml:space="preserve">Cada escola participante executa um ciclo pedagógico próprio, em escala reduzida, com base nos materiais fornecidos pela ENAJU, produzindo sinais, tendências, cenários e opções estratégicas sobre o tema definido para a edição.[cite:75][cite:82][cite:85] O foco é garantir replicação com autonomia relativa, sem exigir desenho metodológico integral por parte de cada escola.[cite:75][cite:81]</w:t>
      </w:r>
    </w:p>
    <w:p>
      <w:pPr>
        <w:spacing w:line="360" w:before="315" w:after="105" w:lineRule="auto"/>
        <w:ind w:left="-30"/>
        <w:jc w:val="left"/>
      </w:pPr>
      <w:bookmarkStart w:id="17" w:name="tema_do_piloto"/>
      <w:r>
        <w:rPr>
          <w:rFonts w:eastAsia="georgia" w:cs="georgia" w:ascii="georgia" w:hAnsi="georgia"/>
          <w:b/>
          <w:color w:val="000000"/>
          <w:sz w:val="24"/>
        </w:rPr>
        <w:t xml:space="preserve">Tema do piloto</w:t>
      </w:r>
      <w:bookmarkEnd w:id="17"/>
    </w:p>
    <w:p>
      <w:pPr>
        <w:spacing w:line="360" w:after="210" w:lineRule="auto"/>
      </w:pPr>
      <w:r>
        <w:rPr>
          <w:rFonts w:eastAsia="georgia" w:cs="georgia" w:ascii="georgia" w:hAnsi="georgia"/>
          <w:color w:val="000000"/>
        </w:rPr>
        <w:t xml:space="preserve">Para maximizar relevância e executabilidade, recomenda-se que a primeira edição trabalhe um recorte nacional comum, como </w:t>
      </w:r>
      <w:r>
        <w:rPr>
          <w:rFonts w:eastAsia="georgia" w:cs="georgia" w:ascii="georgia" w:hAnsi="georgia"/>
          <w:b/>
          <w:color w:val="000000"/>
        </w:rPr>
        <w:t xml:space="preserve">IA e acesso à Justiça</w:t>
      </w:r>
      <w:r>
        <w:rPr>
          <w:rFonts w:eastAsia="georgia" w:cs="georgia" w:ascii="georgia" w:hAnsi="georgia"/>
          <w:color w:val="000000"/>
        </w:rPr>
        <w:t xml:space="preserve">, por ser tema transversal à transformação digital do Judiciário e à agenda estratégica contemporânea.[cite:57][cite:61][cite:63] Ainda assim, o desenho permite que edições futuras adotem outros temas anuais definidos conjuntamente por ENAJU e DGE.[cite:57][cite:60]</w:t>
      </w:r>
    </w:p>
    <w:p>
      <w:pPr>
        <w:spacing w:line="360" w:before="315" w:after="105" w:lineRule="auto"/>
        <w:ind w:left="-30"/>
        <w:jc w:val="left"/>
      </w:pPr>
      <w:bookmarkStart w:id="18" w:name="arquitetura_curricular"/>
      <w:r>
        <w:rPr>
          <w:rFonts w:eastAsia="georgia" w:cs="georgia" w:ascii="georgia" w:hAnsi="georgia"/>
          <w:b/>
          <w:color w:val="000000"/>
          <w:sz w:val="24"/>
        </w:rPr>
        <w:t xml:space="preserve">Arquitetura curricular</w:t>
      </w:r>
      <w:bookmarkEnd w:id="18"/>
    </w:p>
    <w:p>
      <w:pPr>
        <w:spacing w:line="360" w:after="210" w:lineRule="auto"/>
      </w:pPr>
      <w:r>
        <w:rPr>
          <w:rFonts w:eastAsia="georgia" w:cs="georgia" w:ascii="georgia" w:hAnsi="georgia"/>
          <w:color w:val="000000"/>
        </w:rPr>
        <w:t xml:space="preserve">Sugere-se uma microtrilha nacional de 24 horas, combinando momentos síncronos e assíncronos, seguida de um ciclo local simplificado em cada escola participante.[cite:29][cite:75][cite:84]</w:t>
      </w:r>
    </w:p>
    <w:p>
      <w:pPr>
        <w:spacing w:line="360" w:before="315" w:after="105" w:lineRule="auto"/>
        <w:ind w:left="-30"/>
        <w:jc w:val="left"/>
      </w:pPr>
      <w:bookmarkStart w:id="19" w:name="módulo_1_fundamentos_de_formação_c4c5ff"/>
      <w:r>
        <w:rPr>
          <w:rFonts w:eastAsia="georgia" w:cs="georgia" w:ascii="georgia" w:hAnsi="georgia"/>
          <w:b/>
          <w:color w:val="000000"/>
          <w:sz w:val="24"/>
        </w:rPr>
        <w:t xml:space="preserve">Módulo 1 – Fundamentos de formação e foresight</w:t>
      </w:r>
      <w:bookmarkEnd w:id="19"/>
    </w:p>
    <w:p>
      <w:pPr>
        <w:numPr>
          <w:ilvl w:val="0"/>
          <w:numId w:val="7"/>
        </w:numPr>
        <w:spacing w:line="360" w:before="105" w:after="105" w:lineRule="auto"/>
      </w:pPr>
      <w:r>
        <w:rPr>
          <w:rFonts w:eastAsia="georgia" w:cs="georgia" w:ascii="georgia" w:hAnsi="georgia"/>
          <w:color w:val="000000"/>
          <w:sz w:val="21"/>
        </w:rPr>
        <w:t xml:space="preserve">Papel das escolas judiciais no desenvolvimento de competências e na aprendizagem entre pares.[cite:75][cite:82]</w:t>
      </w:r>
    </w:p>
    <w:p>
      <w:pPr>
        <w:numPr>
          <w:ilvl w:val="0"/>
          <w:numId w:val="7"/>
        </w:numPr>
        <w:spacing w:line="360" w:before="105" w:after="105" w:lineRule="auto"/>
      </w:pPr>
      <w:r>
        <w:rPr>
          <w:rFonts w:eastAsia="georgia" w:cs="georgia" w:ascii="georgia" w:hAnsi="georgia"/>
          <w:color w:val="000000"/>
          <w:sz w:val="21"/>
        </w:rPr>
        <w:t xml:space="preserve">Fundamentos de formação por competências e metodologias ativas.[cite:76][cite:83][cite:86]</w:t>
      </w:r>
    </w:p>
    <w:p>
      <w:pPr>
        <w:numPr>
          <w:ilvl w:val="0"/>
          <w:numId w:val="7"/>
        </w:numPr>
        <w:spacing w:line="360" w:before="105" w:after="105" w:lineRule="auto"/>
      </w:pPr>
      <w:r>
        <w:rPr>
          <w:rFonts w:eastAsia="georgia" w:cs="georgia" w:ascii="georgia" w:hAnsi="georgia"/>
          <w:color w:val="000000"/>
          <w:sz w:val="21"/>
        </w:rPr>
        <w:t xml:space="preserve">Introdução aos estudos de futuros, à abordagem de Amy Webb e à aproximação com a lógica de Peter Bishop.[cite:11][cite:12]</w:t>
      </w:r>
    </w:p>
    <w:p>
      <w:pPr>
        <w:spacing w:line="360" w:before="315" w:after="105" w:lineRule="auto"/>
        <w:ind w:left="-30"/>
        <w:jc w:val="left"/>
      </w:pPr>
      <w:bookmarkStart w:id="20" w:name="módulo_2_leitura_de_contexto_e_scanning"/>
      <w:r>
        <w:rPr>
          <w:rFonts w:eastAsia="georgia" w:cs="georgia" w:ascii="georgia" w:hAnsi="georgia"/>
          <w:b/>
          <w:color w:val="000000"/>
          <w:sz w:val="24"/>
        </w:rPr>
        <w:t xml:space="preserve">Módulo 2 – Leitura de contexto e scanning</w:t>
      </w:r>
      <w:bookmarkEnd w:id="20"/>
    </w:p>
    <w:p>
      <w:pPr>
        <w:numPr>
          <w:ilvl w:val="0"/>
          <w:numId w:val="8"/>
        </w:numPr>
        <w:spacing w:line="360" w:before="105" w:after="105" w:lineRule="auto"/>
      </w:pPr>
      <w:r>
        <w:rPr>
          <w:rFonts w:eastAsia="georgia" w:cs="georgia" w:ascii="georgia" w:hAnsi="georgia"/>
          <w:color w:val="000000"/>
          <w:sz w:val="21"/>
        </w:rPr>
        <w:t xml:space="preserve">Formulação do foco estratégico do ciclo.[cite:11][cite:17]</w:t>
      </w:r>
    </w:p>
    <w:p>
      <w:pPr>
        <w:numPr>
          <w:ilvl w:val="0"/>
          <w:numId w:val="8"/>
        </w:numPr>
        <w:spacing w:line="360" w:before="105" w:after="105" w:lineRule="auto"/>
      </w:pPr>
      <w:r>
        <w:rPr>
          <w:rFonts w:eastAsia="georgia" w:cs="georgia" w:ascii="georgia" w:hAnsi="georgia"/>
          <w:color w:val="000000"/>
          <w:sz w:val="21"/>
        </w:rPr>
        <w:t xml:space="preserve">Levantamento de sinais, tendências e fatores de mudança.[cite:11][cite:12][cite:61]</w:t>
      </w:r>
    </w:p>
    <w:p>
      <w:pPr>
        <w:numPr>
          <w:ilvl w:val="0"/>
          <w:numId w:val="8"/>
        </w:numPr>
        <w:spacing w:line="360" w:before="105" w:after="105" w:lineRule="auto"/>
      </w:pPr>
      <w:r>
        <w:rPr>
          <w:rFonts w:eastAsia="georgia" w:cs="georgia" w:ascii="georgia" w:hAnsi="georgia"/>
          <w:color w:val="000000"/>
          <w:sz w:val="21"/>
        </w:rPr>
        <w:t xml:space="preserve">Organização de base de evidências para leitura do problema.[cite:61][cite:63]</w:t>
      </w:r>
    </w:p>
    <w:p>
      <w:pPr>
        <w:spacing w:line="360" w:before="315" w:after="105" w:lineRule="auto"/>
        <w:ind w:left="-30"/>
        <w:jc w:val="left"/>
      </w:pPr>
      <w:bookmarkStart w:id="21" w:name="módulo_3_convergências_e_cenários"/>
      <w:r>
        <w:rPr>
          <w:rFonts w:eastAsia="georgia" w:cs="georgia" w:ascii="georgia" w:hAnsi="georgia"/>
          <w:b/>
          <w:color w:val="000000"/>
          <w:sz w:val="24"/>
        </w:rPr>
        <w:t xml:space="preserve">Módulo 3 – Convergências e cenários</w:t>
      </w:r>
      <w:bookmarkEnd w:id="21"/>
    </w:p>
    <w:p>
      <w:pPr>
        <w:numPr>
          <w:ilvl w:val="0"/>
          <w:numId w:val="9"/>
        </w:numPr>
        <w:spacing w:line="360" w:before="105" w:after="105" w:lineRule="auto"/>
      </w:pPr>
      <w:r>
        <w:rPr>
          <w:rFonts w:eastAsia="georgia" w:cs="georgia" w:ascii="georgia" w:hAnsi="georgia"/>
          <w:color w:val="000000"/>
          <w:sz w:val="21"/>
        </w:rPr>
        <w:t xml:space="preserve">Agrupamento de sinais em tendências.[cite:11][cite:12]</w:t>
      </w:r>
    </w:p>
    <w:p>
      <w:pPr>
        <w:numPr>
          <w:ilvl w:val="0"/>
          <w:numId w:val="9"/>
        </w:numPr>
        <w:spacing w:line="360" w:before="105" w:after="105" w:lineRule="auto"/>
      </w:pPr>
      <w:r>
        <w:rPr>
          <w:rFonts w:eastAsia="georgia" w:cs="georgia" w:ascii="georgia" w:hAnsi="georgia"/>
          <w:color w:val="000000"/>
          <w:sz w:val="21"/>
        </w:rPr>
        <w:t xml:space="preserve">Identificação de convergências entre dimensões tecnológicas, organizacionais, normativas e sociais.[cite:11][cite:19]</w:t>
      </w:r>
    </w:p>
    <w:p>
      <w:pPr>
        <w:numPr>
          <w:ilvl w:val="0"/>
          <w:numId w:val="9"/>
        </w:numPr>
        <w:spacing w:line="360" w:before="105" w:after="105" w:lineRule="auto"/>
      </w:pPr>
      <w:r>
        <w:rPr>
          <w:rFonts w:eastAsia="georgia" w:cs="georgia" w:ascii="georgia" w:hAnsi="georgia"/>
          <w:color w:val="000000"/>
          <w:sz w:val="21"/>
        </w:rPr>
        <w:t xml:space="preserve">Construção de cenários plausíveis e narrativas de futuro.[cite:11][cite:12]</w:t>
      </w:r>
    </w:p>
    <w:p>
      <w:pPr>
        <w:spacing w:line="360" w:before="315" w:after="105" w:lineRule="auto"/>
        <w:ind w:left="-30"/>
        <w:jc w:val="left"/>
      </w:pPr>
      <w:bookmarkStart w:id="22" w:name="módulo_4_estratégias_facilitação_a1ccc3"/>
      <w:r>
        <w:rPr>
          <w:rFonts w:eastAsia="georgia" w:cs="georgia" w:ascii="georgia" w:hAnsi="georgia"/>
          <w:b/>
          <w:color w:val="000000"/>
          <w:sz w:val="24"/>
        </w:rPr>
        <w:t xml:space="preserve">Módulo 4 – Estratégias, facilitação e replicação local</w:t>
      </w:r>
      <w:bookmarkEnd w:id="22"/>
    </w:p>
    <w:p>
      <w:pPr>
        <w:numPr>
          <w:ilvl w:val="0"/>
          <w:numId w:val="10"/>
        </w:numPr>
        <w:spacing w:line="360" w:before="105" w:after="105" w:lineRule="auto"/>
      </w:pPr>
      <w:r>
        <w:rPr>
          <w:rFonts w:eastAsia="georgia" w:cs="georgia" w:ascii="georgia" w:hAnsi="georgia"/>
          <w:color w:val="000000"/>
          <w:sz w:val="21"/>
        </w:rPr>
        <w:t xml:space="preserve">Teste de estratégias e análise de implicações.[cite:11][cite:12]</w:t>
      </w:r>
    </w:p>
    <w:p>
      <w:pPr>
        <w:numPr>
          <w:ilvl w:val="0"/>
          <w:numId w:val="10"/>
        </w:numPr>
        <w:spacing w:line="360" w:before="105" w:after="105" w:lineRule="auto"/>
      </w:pPr>
      <w:r>
        <w:rPr>
          <w:rFonts w:eastAsia="georgia" w:cs="georgia" w:ascii="georgia" w:hAnsi="georgia"/>
          <w:color w:val="000000"/>
          <w:sz w:val="21"/>
        </w:rPr>
        <w:t xml:space="preserve">Desenho de oficinas locais e adaptação pedagógica para cada escola.[cite:75][cite:83]</w:t>
      </w:r>
    </w:p>
    <w:p>
      <w:pPr>
        <w:numPr>
          <w:ilvl w:val="0"/>
          <w:numId w:val="10"/>
        </w:numPr>
        <w:spacing w:line="360" w:before="105" w:after="105" w:lineRule="auto"/>
      </w:pPr>
      <w:r>
        <w:rPr>
          <w:rFonts w:eastAsia="georgia" w:cs="georgia" w:ascii="georgia" w:hAnsi="georgia"/>
          <w:color w:val="000000"/>
          <w:sz w:val="21"/>
        </w:rPr>
        <w:t xml:space="preserve">Produção do plano de replicação e do relatório final do ciclo local.[cite:75][cite:81]</w:t>
      </w:r>
    </w:p>
    <w:p>
      <w:pPr>
        <w:spacing w:line="360" w:before="315" w:after="105" w:lineRule="auto"/>
        <w:ind w:left="-30"/>
        <w:jc w:val="left"/>
      </w:pPr>
      <w:bookmarkStart w:id="23" w:name="metodologia_didática"/>
      <w:r>
        <w:rPr>
          <w:rFonts w:eastAsia="georgia" w:cs="georgia" w:ascii="georgia" w:hAnsi="georgia"/>
          <w:b/>
          <w:color w:val="000000"/>
          <w:sz w:val="24"/>
        </w:rPr>
        <w:t xml:space="preserve">Metodologia didática</w:t>
      </w:r>
      <w:bookmarkEnd w:id="23"/>
    </w:p>
    <w:p>
      <w:pPr>
        <w:spacing w:line="360" w:after="210" w:lineRule="auto"/>
      </w:pPr>
      <w:r>
        <w:rPr>
          <w:rFonts w:eastAsia="georgia" w:cs="georgia" w:ascii="georgia" w:hAnsi="georgia"/>
          <w:color w:val="000000"/>
        </w:rPr>
        <w:t xml:space="preserve">A proposta combina formação on-line, oficinas síncronas, atividades assíncronas e produção orientada por templates, de modo a torná-la viável mesmo com equipe reduzida na ENAJU.[cite:29][cite:75][cite:84] Em vez de carga excessiva de aulas expositivas, o programa deve operar com curadoria enxuta de conteúdos e forte centralidade em exercícios de aplicação, garantindo que cada participante saia com um produto utilizável pela própria escola.[cite:76][cite:83][cite:86]</w:t>
      </w:r>
    </w:p>
    <w:p>
      <w:pPr>
        <w:spacing w:line="360" w:before="315" w:after="105" w:lineRule="auto"/>
        <w:ind w:left="-30"/>
        <w:jc w:val="left"/>
      </w:pPr>
      <w:bookmarkStart w:id="24" w:name="estratégias_metodológicas"/>
      <w:r>
        <w:rPr>
          <w:rFonts w:eastAsia="georgia" w:cs="georgia" w:ascii="georgia" w:hAnsi="georgia"/>
          <w:b/>
          <w:color w:val="000000"/>
          <w:sz w:val="24"/>
        </w:rPr>
        <w:t xml:space="preserve">Estratégias metodológicas</w:t>
      </w:r>
      <w:bookmarkEnd w:id="24"/>
    </w:p>
    <w:p>
      <w:pPr>
        <w:numPr>
          <w:ilvl w:val="0"/>
          <w:numId w:val="11"/>
        </w:numPr>
        <w:spacing w:line="360" w:before="105" w:after="105" w:lineRule="auto"/>
      </w:pPr>
      <w:r>
        <w:rPr>
          <w:rFonts w:eastAsia="georgia" w:cs="georgia" w:ascii="georgia" w:hAnsi="georgia"/>
          <w:color w:val="000000"/>
          <w:sz w:val="21"/>
        </w:rPr>
        <w:t xml:space="preserve">Aulas-dialogadas curtas para nivelamento conceitual.[cite:76][cite:86]</w:t>
      </w:r>
    </w:p>
    <w:p>
      <w:pPr>
        <w:numPr>
          <w:ilvl w:val="0"/>
          <w:numId w:val="11"/>
        </w:numPr>
        <w:spacing w:line="360" w:before="105" w:after="105" w:lineRule="auto"/>
      </w:pPr>
      <w:r>
        <w:rPr>
          <w:rFonts w:eastAsia="georgia" w:cs="georgia" w:ascii="georgia" w:hAnsi="georgia"/>
          <w:color w:val="000000"/>
          <w:sz w:val="21"/>
        </w:rPr>
        <w:t xml:space="preserve">Oficinas de grupo para scanning, clusterização e cenários.[cite:11][cite:12]</w:t>
      </w:r>
    </w:p>
    <w:p>
      <w:pPr>
        <w:numPr>
          <w:ilvl w:val="0"/>
          <w:numId w:val="11"/>
        </w:numPr>
        <w:spacing w:line="360" w:before="105" w:after="105" w:lineRule="auto"/>
      </w:pPr>
      <w:r>
        <w:rPr>
          <w:rFonts w:eastAsia="georgia" w:cs="georgia" w:ascii="georgia" w:hAnsi="georgia"/>
          <w:color w:val="000000"/>
          <w:sz w:val="21"/>
        </w:rPr>
        <w:t xml:space="preserve">Estudos de caso do Judiciário e de políticas públicas.[cite:61][cite:63]</w:t>
      </w:r>
    </w:p>
    <w:p>
      <w:pPr>
        <w:numPr>
          <w:ilvl w:val="0"/>
          <w:numId w:val="11"/>
        </w:numPr>
        <w:spacing w:line="360" w:before="105" w:after="105" w:lineRule="auto"/>
      </w:pPr>
      <w:r>
        <w:rPr>
          <w:rFonts w:eastAsia="georgia" w:cs="georgia" w:ascii="georgia" w:hAnsi="georgia"/>
          <w:color w:val="000000"/>
          <w:sz w:val="21"/>
        </w:rPr>
        <w:t xml:space="preserve">Produção colaborativa de mapas, matrizes e roteiros de ação.[cite:11][cite:12]</w:t>
      </w:r>
    </w:p>
    <w:p>
      <w:pPr>
        <w:numPr>
          <w:ilvl w:val="0"/>
          <w:numId w:val="11"/>
        </w:numPr>
        <w:spacing w:line="360" w:before="105" w:after="105" w:lineRule="auto"/>
      </w:pPr>
      <w:r>
        <w:rPr>
          <w:rFonts w:eastAsia="georgia" w:cs="georgia" w:ascii="georgia" w:hAnsi="georgia"/>
          <w:color w:val="000000"/>
          <w:sz w:val="21"/>
        </w:rPr>
        <w:t xml:space="preserve">Tutoria leve, centrada em checkpoints e feedback estruturado.[cite:75][cite:84]</w:t>
      </w:r>
    </w:p>
    <w:p>
      <w:pPr>
        <w:spacing w:line="360" w:before="315" w:after="105" w:lineRule="auto"/>
        <w:ind w:left="-30"/>
        <w:jc w:val="left"/>
      </w:pPr>
      <w:bookmarkStart w:id="25" w:name="ciclo_local_a_ser_executado_por_c_3e2dbd"/>
      <w:r>
        <w:rPr>
          <w:rFonts w:eastAsia="georgia" w:cs="georgia" w:ascii="georgia" w:hAnsi="georgia"/>
          <w:b/>
          <w:color w:val="000000"/>
          <w:sz w:val="24"/>
        </w:rPr>
        <w:t xml:space="preserve">Ciclo local a ser executado por cada escola</w:t>
      </w:r>
      <w:bookmarkEnd w:id="25"/>
    </w:p>
    <w:p>
      <w:pPr>
        <w:spacing w:line="360" w:after="210" w:lineRule="auto"/>
      </w:pPr>
      <w:r>
        <w:rPr>
          <w:rFonts w:eastAsia="georgia" w:cs="georgia" w:ascii="georgia" w:hAnsi="georgia"/>
          <w:color w:val="000000"/>
        </w:rPr>
        <w:t xml:space="preserve">Cada escola participante executará, com apoio da ENAJU, um ciclo local em cinco fases:</w:t>
      </w:r>
    </w:p>
    <w:p>
      <w:pPr>
        <w:numPr>
          <w:ilvl w:val="0"/>
          <w:numId w:val="12"/>
        </w:numPr>
        <w:spacing w:line="360" w:before="105" w:after="105" w:lineRule="auto"/>
      </w:pPr>
      <w:r>
        <w:rPr>
          <w:rFonts w:eastAsia="georgia" w:cs="georgia" w:ascii="georgia" w:hAnsi="georgia"/>
          <w:b/>
          <w:color w:val="000000"/>
          <w:sz w:val="21"/>
        </w:rPr>
        <w:t xml:space="preserve">Definição do recorte local</w:t>
      </w:r>
      <w:r>
        <w:rPr>
          <w:rFonts w:eastAsia="georgia" w:cs="georgia" w:ascii="georgia" w:hAnsi="georgia"/>
          <w:color w:val="000000"/>
          <w:sz w:val="21"/>
        </w:rPr>
        <w:t xml:space="preserve">: delimitação do problema e do público interno da oficina.[cite:11][cite:17]</w:t>
      </w:r>
    </w:p>
    <w:p>
      <w:pPr>
        <w:numPr>
          <w:ilvl w:val="0"/>
          <w:numId w:val="12"/>
        </w:numPr>
        <w:spacing w:line="360" w:before="105" w:after="105" w:lineRule="auto"/>
      </w:pPr>
      <w:r>
        <w:rPr>
          <w:rFonts w:eastAsia="georgia" w:cs="georgia" w:ascii="georgia" w:hAnsi="georgia"/>
          <w:b/>
          <w:color w:val="000000"/>
          <w:sz w:val="21"/>
        </w:rPr>
        <w:t xml:space="preserve">Coleta de sinais</w:t>
      </w:r>
      <w:r>
        <w:rPr>
          <w:rFonts w:eastAsia="georgia" w:cs="georgia" w:ascii="georgia" w:hAnsi="georgia"/>
          <w:color w:val="000000"/>
          <w:sz w:val="21"/>
        </w:rPr>
        <w:t xml:space="preserve">: levantamento de evidências, iniciativas, desafios e mudanças relevantes.[cite:11][cite:12][cite:61]</w:t>
      </w:r>
    </w:p>
    <w:p>
      <w:pPr>
        <w:numPr>
          <w:ilvl w:val="0"/>
          <w:numId w:val="12"/>
        </w:numPr>
        <w:spacing w:line="360" w:before="105" w:after="105" w:lineRule="auto"/>
      </w:pPr>
      <w:r>
        <w:rPr>
          <w:rFonts w:eastAsia="georgia" w:cs="georgia" w:ascii="georgia" w:hAnsi="georgia"/>
          <w:b/>
          <w:color w:val="000000"/>
          <w:sz w:val="21"/>
        </w:rPr>
        <w:t xml:space="preserve">Leitura de convergências</w:t>
      </w:r>
      <w:r>
        <w:rPr>
          <w:rFonts w:eastAsia="georgia" w:cs="georgia" w:ascii="georgia" w:hAnsi="georgia"/>
          <w:color w:val="000000"/>
          <w:sz w:val="21"/>
        </w:rPr>
        <w:t xml:space="preserve">: identificação de padrões e relações sistêmicas.[cite:11][cite:19]</w:t>
      </w:r>
    </w:p>
    <w:p>
      <w:pPr>
        <w:numPr>
          <w:ilvl w:val="0"/>
          <w:numId w:val="12"/>
        </w:numPr>
        <w:spacing w:line="360" w:before="105" w:after="105" w:lineRule="auto"/>
      </w:pPr>
      <w:r>
        <w:rPr>
          <w:rFonts w:eastAsia="georgia" w:cs="georgia" w:ascii="georgia" w:hAnsi="georgia"/>
          <w:b/>
          <w:color w:val="000000"/>
          <w:sz w:val="21"/>
        </w:rPr>
        <w:t xml:space="preserve">Construção de cenários</w:t>
      </w:r>
      <w:r>
        <w:rPr>
          <w:rFonts w:eastAsia="georgia" w:cs="georgia" w:ascii="georgia" w:hAnsi="georgia"/>
          <w:color w:val="000000"/>
          <w:sz w:val="21"/>
        </w:rPr>
        <w:t xml:space="preserve">: elaboração de 2 a 4 cenários de futuro para o tema escolhido.[cite:11][cite:12]</w:t>
      </w:r>
    </w:p>
    <w:p>
      <w:pPr>
        <w:numPr>
          <w:ilvl w:val="0"/>
          <w:numId w:val="12"/>
        </w:numPr>
        <w:spacing w:line="360" w:before="105" w:after="105" w:lineRule="auto"/>
      </w:pPr>
      <w:r>
        <w:rPr>
          <w:rFonts w:eastAsia="georgia" w:cs="georgia" w:ascii="georgia" w:hAnsi="georgia"/>
          <w:b/>
          <w:color w:val="000000"/>
          <w:sz w:val="21"/>
        </w:rPr>
        <w:t xml:space="preserve">Formulação de implicações e respostas</w:t>
      </w:r>
      <w:r>
        <w:rPr>
          <w:rFonts w:eastAsia="georgia" w:cs="georgia" w:ascii="georgia" w:hAnsi="georgia"/>
          <w:color w:val="000000"/>
          <w:sz w:val="21"/>
        </w:rPr>
        <w:t xml:space="preserve">: definição de recomendações, capacidades e temas formativos decorrentes do exercício.[cite:11][cite:12][cite:63]</w:t>
      </w:r>
    </w:p>
    <w:p>
      <w:pPr>
        <w:spacing w:line="360" w:before="315" w:after="105" w:lineRule="auto"/>
        <w:ind w:left="-30"/>
        <w:jc w:val="left"/>
      </w:pPr>
      <w:bookmarkStart w:id="26" w:name="produtos_pedagógicos_do_programa"/>
      <w:r>
        <w:rPr>
          <w:rFonts w:eastAsia="georgia" w:cs="georgia" w:ascii="georgia" w:hAnsi="georgia"/>
          <w:b/>
          <w:color w:val="000000"/>
          <w:sz w:val="24"/>
        </w:rPr>
        <w:t xml:space="preserve">Produtos pedagógicos do programa</w:t>
      </w:r>
      <w:bookmarkEnd w:id="26"/>
    </w:p>
    <w:p>
      <w:pPr>
        <w:spacing w:line="360" w:before="315" w:after="105" w:lineRule="auto"/>
        <w:ind w:left="-30"/>
        <w:jc w:val="left"/>
      </w:pPr>
      <w:bookmarkStart w:id="27" w:name="produtos_nacionais"/>
      <w:r>
        <w:rPr>
          <w:rFonts w:eastAsia="georgia" w:cs="georgia" w:ascii="georgia" w:hAnsi="georgia"/>
          <w:b/>
          <w:color w:val="000000"/>
          <w:sz w:val="24"/>
        </w:rPr>
        <w:t xml:space="preserve">Produtos nacionais</w:t>
      </w:r>
      <w:bookmarkEnd w:id="27"/>
    </w:p>
    <w:p>
      <w:pPr>
        <w:numPr>
          <w:ilvl w:val="0"/>
          <w:numId w:val="13"/>
        </w:numPr>
        <w:spacing w:line="360" w:before="105" w:after="105" w:lineRule="auto"/>
      </w:pPr>
      <w:r>
        <w:rPr>
          <w:rFonts w:eastAsia="georgia" w:cs="georgia" w:ascii="georgia" w:hAnsi="georgia"/>
          <w:color w:val="000000"/>
          <w:sz w:val="21"/>
        </w:rPr>
        <w:t xml:space="preserve">Plano de curso ENAJU de formação de formadores em foresight estratégico.[cite:29][cite:75]</w:t>
      </w:r>
    </w:p>
    <w:p>
      <w:pPr>
        <w:numPr>
          <w:ilvl w:val="0"/>
          <w:numId w:val="13"/>
        </w:numPr>
        <w:spacing w:line="360" w:before="105" w:after="105" w:lineRule="auto"/>
      </w:pPr>
      <w:r>
        <w:rPr>
          <w:rFonts w:eastAsia="georgia" w:cs="georgia" w:ascii="georgia" w:hAnsi="georgia"/>
          <w:color w:val="000000"/>
          <w:sz w:val="21"/>
        </w:rPr>
        <w:t xml:space="preserve">Kit pedagógico de replicação para escolas judiciárias, contendo guia do facilitador, template de scanning, modelo de cenário, matriz de implicações e roteiro de oficina.[cite:75][cite:81][cite:83]</w:t>
      </w:r>
    </w:p>
    <w:p>
      <w:pPr>
        <w:numPr>
          <w:ilvl w:val="0"/>
          <w:numId w:val="13"/>
        </w:numPr>
        <w:spacing w:line="360" w:before="105" w:after="105" w:lineRule="auto"/>
      </w:pPr>
      <w:r>
        <w:rPr>
          <w:rFonts w:eastAsia="georgia" w:cs="georgia" w:ascii="georgia" w:hAnsi="georgia"/>
          <w:color w:val="000000"/>
          <w:sz w:val="21"/>
        </w:rPr>
        <w:t xml:space="preserve">Relatório síntese nacional com achados do piloto e recomendações para a Estratégia Nacional do Poder Judiciário.[cite:57][cite:60][cite:63]</w:t>
      </w:r>
    </w:p>
    <w:p>
      <w:pPr>
        <w:spacing w:line="360" w:before="315" w:after="105" w:lineRule="auto"/>
        <w:ind w:left="-30"/>
        <w:jc w:val="left"/>
      </w:pPr>
      <w:bookmarkStart w:id="28" w:name="produtos_locais"/>
      <w:r>
        <w:rPr>
          <w:rFonts w:eastAsia="georgia" w:cs="georgia" w:ascii="georgia" w:hAnsi="georgia"/>
          <w:b/>
          <w:color w:val="000000"/>
          <w:sz w:val="24"/>
        </w:rPr>
        <w:t xml:space="preserve">Produtos locais</w:t>
      </w:r>
      <w:bookmarkEnd w:id="28"/>
    </w:p>
    <w:p>
      <w:pPr>
        <w:numPr>
          <w:ilvl w:val="0"/>
          <w:numId w:val="14"/>
        </w:numPr>
        <w:spacing w:line="360" w:before="105" w:after="105" w:lineRule="auto"/>
      </w:pPr>
      <w:r>
        <w:rPr>
          <w:rFonts w:eastAsia="georgia" w:cs="georgia" w:ascii="georgia" w:hAnsi="georgia"/>
          <w:color w:val="000000"/>
          <w:sz w:val="21"/>
        </w:rPr>
        <w:t xml:space="preserve">Radar de sinais e tendências da escola ou tribunal participante.[cite:11][cite:12]</w:t>
      </w:r>
    </w:p>
    <w:p>
      <w:pPr>
        <w:numPr>
          <w:ilvl w:val="0"/>
          <w:numId w:val="14"/>
        </w:numPr>
        <w:spacing w:line="360" w:before="105" w:after="105" w:lineRule="auto"/>
      </w:pPr>
      <w:r>
        <w:rPr>
          <w:rFonts w:eastAsia="georgia" w:cs="georgia" w:ascii="georgia" w:hAnsi="georgia"/>
          <w:color w:val="000000"/>
          <w:sz w:val="21"/>
        </w:rPr>
        <w:t xml:space="preserve">Conjunto de cenários curtos sobre o tema da edição.[cite:11][cite:12]</w:t>
      </w:r>
    </w:p>
    <w:p>
      <w:pPr>
        <w:numPr>
          <w:ilvl w:val="0"/>
          <w:numId w:val="14"/>
        </w:numPr>
        <w:spacing w:line="360" w:before="105" w:after="105" w:lineRule="auto"/>
      </w:pPr>
      <w:r>
        <w:rPr>
          <w:rFonts w:eastAsia="georgia" w:cs="georgia" w:ascii="georgia" w:hAnsi="georgia"/>
          <w:color w:val="000000"/>
          <w:sz w:val="21"/>
        </w:rPr>
        <w:t xml:space="preserve">Documento de implicações estratégicas e sugestões de ação para o tribunal.[cite:11][cite:63]</w:t>
      </w:r>
    </w:p>
    <w:p>
      <w:pPr>
        <w:numPr>
          <w:ilvl w:val="0"/>
          <w:numId w:val="14"/>
        </w:numPr>
        <w:spacing w:line="360" w:before="105" w:after="105" w:lineRule="auto"/>
      </w:pPr>
      <w:r>
        <w:rPr>
          <w:rFonts w:eastAsia="georgia" w:cs="georgia" w:ascii="georgia" w:hAnsi="georgia"/>
          <w:color w:val="000000"/>
          <w:sz w:val="21"/>
        </w:rPr>
        <w:t xml:space="preserve">Plano de continuidade ou nova oferta formativa local.[cite:75][cite:82]</w:t>
      </w:r>
    </w:p>
    <w:p>
      <w:pPr>
        <w:spacing w:line="360" w:before="315" w:after="105" w:lineRule="auto"/>
        <w:ind w:left="-30"/>
        <w:jc w:val="left"/>
      </w:pPr>
      <w:bookmarkStart w:id="29" w:name="avaliação_da_aprendizagem"/>
      <w:r>
        <w:rPr>
          <w:rFonts w:eastAsia="georgia" w:cs="georgia" w:ascii="georgia" w:hAnsi="georgia"/>
          <w:b/>
          <w:color w:val="000000"/>
          <w:sz w:val="24"/>
        </w:rPr>
        <w:t xml:space="preserve">Avaliação da aprendizagem</w:t>
      </w:r>
      <w:bookmarkEnd w:id="29"/>
    </w:p>
    <w:p>
      <w:pPr>
        <w:spacing w:line="360" w:after="210" w:lineRule="auto"/>
      </w:pPr>
      <w:r>
        <w:rPr>
          <w:rFonts w:eastAsia="georgia" w:cs="georgia" w:ascii="georgia" w:hAnsi="georgia"/>
          <w:color w:val="000000"/>
        </w:rPr>
        <w:t xml:space="preserve">A avaliação deve ser formativa, processual e orientada por desempenho, em coerência com a formação por competências adotada nas escolas judiciais.[cite:75][cite:76][cite:83] Em vez de privilegiar provas teóricas, a aferição do aproveitamento deve observar a capacidade do participante de aplicar conceitos, facilitar atividades e produzir entregáveis adequados ao contexto institucional.[cite:75][cite:83][cite:86]</w:t>
      </w:r>
    </w:p>
    <w:p>
      <w:pPr>
        <w:spacing w:line="360" w:before="315" w:after="105" w:lineRule="auto"/>
        <w:ind w:left="-30"/>
        <w:jc w:val="left"/>
      </w:pPr>
      <w:bookmarkStart w:id="30" w:name="critérios_sugeridos"/>
      <w:r>
        <w:rPr>
          <w:rFonts w:eastAsia="georgia" w:cs="georgia" w:ascii="georgia" w:hAnsi="georgia"/>
          <w:b/>
          <w:color w:val="000000"/>
          <w:sz w:val="24"/>
        </w:rPr>
        <w:t xml:space="preserve">Critérios sugeridos</w:t>
      </w:r>
      <w:bookmarkEnd w:id="30"/>
    </w:p>
    <w:p>
      <w:pPr>
        <w:numPr>
          <w:ilvl w:val="0"/>
          <w:numId w:val="15"/>
        </w:numPr>
        <w:spacing w:line="360" w:before="105" w:after="105" w:lineRule="auto"/>
      </w:pPr>
      <w:r>
        <w:rPr>
          <w:rFonts w:eastAsia="georgia" w:cs="georgia" w:ascii="georgia" w:hAnsi="georgia"/>
          <w:color w:val="000000"/>
          <w:sz w:val="21"/>
        </w:rPr>
        <w:t xml:space="preserve">Participação qualificada nos encontros síncronos e nas oficinas.[cite:75][cite:84]</w:t>
      </w:r>
    </w:p>
    <w:p>
      <w:pPr>
        <w:numPr>
          <w:ilvl w:val="0"/>
          <w:numId w:val="15"/>
        </w:numPr>
        <w:spacing w:line="360" w:before="105" w:after="105" w:lineRule="auto"/>
      </w:pPr>
      <w:r>
        <w:rPr>
          <w:rFonts w:eastAsia="georgia" w:cs="georgia" w:ascii="georgia" w:hAnsi="georgia"/>
          <w:color w:val="000000"/>
          <w:sz w:val="21"/>
        </w:rPr>
        <w:t xml:space="preserve">Entrega de instrumentos de scanning e síntese de sinais.[cite:11][cite:12]</w:t>
      </w:r>
    </w:p>
    <w:p>
      <w:pPr>
        <w:numPr>
          <w:ilvl w:val="0"/>
          <w:numId w:val="15"/>
        </w:numPr>
        <w:spacing w:line="360" w:before="105" w:after="105" w:lineRule="auto"/>
      </w:pPr>
      <w:r>
        <w:rPr>
          <w:rFonts w:eastAsia="georgia" w:cs="georgia" w:ascii="georgia" w:hAnsi="georgia"/>
          <w:color w:val="000000"/>
          <w:sz w:val="21"/>
        </w:rPr>
        <w:t xml:space="preserve">Qualidade metodológica dos cenários elaborados.[cite:11][cite:12]</w:t>
      </w:r>
    </w:p>
    <w:p>
      <w:pPr>
        <w:numPr>
          <w:ilvl w:val="0"/>
          <w:numId w:val="15"/>
        </w:numPr>
        <w:spacing w:line="360" w:before="105" w:after="105" w:lineRule="auto"/>
      </w:pPr>
      <w:r>
        <w:rPr>
          <w:rFonts w:eastAsia="georgia" w:cs="georgia" w:ascii="georgia" w:hAnsi="georgia"/>
          <w:color w:val="000000"/>
          <w:sz w:val="21"/>
        </w:rPr>
        <w:t xml:space="preserve">Coerência entre os cenários, as implicações estratégicas e o plano de replicação local.[cite:11][cite:63]</w:t>
      </w:r>
    </w:p>
    <w:p>
      <w:pPr>
        <w:numPr>
          <w:ilvl w:val="0"/>
          <w:numId w:val="15"/>
        </w:numPr>
        <w:spacing w:line="360" w:before="105" w:after="105" w:lineRule="auto"/>
      </w:pPr>
      <w:r>
        <w:rPr>
          <w:rFonts w:eastAsia="georgia" w:cs="georgia" w:ascii="georgia" w:hAnsi="georgia"/>
          <w:color w:val="000000"/>
          <w:sz w:val="21"/>
        </w:rPr>
        <w:t xml:space="preserve">Capacidade de adequar o ciclo ao projeto pedagógico da escola participante.[cite:80][cite:82][cite:85]</w:t>
      </w:r>
    </w:p>
    <w:p>
      <w:pPr>
        <w:spacing w:line="360" w:before="315" w:after="105" w:lineRule="auto"/>
        <w:ind w:left="-30"/>
        <w:jc w:val="left"/>
      </w:pPr>
      <w:bookmarkStart w:id="31" w:name="avaliação_do_programa"/>
      <w:r>
        <w:rPr>
          <w:rFonts w:eastAsia="georgia" w:cs="georgia" w:ascii="georgia" w:hAnsi="georgia"/>
          <w:b/>
          <w:color w:val="000000"/>
          <w:sz w:val="24"/>
        </w:rPr>
        <w:t xml:space="preserve">Avaliação do programa</w:t>
      </w:r>
      <w:bookmarkEnd w:id="31"/>
    </w:p>
    <w:p>
      <w:pPr>
        <w:spacing w:line="360" w:after="210" w:lineRule="auto"/>
      </w:pPr>
      <w:r>
        <w:rPr>
          <w:rFonts w:eastAsia="georgia" w:cs="georgia" w:ascii="georgia" w:hAnsi="georgia"/>
          <w:color w:val="000000"/>
        </w:rPr>
        <w:t xml:space="preserve">A avaliação do programa deve considerar não apenas satisfação dos participantes, mas também sua utilidade institucional e sua aderência à estratégia do Judiciário.[cite:57][cite:63][cite:80] Recomenda-se observar pelo menos quatro dimensões: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Dimensão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Pergunta orientadora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Evidência sugerida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Aprendizagem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Os participantes desenvolveram competências pedagógicas e analíticas?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Entregáveis, participação, autoavaliação [cite:75][cite:83]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Replicação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escolas conseguiram executar o ciclo local?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Relatórios locais, oficinas realizadas [cite:75][cite:82]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Relevância estratégica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Os produtos dialogam com desafios reais do tribunal e da Estratégia Nacional?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Parecer do DGE, uso em planejamento [cite:57][cite:63]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Sustentabilidade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Há condições de continuidade e nova edição?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Plano de continuidade, adesão institucional [cite:80][cite:85]</w:t>
            </w:r>
          </w:p>
        </w:tc>
      </w:tr>
    </w:tbl>
    <w:p>
      <w:pPr>
        <w:spacing w:lineRule="auto"/>
      </w:pPr>
    </w:p>
    <w:p>
      <w:pPr>
        <w:spacing w:line="360" w:before="315" w:after="105" w:lineRule="auto"/>
        <w:ind w:left="-30"/>
        <w:jc w:val="left"/>
      </w:pPr>
      <w:bookmarkStart w:id="32" w:name="governança"/>
      <w:r>
        <w:rPr>
          <w:rFonts w:eastAsia="georgia" w:cs="georgia" w:ascii="georgia" w:hAnsi="georgia"/>
          <w:b/>
          <w:color w:val="000000"/>
          <w:sz w:val="24"/>
        </w:rPr>
        <w:t xml:space="preserve">Governança</w:t>
      </w:r>
      <w:bookmarkEnd w:id="32"/>
    </w:p>
    <w:p>
      <w:pPr>
        <w:spacing w:line="360" w:before="315" w:after="105" w:lineRule="auto"/>
        <w:ind w:left="-30"/>
        <w:jc w:val="left"/>
      </w:pPr>
      <w:bookmarkStart w:id="33" w:name="instância_coordenadora"/>
      <w:r>
        <w:rPr>
          <w:rFonts w:eastAsia="georgia" w:cs="georgia" w:ascii="georgia" w:hAnsi="georgia"/>
          <w:b/>
          <w:color w:val="000000"/>
          <w:sz w:val="24"/>
        </w:rPr>
        <w:t xml:space="preserve">Instância coordenadora</w:t>
      </w:r>
      <w:bookmarkEnd w:id="33"/>
    </w:p>
    <w:p>
      <w:pPr>
        <w:numPr>
          <w:ilvl w:val="0"/>
          <w:numId w:val="16"/>
        </w:numPr>
        <w:spacing w:line="360" w:before="105" w:after="105" w:lineRule="auto"/>
      </w:pPr>
      <w:r>
        <w:rPr>
          <w:rFonts w:eastAsia="georgia" w:cs="georgia" w:ascii="georgia" w:hAnsi="georgia"/>
          <w:b/>
          <w:color w:val="000000"/>
          <w:sz w:val="21"/>
        </w:rPr>
        <w:t xml:space="preserve">ENAJU</w:t>
      </w:r>
      <w:r>
        <w:rPr>
          <w:rFonts w:eastAsia="georgia" w:cs="georgia" w:ascii="georgia" w:hAnsi="georgia"/>
          <w:color w:val="000000"/>
          <w:sz w:val="21"/>
        </w:rPr>
        <w:t xml:space="preserve">: coordenação pedagógica e operacional do programa, gestão da trilha formativa, produção de materiais e consolidação dos resultados.[cite:22][cite:29]</w:t>
      </w:r>
    </w:p>
    <w:p>
      <w:pPr>
        <w:numPr>
          <w:ilvl w:val="0"/>
          <w:numId w:val="16"/>
        </w:numPr>
        <w:spacing w:line="360" w:before="105" w:after="105" w:lineRule="auto"/>
      </w:pPr>
      <w:r>
        <w:rPr>
          <w:rFonts w:eastAsia="georgia" w:cs="georgia" w:ascii="georgia" w:hAnsi="georgia"/>
          <w:b/>
          <w:color w:val="000000"/>
          <w:sz w:val="21"/>
        </w:rPr>
        <w:t xml:space="preserve">DGE do CNJ</w:t>
      </w:r>
      <w:r>
        <w:rPr>
          <w:rFonts w:eastAsia="georgia" w:cs="georgia" w:ascii="georgia" w:hAnsi="georgia"/>
          <w:color w:val="000000"/>
          <w:sz w:val="21"/>
        </w:rPr>
        <w:t xml:space="preserve">: alinhamento estratégico, indicação do tema prioritário, articulação com o ciclo da Estratégia Nacional e apoio na validação dos resultados.[cite:57][cite:60][cite:63]</w:t>
      </w:r>
    </w:p>
    <w:p>
      <w:pPr>
        <w:spacing w:line="360" w:before="315" w:after="105" w:lineRule="auto"/>
        <w:ind w:left="-30"/>
        <w:jc w:val="left"/>
      </w:pPr>
      <w:bookmarkStart w:id="34" w:name="instância_executora_local"/>
      <w:r>
        <w:rPr>
          <w:rFonts w:eastAsia="georgia" w:cs="georgia" w:ascii="georgia" w:hAnsi="georgia"/>
          <w:b/>
          <w:color w:val="000000"/>
          <w:sz w:val="24"/>
        </w:rPr>
        <w:t xml:space="preserve">Instância executora local</w:t>
      </w:r>
      <w:bookmarkEnd w:id="34"/>
    </w:p>
    <w:p>
      <w:pPr>
        <w:numPr>
          <w:ilvl w:val="0"/>
          <w:numId w:val="17"/>
        </w:numPr>
        <w:spacing w:line="360" w:before="105" w:after="105" w:lineRule="auto"/>
      </w:pPr>
      <w:r>
        <w:rPr>
          <w:rFonts w:eastAsia="georgia" w:cs="georgia" w:ascii="georgia" w:hAnsi="georgia"/>
          <w:color w:val="000000"/>
          <w:sz w:val="21"/>
        </w:rPr>
        <w:t xml:space="preserve">Escolas judiciárias participantes, com indicação de pelo menos dois pontos focais: um pedagógico e um vinculado a planejamento, inovação ou área temática relacionada ao tema do ciclo.[cite:75][cite:81][cite:82]</w:t>
      </w:r>
    </w:p>
    <w:p>
      <w:pPr>
        <w:spacing w:line="360" w:before="315" w:after="105" w:lineRule="auto"/>
        <w:ind w:left="-30"/>
        <w:jc w:val="left"/>
      </w:pPr>
      <w:bookmarkStart w:id="35" w:name="cronograma_sugerido_do_piloto"/>
      <w:r>
        <w:rPr>
          <w:rFonts w:eastAsia="georgia" w:cs="georgia" w:ascii="georgia" w:hAnsi="georgia"/>
          <w:b/>
          <w:color w:val="000000"/>
          <w:sz w:val="24"/>
        </w:rPr>
        <w:t xml:space="preserve">Cronograma sugerido do piloto</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Etapa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Duração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Responsável principal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Pactuação ENAJU–DGE e definição do tema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semanas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ENAJU + DGE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Convite e seleção de 3 a 5 escolas-piloto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semanas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DGE + ENAJU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Preparação do ambiente, materiais e templates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semanas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ENAJU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Oferta da microtrilha nacional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a 6 semanas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ENAJU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Execução dos ciclos locais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semanas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Escolas participantes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Consolidação dos resultados e relatório final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a 3 semanas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ENAJU + DGE</w:t>
            </w:r>
          </w:p>
        </w:tc>
      </w:tr>
    </w:tbl>
    <w:p>
      <w:pPr>
        <w:spacing w:lineRule="auto"/>
      </w:pPr>
    </w:p>
    <w:p>
      <w:pPr>
        <w:spacing w:line="360" w:before="315" w:after="105" w:lineRule="auto"/>
        <w:ind w:left="-30"/>
        <w:jc w:val="left"/>
      </w:pPr>
      <w:bookmarkStart w:id="36" w:name="recursos_mínimos_necessários"/>
      <w:r>
        <w:rPr>
          <w:rFonts w:eastAsia="georgia" w:cs="georgia" w:ascii="georgia" w:hAnsi="georgia"/>
          <w:b/>
          <w:color w:val="000000"/>
          <w:sz w:val="24"/>
        </w:rPr>
        <w:t xml:space="preserve">Recursos mínimos necessários</w:t>
      </w:r>
      <w:bookmarkEnd w:id="36"/>
    </w:p>
    <w:p>
      <w:pPr>
        <w:spacing w:line="360" w:after="210" w:lineRule="auto"/>
      </w:pPr>
      <w:r>
        <w:rPr>
          <w:rFonts w:eastAsia="georgia" w:cs="georgia" w:ascii="georgia" w:hAnsi="georgia"/>
          <w:color w:val="000000"/>
        </w:rPr>
        <w:t xml:space="preserve">A proposta foi desenhada para ser executável mesmo com equipe reduzida na ENAJU, desde que o escopo do piloto seja controlado.[cite:29][cite:75] Os recursos mínimos são:</w:t>
      </w:r>
    </w:p>
    <w:p>
      <w:pPr>
        <w:numPr>
          <w:ilvl w:val="0"/>
          <w:numId w:val="18"/>
        </w:numPr>
        <w:spacing w:line="360" w:before="105" w:after="105" w:lineRule="auto"/>
      </w:pPr>
      <w:r>
        <w:rPr>
          <w:rFonts w:eastAsia="georgia" w:cs="georgia" w:ascii="georgia" w:hAnsi="georgia"/>
          <w:color w:val="000000"/>
          <w:sz w:val="21"/>
        </w:rPr>
        <w:t xml:space="preserve">Ambiente virtual de aprendizagem já disponível na ENAJU.[cite:29]</w:t>
      </w:r>
    </w:p>
    <w:p>
      <w:pPr>
        <w:numPr>
          <w:ilvl w:val="0"/>
          <w:numId w:val="18"/>
        </w:numPr>
        <w:spacing w:line="360" w:before="105" w:after="105" w:lineRule="auto"/>
      </w:pPr>
      <w:r>
        <w:rPr>
          <w:rFonts w:eastAsia="georgia" w:cs="georgia" w:ascii="georgia" w:hAnsi="georgia"/>
          <w:color w:val="000000"/>
          <w:sz w:val="21"/>
        </w:rPr>
        <w:t xml:space="preserve">Curadoria enxuta de conteúdos e materiais padronizados.[cite:75][cite:83]</w:t>
      </w:r>
    </w:p>
    <w:p>
      <w:pPr>
        <w:numPr>
          <w:ilvl w:val="0"/>
          <w:numId w:val="18"/>
        </w:numPr>
        <w:spacing w:line="360" w:before="105" w:after="105" w:lineRule="auto"/>
      </w:pPr>
      <w:r>
        <w:rPr>
          <w:rFonts w:eastAsia="georgia" w:cs="georgia" w:ascii="georgia" w:hAnsi="georgia"/>
          <w:color w:val="000000"/>
          <w:sz w:val="21"/>
        </w:rPr>
        <w:t xml:space="preserve">Apoio do DGE para mobilização institucional e validação estratégica.[cite:57][cite:63]</w:t>
      </w:r>
    </w:p>
    <w:p>
      <w:pPr>
        <w:numPr>
          <w:ilvl w:val="0"/>
          <w:numId w:val="18"/>
        </w:numPr>
        <w:spacing w:line="360" w:before="105" w:after="105" w:lineRule="auto"/>
      </w:pPr>
      <w:r>
        <w:rPr>
          <w:rFonts w:eastAsia="georgia" w:cs="georgia" w:ascii="georgia" w:hAnsi="georgia"/>
          <w:color w:val="000000"/>
          <w:sz w:val="21"/>
        </w:rPr>
        <w:t xml:space="preserve">Participação limitada a 3–5 escolas na primeira edição, para preservar viabilidade operacional.[cite:75][cite:84]</w:t>
      </w:r>
    </w:p>
    <w:p>
      <w:pPr>
        <w:spacing w:line="360" w:before="315" w:after="105" w:lineRule="auto"/>
        <w:ind w:left="-30"/>
        <w:jc w:val="left"/>
      </w:pPr>
      <w:bookmarkStart w:id="37" w:name="articulação_com_a_estratégia_naci_393854"/>
      <w:r>
        <w:rPr>
          <w:rFonts w:eastAsia="georgia" w:cs="georgia" w:ascii="georgia" w:hAnsi="georgia"/>
          <w:b/>
          <w:color w:val="000000"/>
          <w:sz w:val="24"/>
        </w:rPr>
        <w:t xml:space="preserve">Articulação com a Estratégia Nacional do Poder Judiciário</w:t>
      </w:r>
      <w:bookmarkEnd w:id="37"/>
    </w:p>
    <w:p>
      <w:pPr>
        <w:spacing w:line="360" w:after="210" w:lineRule="auto"/>
      </w:pPr>
      <w:r>
        <w:rPr>
          <w:rFonts w:eastAsia="georgia" w:cs="georgia" w:ascii="georgia" w:hAnsi="georgia"/>
          <w:color w:val="000000"/>
        </w:rPr>
        <w:t xml:space="preserve">O programa deve ser apresentado como mecanismo de apoio à formulação, revisão e execução da Estratégia Nacional do Poder Judiciário, e não apenas como ação de capacitação.[cite:57][cite:60] Para isso, cada edição deve partir de um tema conectado a macrodesafios estratégicos e exigir que os produtos locais indiquem explicitamente suas implicações para metas, programas, governança e capacidades institucionais.[cite:57][cite:63]</w:t>
      </w:r>
    </w:p>
    <w:p>
      <w:pPr>
        <w:spacing w:line="360" w:after="210" w:lineRule="auto"/>
      </w:pPr>
      <w:r>
        <w:rPr>
          <w:rFonts w:eastAsia="georgia" w:cs="georgia" w:ascii="georgia" w:hAnsi="georgia"/>
          <w:color w:val="000000"/>
        </w:rPr>
        <w:t xml:space="preserve">O relatório final consolidado pela ENAJU, com apoio do DGE, pode funcionar como insumo técnico para reuniões estratégicas, encontros nacionais e processos de atualização de prioridades institucionais.[cite:57][cite:60][cite:63] Desse modo, o ciclo pedagógico passa a cumprir também função de inteligência estratégica distribuída na rede de escolas judiciais.[cite:22][cite:63]</w:t>
      </w:r>
    </w:p>
    <w:p>
      <w:pPr>
        <w:spacing w:line="360" w:before="315" w:after="105" w:lineRule="auto"/>
        <w:ind w:left="-30"/>
        <w:jc w:val="left"/>
      </w:pPr>
      <w:bookmarkStart w:id="38" w:name="perspectiva_de_expansão"/>
      <w:r>
        <w:rPr>
          <w:rFonts w:eastAsia="georgia" w:cs="georgia" w:ascii="georgia" w:hAnsi="georgia"/>
          <w:b/>
          <w:color w:val="000000"/>
          <w:sz w:val="24"/>
        </w:rPr>
        <w:t xml:space="preserve">Perspectiva de expansão</w:t>
      </w:r>
      <w:bookmarkEnd w:id="38"/>
    </w:p>
    <w:p>
      <w:pPr>
        <w:spacing w:line="360" w:after="210" w:lineRule="auto"/>
      </w:pPr>
      <w:r>
        <w:rPr>
          <w:rFonts w:eastAsia="georgia" w:cs="georgia" w:ascii="georgia" w:hAnsi="georgia"/>
          <w:color w:val="000000"/>
        </w:rPr>
        <w:t xml:space="preserve">Caso o piloto seja bem-sucedido, a ENAJU poderá transformar a iniciativa em programa recorrente de formação de formadores em foresight, com edições anuais temáticas e eventual inserção do assunto no Encontro Nacional das Escolas de Formação.[cite:22][cite:29][cite:75] A expansão pode incluir novos eixos, como IA, acesso à Justiça, gestão de pessoas, justiça climática, litigiosidade massiva e desenho de serviços judiciais, sempre preservando a lógica de formação em rede e produção de insumos para a estratégia.[cite:57][cite:61][cite:63]</w:t>
      </w:r>
    </w:p>
    <w:p>
      <w:pPr>
        <w:spacing w:line="360" w:before="315" w:after="105" w:lineRule="auto"/>
        <w:ind w:left="-30"/>
        <w:jc w:val="left"/>
      </w:pPr>
      <w:bookmarkStart w:id="39" w:name="encaminhamento_recomendado"/>
      <w:r>
        <w:rPr>
          <w:rFonts w:eastAsia="georgia" w:cs="georgia" w:ascii="georgia" w:hAnsi="georgia"/>
          <w:b/>
          <w:color w:val="000000"/>
          <w:sz w:val="24"/>
        </w:rPr>
        <w:t xml:space="preserve">Encaminhamento recomendado</w:t>
      </w:r>
      <w:bookmarkEnd w:id="39"/>
    </w:p>
    <w:p>
      <w:pPr>
        <w:spacing w:line="360" w:after="210" w:lineRule="auto"/>
      </w:pPr>
      <w:r>
        <w:rPr>
          <w:rFonts w:eastAsia="georgia" w:cs="georgia" w:ascii="georgia" w:hAnsi="georgia"/>
          <w:color w:val="000000"/>
        </w:rPr>
        <w:t xml:space="preserve">Como próximo passo, recomenda-se transformar esta proposta em um TAP ou termo de abertura simplificado, com validação conjunta ENAJU–DGE, definição do tema da primeira edição, escolha de 3 a 5 escolas-piloto e aprovação do cronograma de oferta.[cite:22][cite:57][cite:75] Esse encaminhamento mantém a ambição estratégica do projeto, mas em escala compatível com a capacidade operacional atualmente disponível.[cite:29][cite:75]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pt-PT"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pt-PT"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2026-05-17T20:20:22.800Z</dcterms:created>
  <dcterms:modified xsi:type="dcterms:W3CDTF">2026-05-17T20:20:22.800Z</dcterms:modified>
</cp:coreProperties>
</file>