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车联网平台技术架构分析报告</w:t>
      </w:r>
    </w:p>
    <w:p>
      <w:pPr>
        <w:pStyle w:val="Subtitle"/>
      </w:pPr>
      <w:r>
        <w:t xml:space="preserve">自动驾驶/新能源车辆车联网解决方案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整体架构核心逻辑</w:t>
      </w:r>
    </w:p>
    <w:p>
      <w:pPr>
        <w:pStyle w:val="Heading2"/>
      </w:pPr>
      <w:r>
        <w:t xml:space="preserve">1.1 架构定位</w:t>
      </w:r>
    </w:p>
    <w:p>
      <w:pPr>
        <w:pStyle w:val="ListParagraph"/>
        <w:numPr>
          <w:ilvl w:val="0"/>
          <w:numId w:val="2"/>
        </w:numPr>
      </w:pPr>
      <w:r>
        <w:t xml:space="preserve">本报告围绕自动驾驶/新能源车辆车联网场景，构建完整的技术解决方案。架构设计遵循：</w:t>
      </w:r>
    </w:p>
    <w:p>
      <w:pPr>
        <w:pStyle w:val="ListParagraph"/>
        <w:numPr>
          <w:ilvl w:val="0"/>
          <w:numId w:val="2"/>
        </w:numPr>
      </w:pPr>
      <w:r>
        <w:t xml:space="preserve">云边端协同</w:t>
      </w:r>
    </w:p>
    <w:p>
      <w:pPr>
        <w:pStyle w:val="ListParagraph"/>
        <w:numPr>
          <w:ilvl w:val="0"/>
          <w:numId w:val="2"/>
        </w:numPr>
      </w:pPr>
      <w:r>
        <w:t xml:space="preserve">高可用、高可靠、高扩展</w:t>
      </w:r>
    </w:p>
    <w:p>
      <w:pPr>
        <w:pStyle w:val="ListParagraph"/>
        <w:numPr>
          <w:ilvl w:val="0"/>
          <w:numId w:val="2"/>
        </w:numPr>
      </w:pPr>
      <w:r>
        <w:t xml:space="preserve">数据安全与合规</w:t>
      </w:r>
    </w:p>
    <w:p>
      <w:pPr>
        <w:pStyle w:val="Heading2"/>
      </w:pPr>
      <w:r>
        <w:t xml:space="preserve">1.2 核心架构逻辑</w:t>
      </w:r>
    </w:p>
    <w:p>
      <w:r>
        <w:t xml:space="preserve">平台采用</w:t>
      </w:r>
      <w:r>
        <w:rPr>
          <w:b/>
          <w:bCs/>
        </w:rPr>
        <w:t xml:space="preserve">「MQTT（主）+ TCP（备）」</w:t>
      </w:r>
      <w:r>
        <w:t xml:space="preserve">通信链路为基础，以</w:t>
      </w:r>
      <w:r>
        <w:rPr>
          <w:b/>
          <w:bCs/>
        </w:rPr>
        <w:t xml:space="preserve">「云边端协同」</w:t>
      </w:r>
      <w:r>
        <w:t xml:space="preserve">为架构理念，以</w:t>
      </w:r>
      <w:r>
        <w:rPr>
          <w:b/>
          <w:bCs/>
        </w:rPr>
        <w:t xml:space="preserve">「多数据库分工存储」</w:t>
      </w:r>
      <w:r>
        <w:t xml:space="preserve">为数据底座，形成完整的车联网解决方案。</w:t>
      </w:r>
    </w:p>
    <w:p>
      <w:r>
        <w:br w:type="page"/>
      </w:r>
    </w:p>
    <w:p>
      <w:pPr>
        <w:pStyle w:val="Heading1"/>
      </w:pPr>
      <w:r>
        <w:t xml:space="preserve">第二章 核心组件落地方案</w:t>
      </w:r>
    </w:p>
    <w:p>
      <w:pPr>
        <w:pStyle w:val="Heading2"/>
      </w:pPr>
      <w:r>
        <w:t xml:space="preserve">2.1 通信层（EMQX 5.7）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部署方式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镜像部署，目录持久化，生产环境禁用匿名访问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心跳配置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分钟心跳间隔，适配车载弱网场景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限流策略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 VIN 连接数限流、消息频率限流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安全鉴权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 MySQL 实现 VIN/设备 SN 鉴权，密码 SHA256 加密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数据流转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 TDengine 桥接，MQTT 消息直接写入时序库，无需中间服务</w:t>
            </w:r>
          </w:p>
        </w:tc>
      </w:tr>
    </w:tbl>
    <w:p>
      <w:pPr>
        <w:pStyle w:val="Heading2"/>
      </w:pPr>
      <w:r>
        <w:t xml:space="preserve">2.2 数据存储层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存储内容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技术要点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车辆档案、订单、告警等结构化业务数据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大表需分表，</w:t>
            </w:r>
            <w:r>
              <w:rPr>
                <w:b/>
                <w:bCs/>
              </w:rPr>
              <w:t xml:space="preserve">禁止存储时序数据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车辆实时状态、分布式锁、热点缓存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仅保留最新数据，支持高并发读写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TDengine/InfluxDB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高频时序数据（电压、转速、定位等）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 VIN 分子表，低成本高吞吐，支持海量时序数据</w:t>
            </w:r>
          </w:p>
        </w:tc>
      </w:tr>
    </w:tbl>
    <w:p>
      <w:pPr>
        <w:pStyle w:val="Heading2"/>
      </w:pPr>
      <w:r>
        <w:t xml:space="preserve">2.3 配套工具与复用</w:t>
      </w:r>
    </w:p>
    <w:p>
      <w:pPr>
        <w:pStyle w:val="ListParagraph"/>
        <w:numPr>
          <w:ilvl w:val="0"/>
          <w:numId w:val="2"/>
        </w:numPr>
      </w:pPr>
      <w:r>
        <w:t xml:space="preserve">ThingsBoard：基于 PostgreSQL 14 部署，复用官方车联网模板，优化时序数据清理策略</w:t>
      </w:r>
    </w:p>
    <w:p>
      <w:pPr>
        <w:pStyle w:val="ListParagraph"/>
        <w:numPr>
          <w:ilvl w:val="0"/>
          <w:numId w:val="2"/>
        </w:numPr>
      </w:pPr>
      <w:r>
        <w:t xml:space="preserve">协议解析：直接复用 GitHub 上国标 32960/808 成熟 Codec 插件，支持粘包拆包、CRC 校验，避免重复开发</w:t>
      </w:r>
    </w:p>
    <w:p>
      <w:r>
        <w:br w:type="page"/>
      </w:r>
    </w:p>
    <w:p>
      <w:pPr>
        <w:pStyle w:val="Heading1"/>
      </w:pPr>
      <w:r>
        <w:t xml:space="preserve">第三章 开源组件及协议分析</w:t>
      </w:r>
    </w:p>
    <w:p>
      <w:pPr>
        <w:pStyle w:val="Heading2"/>
      </w:pPr>
      <w:r>
        <w:t xml:space="preserve">3.1 开源组件清单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30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开源协议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用途说明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EMQX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Apache 2.0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MQTT 消息 broker，通信核心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ThingsBoard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 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Apache 2.0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IoT 平台，复用官方模板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PostgreSQL License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ThingsBoard 底层数据库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7C00"/>
              </w:rPr>
              <w:t xml:space="preserve">GPL v2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结构化业务数据存储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BSD 3-Clause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缓存、实时状态、分布式锁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TDengine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</w:rPr>
              <w:t xml:space="preserve">AGPL v3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时序数据存储（需注意 AGPL 传染性）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InfluxDB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7C00"/>
              </w:rPr>
              <w:t xml:space="preserve">MIT / 专有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时序数据存储（备选方案）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Apache 2.0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容器化部署</w:t>
            </w:r>
          </w:p>
        </w:tc>
      </w:tr>
    </w:tbl>
    <w:p>
      <w:pPr>
        <w:pStyle w:val="Heading2"/>
      </w:pPr>
      <w:r>
        <w:t xml:space="preserve">3.2 开源协议风险评级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风险等级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协议类型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组件清单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🟢 低风险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2.0, BSD, PostgreSQL License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EMQX, ThingsBoard, Redis, Docker,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中风险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GPL v2（网络分发不触发）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MySQL（SaaS 模式无风险）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高风险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AGPL v3（网络分发即触发）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TDengine（需购买商业许可或隔离部署）</w:t>
            </w:r>
          </w:p>
        </w:tc>
      </w:tr>
    </w:tbl>
    <w:p>
      <w:pPr>
        <w:pStyle w:val="Heading2"/>
      </w:pPr>
      <w:r>
        <w:t xml:space="preserve">3.3 协议合规建议</w:t>
      </w:r>
    </w:p>
    <w:p>
      <w:pPr>
        <w:pStyle w:val="ListParagraph"/>
        <w:numPr>
          <w:ilvl w:val="0"/>
          <w:numId w:val="2"/>
        </w:numPr>
      </w:pPr>
      <w:r>
        <w:t xml:space="preserve">Apache 2.0 / BSD 类协议：可自由使用、修改、商业分发，需保留版权声明</w:t>
      </w:r>
    </w:p>
    <w:p>
      <w:pPr>
        <w:pStyle w:val="ListParagraph"/>
        <w:numPr>
          <w:ilvl w:val="0"/>
          <w:numId w:val="2"/>
        </w:numPr>
      </w:pPr>
      <w:r>
        <w:t xml:space="preserve">GPL v2（MySQL）：SaaS 模式无需开源，但分发二进制需开源修改内容</w:t>
      </w:r>
    </w:p>
    <w:p>
      <w:pPr>
        <w:pStyle w:val="ListParagraph"/>
        <w:numPr>
          <w:ilvl w:val="0"/>
          <w:numId w:val="2"/>
        </w:numPr>
      </w:pPr>
      <w:r>
        <w:t xml:space="preserve">AGPL v3（TDengine）：通过网络提供服务也视为分发，建议：</w:t>
      </w:r>
    </w:p>
    <w:p>
      <w:pPr>
        <w:pStyle w:val="ListParagraph"/>
        <w:numPr>
          <w:ilvl w:val="0"/>
          <w:numId w:val="3"/>
        </w:numPr>
      </w:pPr>
      <w:r>
        <w:t xml:space="preserve">方案 A：购买 TDengine 商业许可（推荐生产环境）</w:t>
      </w:r>
    </w:p>
    <w:p>
      <w:pPr>
        <w:pStyle w:val="ListParagraph"/>
        <w:numPr>
          <w:ilvl w:val="0"/>
          <w:numId w:val="3"/>
        </w:numPr>
      </w:pPr>
      <w:r>
        <w:t xml:space="preserve">方案 B：将 TDengine 部署在独立服务，通过 API 调用隔离</w:t>
      </w:r>
    </w:p>
    <w:p>
      <w:pPr>
        <w:pStyle w:val="ListParagraph"/>
        <w:numPr>
          <w:ilvl w:val="0"/>
          <w:numId w:val="3"/>
        </w:numPr>
      </w:pPr>
      <w:r>
        <w:t xml:space="preserve">方案 C：切换至 InfluxDB（MIT 协议版本 2.x 之前）或 TimescaleDB（Apache 2.0）</w:t>
      </w:r>
    </w:p>
    <w:p>
      <w:r>
        <w:br w:type="page"/>
      </w:r>
    </w:p>
    <w:p>
      <w:pPr>
        <w:pStyle w:val="Heading1"/>
      </w:pPr>
      <w:r>
        <w:t xml:space="preserve">第四章 部署与高可用策略</w:t>
      </w:r>
    </w:p>
    <w:p>
      <w:pPr>
        <w:pStyle w:val="Heading2"/>
      </w:pPr>
      <w:r>
        <w:t xml:space="preserve">4.1 部署分级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测试环境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单机 Docker Compose 一键部署，快速验证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生产环境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按业务/时序/网关分离部署，仅开放 443/8883/22 端口</w:t>
            </w:r>
          </w:p>
        </w:tc>
      </w:tr>
    </w:tbl>
    <w:p>
      <w:pPr>
        <w:pStyle w:val="Heading2"/>
      </w:pPr>
      <w:r>
        <w:t xml:space="preserve">4.2 主备链路设计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链路类型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特点说明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MQTT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主链路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常态上云、平台化管理、标准化协议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备用链路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本地直连、低时延、断网自治</w:t>
            </w:r>
          </w:p>
        </w:tc>
      </w:tr>
    </w:tbl>
    <w:p>
      <w:pPr>
        <w:pStyle w:val="Heading2"/>
      </w:pPr>
      <w:r>
        <w:t xml:space="preserve">4.3 数据闭环流程</w:t>
      </w:r>
    </w:p>
    <w:p>
      <w:r>
        <w:t xml:space="preserve">车端报文</w:t>
      </w:r>
      <w:r>
        <w:rPr>
          <w:b/>
          <w:bCs/>
        </w:rPr>
        <w:t xml:space="preserve"> → </w:t>
      </w:r>
      <w:r>
        <w:t xml:space="preserve">EMQX 解析</w:t>
      </w:r>
      <w:r>
        <w:rPr>
          <w:b/>
          <w:bCs/>
        </w:rPr>
        <w:t xml:space="preserve"> → </w:t>
      </w:r>
      <w:r>
        <w:t xml:space="preserve">实时状态入 Redis</w:t>
      </w:r>
      <w:r>
        <w:rPr>
          <w:b/>
          <w:bCs/>
        </w:rPr>
        <w:t xml:space="preserve"> + </w:t>
      </w:r>
      <w:r>
        <w:t xml:space="preserve">全量时序数据入 TDengine</w:t>
      </w:r>
      <w:r>
        <w:rPr>
          <w:b/>
          <w:bCs/>
        </w:rPr>
        <w:t xml:space="preserve"> + </w:t>
      </w:r>
      <w:r>
        <w:t xml:space="preserve">业务数据入 MySQL</w:t>
      </w:r>
    </w:p>
    <w:p>
      <w:r>
        <w:t xml:space="preserve">支撑实时监控与历史分析，形成完整数据闭环。</w:t>
      </w:r>
    </w:p>
    <w:p>
      <w:r>
        <w:br w:type="page"/>
      </w:r>
    </w:p>
    <w:p>
      <w:pPr>
        <w:pStyle w:val="Heading1"/>
      </w:pPr>
      <w:r>
        <w:t xml:space="preserve">第五章 总结与建议</w:t>
      </w:r>
    </w:p>
    <w:p>
      <w:pPr>
        <w:pStyle w:val="Heading2"/>
      </w:pPr>
      <w:r>
        <w:t xml:space="preserve">5.1 架构优势</w:t>
      </w:r>
    </w:p>
    <w:p>
      <w:pPr>
        <w:pStyle w:val="ListParagraph"/>
        <w:numPr>
          <w:ilvl w:val="0"/>
          <w:numId w:val="2"/>
        </w:numPr>
      </w:pPr>
      <w:r>
        <w:t xml:space="preserve">技术选型成熟：采用行业主流开源组件，降低开发成本和维护风险</w:t>
      </w:r>
    </w:p>
    <w:p>
      <w:pPr>
        <w:pStyle w:val="ListParagraph"/>
        <w:numPr>
          <w:ilvl w:val="0"/>
          <w:numId w:val="2"/>
        </w:numPr>
      </w:pPr>
      <w:r>
        <w:t xml:space="preserve">架构设计合理：MQTT+TCP 双链路保障通信可靠性，多数据库分工优化性能</w:t>
      </w:r>
    </w:p>
    <w:p>
      <w:pPr>
        <w:pStyle w:val="ListParagraph"/>
        <w:numPr>
          <w:ilvl w:val="0"/>
          <w:numId w:val="2"/>
        </w:numPr>
      </w:pPr>
      <w:r>
        <w:t xml:space="preserve">复用策略明智：直接复用成熟 Codec 插件和 ThingsBoard 模板，避免重复造轮子</w:t>
      </w:r>
    </w:p>
    <w:p>
      <w:pPr>
        <w:pStyle w:val="ListParagraph"/>
        <w:numPr>
          <w:ilvl w:val="0"/>
          <w:numId w:val="2"/>
        </w:numPr>
      </w:pPr>
      <w:r>
        <w:t xml:space="preserve">扩展性良好：云边端协同架构支持横向扩展，适应业务增长</w:t>
      </w:r>
    </w:p>
    <w:p>
      <w:pPr>
        <w:pStyle w:val="Heading2"/>
      </w:pPr>
      <w:r>
        <w:t xml:space="preserve">5.2 风险提示</w:t>
      </w:r>
    </w:p>
    <w:p>
      <w:pPr>
        <w:pStyle w:val="ListParagraph"/>
        <w:numPr>
          <w:ilvl w:val="0"/>
          <w:numId w:val="2"/>
        </w:numPr>
      </w:pPr>
      <w:r>
        <w:t xml:space="preserve">TDengine AGPL 协议风险：生产环境建议购买商业许可或采用隔离部署策略</w:t>
      </w:r>
    </w:p>
    <w:p>
      <w:pPr>
        <w:pStyle w:val="ListParagraph"/>
        <w:numPr>
          <w:ilvl w:val="0"/>
          <w:numId w:val="2"/>
        </w:numPr>
      </w:pPr>
      <w:r>
        <w:t xml:space="preserve">MySQL GPL 协议：SaaS 模式无风险，但需注意分发场景的合规要求</w:t>
      </w:r>
    </w:p>
    <w:p>
      <w:pPr>
        <w:pStyle w:val="ListParagraph"/>
        <w:numPr>
          <w:ilvl w:val="0"/>
          <w:numId w:val="2"/>
        </w:numPr>
      </w:pPr>
      <w:r>
        <w:t xml:space="preserve">弱网适配：需充分测试 30 分钟心跳和限流策略在真实车载环境的表现</w:t>
      </w:r>
    </w:p>
    <w:p>
      <w:pPr>
        <w:pStyle w:val="Heading2"/>
      </w:pPr>
      <w:r>
        <w:t xml:space="preserve">5.3 后续建议</w:t>
      </w:r>
    </w:p>
    <w:p>
      <w:pPr>
        <w:pStyle w:val="ListParagraph"/>
        <w:numPr>
          <w:ilvl w:val="0"/>
          <w:numId w:val="2"/>
        </w:numPr>
      </w:pPr>
      <w:r>
        <w:t xml:space="preserve">完成开源协议合规审查，必要时采购商业许可</w:t>
      </w:r>
    </w:p>
    <w:p>
      <w:pPr>
        <w:pStyle w:val="ListParagraph"/>
        <w:numPr>
          <w:ilvl w:val="0"/>
          <w:numId w:val="2"/>
        </w:numPr>
      </w:pPr>
      <w:r>
        <w:t xml:space="preserve">建立监控告警体系，覆盖 EMQX、数据库、应用层全链路</w:t>
      </w:r>
    </w:p>
    <w:p>
      <w:pPr>
        <w:pStyle w:val="ListParagraph"/>
        <w:numPr>
          <w:ilvl w:val="0"/>
          <w:numId w:val="2"/>
        </w:numPr>
      </w:pPr>
      <w:r>
        <w:t xml:space="preserve">制定灾备方案，包括数据备份、故障切换、应急响应流程</w:t>
      </w:r>
    </w:p>
    <w:p>
      <w:pPr>
        <w:pStyle w:val="ListParagraph"/>
        <w:numPr>
          <w:ilvl w:val="0"/>
          <w:numId w:val="2"/>
        </w:numPr>
      </w:pPr>
      <w:r>
        <w:t xml:space="preserve">持续优化协议解析性能，支持更多国标协议和车企私有协议</w:t>
      </w:r>
    </w:p>
    <w:p>
      <w:r>
        <w:br w:type="page"/>
      </w:r>
    </w:p>
    <w:p>
      <w:pPr>
        <w:pStyle w:val="Heading1"/>
      </w:pPr>
      <w:r>
        <w:t xml:space="preserve">附录：开源协议快速参考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协议名称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核心条款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Apache 2.0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允许商业使用、修改、分发，需保留版权和许可证声明，提供变更说明，专利授权明确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BSD 3-Clause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允许商业使用、修改、分发，需保留版权声明，不得使用作者名义推广衍生产品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GPL v2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分发二进制需开源修改内容，SaaS 模式无需开源，具有强传染性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AGPL v3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GPL v3 基础上增加网络条款，通过网络提供服务也视为分发，需开源完整源代码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PostgreSQL License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 BSD 协议，允许商业使用、修改、分发，需保留版权声明，非常宽松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sz w:val="28"/>
          <w:szCs w:val="28"/>
        </w:rPr>
        <w:t xml:space="preserve">—— 报告结束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渔晓白 · AI 系统构建者 ·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t xml:space="preserve">2026-03-12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车联网平台技术架构分析报告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color w:val="3D6A9B"/>
      <w:sz w:val="28"/>
      <w:szCs w:val="28"/>
    </w:rPr>
  </w:style>
  <w:style w:type="paragraph" w:styleId="Title">
    <w:name w:val="Title"/>
    <w:basedOn w:val="Normal"/>
    <w:next w:val="Normal"/>
    <w:qFormat/>
    <w:pPr>
      <w:spacing w:after="400" w:before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300" w:before="100"/>
      <w:jc w:val="center"/>
    </w:pPr>
    <w:rPr>
      <w:rFonts w:ascii="Arial" w:cs="Arial" w:eastAsia="Arial" w:hAnsi="Arial"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2026-03-12T03:47:15.449Z</dcterms:created>
  <dcterms:modified xsi:type="dcterms:W3CDTF">2026-03-12T03:47:15.449Z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