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b w:val="1"/>
          <w:bCs w:val="1"/>
          <w:rtl w:val="0"/>
        </w:rPr>
        <w:t xml:space="preserve">Step 0) Identify beliefs about university research.</w:t>
      </w:r>
      <w:r w:rsidDel="00000000" w:rsidR="00000000" w:rsidRPr="00000000">
        <w:rPr>
          <w:rtl w:val="0"/>
        </w:rPr>
        <w:t xml:space="preserve"> We will conduct a literature review identifying relevant existing work  about the general population’s beliefs about university research and government funding of that work. In addition, we will conduct a small formative survey in which individuals generate responses to open-ended questions about university research and government funding.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Step 1) Identify beliefs and narratives that increase public support for university research.</w:t>
      </w:r>
      <w:r w:rsidDel="00000000" w:rsidR="00000000" w:rsidRPr="00000000">
        <w:rPr>
          <w:rtl w:val="0"/>
        </w:rPr>
        <w:t xml:space="preserve">  We will conduct a cross-sectional survey to map public beliefs about higher education and federal research funding, and identify attitudes most amenable to change. This could include assessment of individuals’ understanding and attitudes around the ways that universities put knowledge into action (e.g., understanding of different forms of knowledge generated by research at universities, and what functions that knowledge can serve). We anticipate that a 20 minute survey of 300 participants (using the online survey platform Prolific) will be sufficient to initiate this exploration. We expect to complete this survey by the end of April.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Step 2)  Pilot a communication framework for Penn research</w:t>
      </w:r>
      <w:r w:rsidDel="00000000" w:rsidR="00000000" w:rsidRPr="00000000">
        <w:rPr>
          <w:rtl w:val="0"/>
        </w:rPr>
        <w:t xml:space="preserve">. In collaboration with ASC communications and marketing, we will conduct A/B testing of message frames using real research examples from ASC and APPC, as well as other interested groups (e.g., Sanya Carley’s team focused on cross-campus climate research). First, we will utilize news pieces previously published (~N=140 recent stories). We will adapt message frames (primarily focusing on the story headline and lede), aiming to change the beliefs identified as promising targets in Step 1. Depending on the outcomes of Step 1, we will test up to 10 possible message frames with these existing news pieces, and will measure changes in beliefs, attitudes, and action intentions. We will start with stories related to research on climate change, given Penn’s unique, interdisciplinary work in developing approaches to mitigate and adapt to climate change, locally and worldwide, and the intersection of interests across ASC, APPC, the Vice Provost for Research and Vice Provost for Climate priorities.  We anticipate requiring up to 3,000 participants (across all conditions) to complete a short (10 min) survey. We will aim to complete this by the end of May.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Step 3) Iteratively test this communication framework in the ASC newsletter and other Penn outlets</w:t>
      </w:r>
      <w:r w:rsidDel="00000000" w:rsidR="00000000" w:rsidRPr="00000000">
        <w:rPr>
          <w:rtl w:val="0"/>
        </w:rPr>
        <w:t xml:space="preserve">. We will integrate the most effective message frames from Step 2 into the design of stories for Penn communications.  We have already secured approval to use the ASC newsletter, which publicizes 3 research stories per month, as an initial proof of concept, and will also talk with others about providing consultation (e.g., Sanya’s team’s communications). Each month from June through August, we will create several possible message frames for each of the 3 upcoming stories, and test their effectiveness online prior to publication in the newsletter. We anticipate that in each month, we will test 3 possible frames for each of the 3 upcoming stories, with the most effective framing from the online study being published in the newsletter. After newsletter publication, we will track engagement with each story, and relate this to the message frame. We expect to conduct this work for the June, July, and August ASC newsletters.</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