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F90B" w14:textId="3E4A9E4B" w:rsidR="00EB2657" w:rsidRPr="00EB2657" w:rsidRDefault="00EB2657" w:rsidP="003F6A46">
      <w:pPr>
        <w:pStyle w:val="NormalWeb"/>
        <w:rPr>
          <w:rFonts w:asciiTheme="minorHAnsi" w:hAnsiTheme="minorHAnsi"/>
          <w:color w:val="000000"/>
        </w:rPr>
      </w:pPr>
      <w:r>
        <w:rPr>
          <w:rFonts w:asciiTheme="minorHAnsi" w:hAnsiTheme="minorHAnsi"/>
          <w:b/>
          <w:bCs/>
          <w:color w:val="000000"/>
        </w:rPr>
        <w:t>Context for Working Group:</w:t>
      </w:r>
      <w:r>
        <w:rPr>
          <w:rFonts w:asciiTheme="minorHAnsi" w:hAnsiTheme="minorHAnsi"/>
          <w:color w:val="000000"/>
        </w:rPr>
        <w:t xml:space="preserve"> This document was drafted with the following questions in mind – what are universities uniquely positioned to achieve in today’s world, and what could Penn achieve better than any other institution? These are some of the questions that should be on our mind, as well as the critical next questions – how do realize this vision of Penn in an uncertain funding landscape? What organizational actions are necessary to realize this vision of our institution? </w:t>
      </w:r>
    </w:p>
    <w:p w14:paraId="5798EC55" w14:textId="56A9CFBF" w:rsidR="003F6A46" w:rsidRPr="00304135" w:rsidRDefault="003F6A46" w:rsidP="003F6A46">
      <w:pPr>
        <w:pStyle w:val="NormalWeb"/>
        <w:rPr>
          <w:rFonts w:asciiTheme="minorHAnsi" w:hAnsiTheme="minorHAnsi"/>
          <w:color w:val="000000"/>
        </w:rPr>
      </w:pPr>
      <w:r w:rsidRPr="00304135">
        <w:rPr>
          <w:rFonts w:asciiTheme="minorHAnsi" w:hAnsiTheme="minorHAnsi"/>
          <w:b/>
          <w:bCs/>
          <w:color w:val="000000"/>
        </w:rPr>
        <w:t xml:space="preserve">Background: </w:t>
      </w:r>
      <w:r w:rsidRPr="00304135">
        <w:rPr>
          <w:rFonts w:asciiTheme="minorHAnsi" w:hAnsiTheme="minorHAnsi"/>
          <w:color w:val="000000"/>
        </w:rPr>
        <w:t xml:space="preserve">Early American colleges pursued a civic preparation mission - educating graduates to serve as ministers, teachers, and business leaders in growing colonial societies. The modern university emerged in the late 19th and early 20th centuries, incorporating research (discovery) and scholarship (interpretation, </w:t>
      </w:r>
      <w:proofErr w:type="gramStart"/>
      <w:r w:rsidRPr="00304135">
        <w:rPr>
          <w:rFonts w:asciiTheme="minorHAnsi" w:hAnsiTheme="minorHAnsi"/>
          <w:color w:val="000000"/>
        </w:rPr>
        <w:t>meaning-making</w:t>
      </w:r>
      <w:proofErr w:type="gramEnd"/>
      <w:r w:rsidRPr="00304135">
        <w:rPr>
          <w:rFonts w:asciiTheme="minorHAnsi" w:hAnsiTheme="minorHAnsi"/>
          <w:color w:val="000000"/>
        </w:rPr>
        <w:t>) into its core mission. The discovery mission expanded at the end of the 20</w:t>
      </w:r>
      <w:r w:rsidRPr="00304135">
        <w:rPr>
          <w:rFonts w:asciiTheme="minorHAnsi" w:hAnsiTheme="minorHAnsi"/>
          <w:color w:val="000000"/>
          <w:vertAlign w:val="superscript"/>
        </w:rPr>
        <w:t>th</w:t>
      </w:r>
      <w:r w:rsidRPr="00304135">
        <w:rPr>
          <w:rFonts w:asciiTheme="minorHAnsi" w:hAnsiTheme="minorHAnsi"/>
          <w:color w:val="000000"/>
        </w:rPr>
        <w:t xml:space="preserve"> century to include use-inspired basic research, which has transitioned many universities into connecting the outcomes of the research and scholarship with practical problems in society.</w:t>
      </w:r>
    </w:p>
    <w:p w14:paraId="20AF5438" w14:textId="73968AEC" w:rsidR="003F6A46" w:rsidRPr="00304135" w:rsidRDefault="003F6A46" w:rsidP="003F6A46">
      <w:pPr>
        <w:pStyle w:val="NormalWeb"/>
        <w:rPr>
          <w:rFonts w:asciiTheme="minorHAnsi" w:hAnsiTheme="minorHAnsi"/>
          <w:color w:val="000000"/>
        </w:rPr>
      </w:pPr>
      <w:r w:rsidRPr="00304135">
        <w:rPr>
          <w:rFonts w:asciiTheme="minorHAnsi" w:hAnsiTheme="minorHAnsi"/>
          <w:color w:val="000000"/>
        </w:rPr>
        <w:t>We now stand at a third inflection point for the world's universities. Universities have become the natural venues for investigating transformative ideas that address humanity's most pressing challenges – examples include climate change, sustainable health, social mobility, democratic governance, and technological change. Universities are uniquely positioned to understand how solutions to these complex problems affect different communities and populations. Most significantly, universities are increasingly expected to </w:t>
      </w:r>
      <w:r w:rsidRPr="00304135">
        <w:rPr>
          <w:rFonts w:asciiTheme="minorHAnsi" w:hAnsiTheme="minorHAnsi"/>
          <w:i/>
          <w:iCs/>
          <w:color w:val="000000"/>
        </w:rPr>
        <w:t>activate</w:t>
      </w:r>
      <w:r w:rsidRPr="00304135">
        <w:rPr>
          <w:rFonts w:asciiTheme="minorHAnsi" w:hAnsiTheme="minorHAnsi"/>
          <w:color w:val="000000"/>
        </w:rPr>
        <w:t xml:space="preserve"> these ideas on behalf of society, moving beyond knowledge creation </w:t>
      </w:r>
      <w:r>
        <w:rPr>
          <w:rFonts w:asciiTheme="minorHAnsi" w:hAnsiTheme="minorHAnsi"/>
          <w:color w:val="000000"/>
        </w:rPr>
        <w:t>and use in</w:t>
      </w:r>
      <w:r w:rsidRPr="00304135">
        <w:rPr>
          <w:rFonts w:asciiTheme="minorHAnsi" w:hAnsiTheme="minorHAnsi"/>
          <w:color w:val="000000"/>
        </w:rPr>
        <w:t xml:space="preserve">to catalysts for </w:t>
      </w:r>
      <w:r w:rsidR="00830EBE">
        <w:rPr>
          <w:rFonts w:asciiTheme="minorHAnsi" w:hAnsiTheme="minorHAnsi"/>
          <w:color w:val="000000"/>
        </w:rPr>
        <w:t>public</w:t>
      </w:r>
      <w:r>
        <w:rPr>
          <w:rFonts w:asciiTheme="minorHAnsi" w:hAnsiTheme="minorHAnsi"/>
          <w:color w:val="000000"/>
        </w:rPr>
        <w:t xml:space="preserve"> </w:t>
      </w:r>
      <w:r w:rsidR="00830EBE">
        <w:rPr>
          <w:rFonts w:asciiTheme="minorHAnsi" w:hAnsiTheme="minorHAnsi"/>
          <w:color w:val="000000"/>
        </w:rPr>
        <w:t>well-being</w:t>
      </w:r>
      <w:r w:rsidRPr="00304135">
        <w:rPr>
          <w:rFonts w:asciiTheme="minorHAnsi" w:hAnsiTheme="minorHAnsi"/>
          <w:color w:val="000000"/>
        </w:rPr>
        <w:t xml:space="preserve">. </w:t>
      </w:r>
    </w:p>
    <w:p w14:paraId="0168D2E3" w14:textId="2B5EE5B1" w:rsidR="00B72B86" w:rsidRPr="00B72B86" w:rsidRDefault="003F6A46" w:rsidP="00B72B86">
      <w:pPr>
        <w:pStyle w:val="NormalWeb"/>
        <w:rPr>
          <w:rFonts w:asciiTheme="minorHAnsi" w:hAnsiTheme="minorHAnsi"/>
          <w:color w:val="000000"/>
        </w:rPr>
      </w:pPr>
      <w:r w:rsidRPr="00B72B86">
        <w:rPr>
          <w:rFonts w:asciiTheme="minorHAnsi" w:hAnsiTheme="minorHAnsi"/>
          <w:b/>
          <w:bCs/>
          <w:color w:val="000000"/>
        </w:rPr>
        <w:t>Knowledge for action:</w:t>
      </w:r>
      <w:r w:rsidRPr="00B72B86">
        <w:rPr>
          <w:rFonts w:asciiTheme="minorHAnsi" w:hAnsiTheme="minorHAnsi"/>
          <w:color w:val="000000"/>
        </w:rPr>
        <w:t xml:space="preserve"> </w:t>
      </w:r>
      <w:r w:rsidR="00B72B86" w:rsidRPr="00B72B86">
        <w:rPr>
          <w:rFonts w:asciiTheme="minorHAnsi" w:hAnsiTheme="minorHAnsi"/>
          <w:color w:val="000000"/>
        </w:rPr>
        <w:t>There are many ways to organize our understanding of a university's research mission. One way is to think about the </w:t>
      </w:r>
      <w:r w:rsidR="00B72B86" w:rsidRPr="00B72B86">
        <w:rPr>
          <w:rFonts w:asciiTheme="minorHAnsi" w:hAnsiTheme="minorHAnsi"/>
          <w:i/>
          <w:iCs/>
          <w:color w:val="000000"/>
        </w:rPr>
        <w:t>form</w:t>
      </w:r>
      <w:r w:rsidR="00B72B86" w:rsidRPr="00B72B86">
        <w:rPr>
          <w:rFonts w:asciiTheme="minorHAnsi" w:hAnsiTheme="minorHAnsi"/>
          <w:color w:val="000000"/>
        </w:rPr>
        <w:t> of knowledge encompassed by the faculty and the </w:t>
      </w:r>
      <w:r w:rsidR="00B72B86" w:rsidRPr="00B72B86">
        <w:rPr>
          <w:rFonts w:asciiTheme="minorHAnsi" w:hAnsiTheme="minorHAnsi"/>
          <w:i/>
          <w:iCs/>
          <w:color w:val="000000"/>
        </w:rPr>
        <w:t>function</w:t>
      </w:r>
      <w:r w:rsidR="00B72B86" w:rsidRPr="00B72B86">
        <w:rPr>
          <w:rFonts w:asciiTheme="minorHAnsi" w:hAnsiTheme="minorHAnsi"/>
          <w:color w:val="000000"/>
        </w:rPr>
        <w:t> this knowledge provides for the public good. In this framework, knowledge takes different forms - from </w:t>
      </w:r>
      <w:r w:rsidR="00B72B86" w:rsidRPr="00B72B86">
        <w:rPr>
          <w:rFonts w:asciiTheme="minorHAnsi" w:hAnsiTheme="minorHAnsi"/>
          <w:b/>
          <w:bCs/>
          <w:color w:val="000000"/>
        </w:rPr>
        <w:t>Discovery</w:t>
      </w:r>
      <w:r w:rsidR="00B72B86" w:rsidRPr="00B72B86">
        <w:rPr>
          <w:rFonts w:asciiTheme="minorHAnsi" w:hAnsiTheme="minorHAnsi"/>
          <w:color w:val="000000"/>
        </w:rPr>
        <w:t> (generating new understanding through original research), to </w:t>
      </w:r>
      <w:proofErr w:type="gramStart"/>
      <w:r w:rsidR="00B72B86" w:rsidRPr="00B72B86">
        <w:rPr>
          <w:rFonts w:asciiTheme="minorHAnsi" w:hAnsiTheme="minorHAnsi"/>
          <w:b/>
          <w:bCs/>
          <w:color w:val="000000"/>
        </w:rPr>
        <w:t>Use</w:t>
      </w:r>
      <w:r w:rsidR="00B72B86" w:rsidRPr="00B72B86">
        <w:rPr>
          <w:rFonts w:asciiTheme="minorHAnsi" w:hAnsiTheme="minorHAnsi"/>
          <w:color w:val="000000"/>
        </w:rPr>
        <w:t> (applying existing knowledge across contexts and disciplines),</w:t>
      </w:r>
      <w:proofErr w:type="gramEnd"/>
      <w:r w:rsidR="00B72B86" w:rsidRPr="00B72B86">
        <w:rPr>
          <w:rFonts w:asciiTheme="minorHAnsi" w:hAnsiTheme="minorHAnsi"/>
          <w:color w:val="000000"/>
        </w:rPr>
        <w:t xml:space="preserve"> to </w:t>
      </w:r>
      <w:r w:rsidR="00B72B86" w:rsidRPr="00B72B86">
        <w:rPr>
          <w:rFonts w:asciiTheme="minorHAnsi" w:hAnsiTheme="minorHAnsi"/>
          <w:b/>
          <w:bCs/>
          <w:color w:val="000000"/>
        </w:rPr>
        <w:t>Purpose</w:t>
      </w:r>
      <w:r w:rsidR="00B72B86" w:rsidRPr="00B72B86">
        <w:rPr>
          <w:rFonts w:asciiTheme="minorHAnsi" w:hAnsiTheme="minorHAnsi"/>
          <w:color w:val="000000"/>
        </w:rPr>
        <w:t> (directing knowledge strategically toward specific goals). These forms serve different functions: they </w:t>
      </w:r>
      <w:r w:rsidR="00B72B86" w:rsidRPr="00B72B86">
        <w:rPr>
          <w:rFonts w:asciiTheme="minorHAnsi" w:hAnsiTheme="minorHAnsi"/>
          <w:b/>
          <w:bCs/>
          <w:color w:val="000000"/>
        </w:rPr>
        <w:t>Create</w:t>
      </w:r>
      <w:r w:rsidR="00B72B86" w:rsidRPr="00B72B86">
        <w:rPr>
          <w:rFonts w:asciiTheme="minorHAnsi" w:hAnsiTheme="minorHAnsi"/>
          <w:color w:val="000000"/>
        </w:rPr>
        <w:t> new understanding and frameworks, </w:t>
      </w:r>
      <w:proofErr w:type="gramStart"/>
      <w:r w:rsidR="00B72B86" w:rsidRPr="00B72B86">
        <w:rPr>
          <w:rFonts w:asciiTheme="minorHAnsi" w:hAnsiTheme="minorHAnsi"/>
          <w:b/>
          <w:bCs/>
          <w:color w:val="000000"/>
        </w:rPr>
        <w:t>Connect</w:t>
      </w:r>
      <w:proofErr w:type="gramEnd"/>
      <w:r w:rsidR="00B72B86" w:rsidRPr="00B72B86">
        <w:rPr>
          <w:rFonts w:asciiTheme="minorHAnsi" w:hAnsiTheme="minorHAnsi"/>
          <w:color w:val="000000"/>
        </w:rPr>
        <w:t> ideas across boundaries and communities, and </w:t>
      </w:r>
      <w:r w:rsidR="00B72B86" w:rsidRPr="00B72B86">
        <w:rPr>
          <w:rFonts w:asciiTheme="minorHAnsi" w:hAnsiTheme="minorHAnsi"/>
          <w:b/>
          <w:bCs/>
          <w:color w:val="000000"/>
        </w:rPr>
        <w:t>Apply</w:t>
      </w:r>
      <w:r w:rsidR="00B72B86" w:rsidRPr="00B72B86">
        <w:rPr>
          <w:rFonts w:asciiTheme="minorHAnsi" w:hAnsiTheme="minorHAnsi"/>
          <w:color w:val="000000"/>
        </w:rPr>
        <w:t> knowledge-based solutions to societal needs. Penn's mRNA vaccine work exemplifies this progression - from Weissman and Karikó's fundamental RNA discoveries (Discovery/Create) through adaptation for vaccine development (Use/Connect) to global vaccination efforts (Purpose/Apply).</w:t>
      </w:r>
    </w:p>
    <w:p w14:paraId="2D6EFAC0" w14:textId="4DDF5AAF" w:rsidR="00B72B86" w:rsidRPr="00B72B86" w:rsidRDefault="00B72B86" w:rsidP="00B72B86">
      <w:pPr>
        <w:pStyle w:val="NormalWeb"/>
        <w:rPr>
          <w:rFonts w:asciiTheme="minorHAnsi" w:hAnsiTheme="minorHAnsi"/>
          <w:color w:val="000000"/>
        </w:rPr>
      </w:pPr>
      <w:r w:rsidRPr="00B72B86">
        <w:rPr>
          <w:rFonts w:asciiTheme="minorHAnsi" w:hAnsiTheme="minorHAnsi"/>
          <w:color w:val="000000"/>
        </w:rPr>
        <w:t>Another way is to consider the ecology of knowledge that emerges from a university campus - the different types of scholars and their roles. In this ecology, </w:t>
      </w:r>
      <w:r w:rsidRPr="00B72B86">
        <w:rPr>
          <w:rFonts w:asciiTheme="minorHAnsi" w:hAnsiTheme="minorHAnsi"/>
          <w:b/>
          <w:bCs/>
          <w:color w:val="000000"/>
        </w:rPr>
        <w:t>Explorers</w:t>
      </w:r>
      <w:r w:rsidRPr="00B72B86">
        <w:rPr>
          <w:rFonts w:asciiTheme="minorHAnsi" w:hAnsiTheme="minorHAnsi"/>
          <w:color w:val="000000"/>
        </w:rPr>
        <w:t xml:space="preserve"> generat</w:t>
      </w:r>
      <w:r>
        <w:rPr>
          <w:rFonts w:asciiTheme="minorHAnsi" w:hAnsiTheme="minorHAnsi"/>
          <w:color w:val="000000"/>
        </w:rPr>
        <w:t>e</w:t>
      </w:r>
      <w:r w:rsidRPr="00B72B86">
        <w:rPr>
          <w:rFonts w:asciiTheme="minorHAnsi" w:hAnsiTheme="minorHAnsi"/>
          <w:color w:val="000000"/>
        </w:rPr>
        <w:t xml:space="preserve"> fundamental discoveries like RNA research or Emily Wilson's Iliad</w:t>
      </w:r>
      <w:r>
        <w:rPr>
          <w:rFonts w:asciiTheme="minorHAnsi" w:hAnsiTheme="minorHAnsi"/>
          <w:color w:val="000000"/>
        </w:rPr>
        <w:t xml:space="preserve"> </w:t>
      </w:r>
      <w:r w:rsidRPr="00B72B86">
        <w:rPr>
          <w:rFonts w:asciiTheme="minorHAnsi" w:hAnsiTheme="minorHAnsi"/>
          <w:color w:val="000000"/>
        </w:rPr>
        <w:t>translation. </w:t>
      </w:r>
      <w:r w:rsidRPr="00B72B86">
        <w:rPr>
          <w:rFonts w:asciiTheme="minorHAnsi" w:hAnsiTheme="minorHAnsi"/>
          <w:b/>
          <w:bCs/>
          <w:color w:val="000000"/>
        </w:rPr>
        <w:t>Builders</w:t>
      </w:r>
      <w:r w:rsidRPr="00B72B86">
        <w:rPr>
          <w:rFonts w:asciiTheme="minorHAnsi" w:hAnsiTheme="minorHAnsi"/>
          <w:color w:val="000000"/>
        </w:rPr>
        <w:t> transform knowledge into tools and solutions, such as Carl June's CAR-T immunotherapy. </w:t>
      </w:r>
      <w:r w:rsidRPr="00B72B86">
        <w:rPr>
          <w:rFonts w:asciiTheme="minorHAnsi" w:hAnsiTheme="minorHAnsi"/>
          <w:b/>
          <w:bCs/>
          <w:color w:val="000000"/>
        </w:rPr>
        <w:t>Interpreters</w:t>
      </w:r>
      <w:r w:rsidRPr="00B72B86">
        <w:rPr>
          <w:rFonts w:asciiTheme="minorHAnsi" w:hAnsiTheme="minorHAnsi"/>
          <w:color w:val="000000"/>
        </w:rPr>
        <w:t> create meaning and context, like Chris Woods's work deciphering Cuneiform. </w:t>
      </w:r>
      <w:r w:rsidRPr="00B72B86">
        <w:rPr>
          <w:rFonts w:asciiTheme="minorHAnsi" w:hAnsiTheme="minorHAnsi"/>
          <w:b/>
          <w:bCs/>
          <w:color w:val="000000"/>
        </w:rPr>
        <w:t>Bridgers</w:t>
      </w:r>
      <w:r w:rsidRPr="00B72B86">
        <w:rPr>
          <w:rFonts w:asciiTheme="minorHAnsi" w:hAnsiTheme="minorHAnsi"/>
          <w:color w:val="000000"/>
        </w:rPr>
        <w:t> </w:t>
      </w:r>
      <w:proofErr w:type="gramStart"/>
      <w:r w:rsidRPr="00B72B86">
        <w:rPr>
          <w:rFonts w:asciiTheme="minorHAnsi" w:hAnsiTheme="minorHAnsi"/>
          <w:color w:val="000000"/>
        </w:rPr>
        <w:t>connect</w:t>
      </w:r>
      <w:proofErr w:type="gramEnd"/>
      <w:r w:rsidRPr="00B72B86">
        <w:rPr>
          <w:rFonts w:asciiTheme="minorHAnsi" w:hAnsiTheme="minorHAnsi"/>
          <w:color w:val="000000"/>
        </w:rPr>
        <w:t xml:space="preserve"> across disciplines and communities, </w:t>
      </w:r>
      <w:r w:rsidRPr="00B72B86">
        <w:rPr>
          <w:rFonts w:asciiTheme="minorHAnsi" w:hAnsiTheme="minorHAnsi"/>
          <w:color w:val="000000"/>
        </w:rPr>
        <w:lastRenderedPageBreak/>
        <w:t>while </w:t>
      </w:r>
      <w:r w:rsidRPr="00B72B86">
        <w:rPr>
          <w:rFonts w:asciiTheme="minorHAnsi" w:hAnsiTheme="minorHAnsi"/>
          <w:b/>
          <w:bCs/>
          <w:color w:val="000000"/>
        </w:rPr>
        <w:t>Catalysts</w:t>
      </w:r>
      <w:r w:rsidRPr="00B72B86">
        <w:rPr>
          <w:rFonts w:asciiTheme="minorHAnsi" w:hAnsiTheme="minorHAnsi"/>
          <w:color w:val="000000"/>
        </w:rPr>
        <w:t> activate knowledge in society, translating discoveries into real-world impact.</w:t>
      </w:r>
    </w:p>
    <w:p w14:paraId="43D35618" w14:textId="2CC86973" w:rsidR="00B72B86" w:rsidRPr="00B72B86" w:rsidRDefault="00B72B86" w:rsidP="00B72B86">
      <w:pPr>
        <w:pStyle w:val="NormalWeb"/>
        <w:rPr>
          <w:rFonts w:asciiTheme="minorHAnsi" w:hAnsiTheme="minorHAnsi"/>
          <w:color w:val="000000"/>
        </w:rPr>
      </w:pPr>
      <w:r w:rsidRPr="00B72B86">
        <w:rPr>
          <w:rFonts w:asciiTheme="minorHAnsi" w:hAnsiTheme="minorHAnsi"/>
          <w:color w:val="000000"/>
        </w:rPr>
        <w:t>Both frameworks recogn</w:t>
      </w:r>
      <w:r>
        <w:rPr>
          <w:rFonts w:asciiTheme="minorHAnsi" w:hAnsiTheme="minorHAnsi"/>
          <w:color w:val="000000"/>
        </w:rPr>
        <w:t>ize</w:t>
      </w:r>
      <w:r w:rsidRPr="00B72B86">
        <w:rPr>
          <w:rFonts w:asciiTheme="minorHAnsi" w:hAnsiTheme="minorHAnsi"/>
          <w:color w:val="000000"/>
        </w:rPr>
        <w:t xml:space="preserve"> that humanistic interpretation serves the public good alongside scientific discovery, and that social innovation is as valuable as technological advancement.</w:t>
      </w:r>
      <w:r>
        <w:rPr>
          <w:rFonts w:asciiTheme="minorHAnsi" w:hAnsiTheme="minorHAnsi"/>
          <w:color w:val="000000"/>
        </w:rPr>
        <w:t xml:space="preserve"> No matter </w:t>
      </w:r>
      <w:r w:rsidRPr="00B72B86">
        <w:rPr>
          <w:rFonts w:asciiTheme="minorHAnsi" w:hAnsiTheme="minorHAnsi"/>
          <w:color w:val="000000"/>
        </w:rPr>
        <w:t>how we organize our understanding</w:t>
      </w:r>
      <w:r>
        <w:rPr>
          <w:rFonts w:asciiTheme="minorHAnsi" w:hAnsiTheme="minorHAnsi"/>
          <w:color w:val="000000"/>
        </w:rPr>
        <w:t xml:space="preserve"> of the physical and digital world</w:t>
      </w:r>
      <w:r w:rsidRPr="00B72B86">
        <w:rPr>
          <w:rFonts w:asciiTheme="minorHAnsi" w:hAnsiTheme="minorHAnsi"/>
          <w:color w:val="000000"/>
        </w:rPr>
        <w:t xml:space="preserve">, we often arrive at the same destination: universities can put </w:t>
      </w:r>
      <w:r w:rsidRPr="00B72B86">
        <w:rPr>
          <w:rFonts w:asciiTheme="minorHAnsi" w:hAnsiTheme="minorHAnsi"/>
          <w:b/>
          <w:bCs/>
          <w:color w:val="000000"/>
        </w:rPr>
        <w:t>knowledge into action</w:t>
      </w:r>
      <w:r>
        <w:rPr>
          <w:rFonts w:asciiTheme="minorHAnsi" w:hAnsiTheme="minorHAnsi"/>
          <w:b/>
          <w:bCs/>
          <w:color w:val="000000"/>
        </w:rPr>
        <w:t xml:space="preserve">.  </w:t>
      </w:r>
    </w:p>
    <w:p w14:paraId="20A795B2" w14:textId="18787F1B" w:rsidR="003F6A46" w:rsidRPr="00B72B86" w:rsidRDefault="00FC6B81" w:rsidP="003F6A46">
      <w:pPr>
        <w:pStyle w:val="NormalWeb"/>
        <w:rPr>
          <w:rFonts w:asciiTheme="minorHAnsi" w:hAnsiTheme="minorHAnsi"/>
          <w:b/>
          <w:bCs/>
          <w:color w:val="000000"/>
        </w:rPr>
      </w:pPr>
      <w:r>
        <w:rPr>
          <w:rFonts w:asciiTheme="minorHAnsi" w:hAnsiTheme="minorHAnsi"/>
          <w:b/>
          <w:bCs/>
          <w:color w:val="000000"/>
        </w:rPr>
        <w:t xml:space="preserve">From </w:t>
      </w:r>
      <w:r w:rsidR="003F6A46" w:rsidRPr="00B72B86">
        <w:rPr>
          <w:rFonts w:asciiTheme="minorHAnsi" w:hAnsiTheme="minorHAnsi"/>
          <w:b/>
          <w:bCs/>
          <w:color w:val="000000"/>
        </w:rPr>
        <w:t xml:space="preserve">Knowledge to </w:t>
      </w:r>
      <w:r>
        <w:rPr>
          <w:rFonts w:asciiTheme="minorHAnsi" w:hAnsiTheme="minorHAnsi"/>
          <w:b/>
          <w:bCs/>
          <w:color w:val="000000"/>
        </w:rPr>
        <w:t>Action</w:t>
      </w:r>
      <w:r w:rsidR="003F6A46" w:rsidRPr="00B72B86">
        <w:rPr>
          <w:rFonts w:asciiTheme="minorHAnsi" w:hAnsiTheme="minorHAnsi"/>
          <w:b/>
          <w:bCs/>
          <w:color w:val="000000"/>
        </w:rPr>
        <w:t>: Will some of these grand challenges help define the Penn of tomorrow?</w:t>
      </w:r>
    </w:p>
    <w:p w14:paraId="5826864F" w14:textId="7484F9F5" w:rsidR="003F6A46" w:rsidRDefault="003F6A46" w:rsidP="003F6A46">
      <w:pPr>
        <w:pStyle w:val="NormalWeb"/>
        <w:rPr>
          <w:rFonts w:asciiTheme="minorHAnsi" w:hAnsiTheme="minorHAnsi"/>
          <w:color w:val="000000"/>
        </w:rPr>
      </w:pPr>
      <w:r w:rsidRPr="00304135">
        <w:rPr>
          <w:rFonts w:asciiTheme="minorHAnsi" w:hAnsiTheme="minorHAnsi"/>
          <w:color w:val="000000"/>
        </w:rPr>
        <w:t xml:space="preserve">Grand challenges are what activate </w:t>
      </w:r>
      <w:r w:rsidR="00B72B86">
        <w:rPr>
          <w:rFonts w:asciiTheme="minorHAnsi" w:hAnsiTheme="minorHAnsi"/>
          <w:color w:val="000000"/>
        </w:rPr>
        <w:t xml:space="preserve">can university’s research enterprise </w:t>
      </w:r>
      <w:r w:rsidRPr="00304135">
        <w:rPr>
          <w:rFonts w:asciiTheme="minorHAnsi" w:hAnsiTheme="minorHAnsi"/>
          <w:color w:val="000000"/>
        </w:rPr>
        <w:t xml:space="preserve">into a living structure. These challenges naturally </w:t>
      </w:r>
      <w:r w:rsidR="00B72B86">
        <w:rPr>
          <w:rFonts w:asciiTheme="minorHAnsi" w:hAnsiTheme="minorHAnsi"/>
          <w:color w:val="000000"/>
        </w:rPr>
        <w:t xml:space="preserve">create </w:t>
      </w:r>
      <w:r w:rsidRPr="00304135">
        <w:rPr>
          <w:rFonts w:asciiTheme="minorHAnsi" w:hAnsiTheme="minorHAnsi"/>
          <w:color w:val="000000"/>
        </w:rPr>
        <w:t xml:space="preserve">pathways from fundamental research to community impact through coordinated university engagement. </w:t>
      </w:r>
      <w:r>
        <w:rPr>
          <w:rFonts w:asciiTheme="minorHAnsi" w:hAnsiTheme="minorHAnsi"/>
          <w:color w:val="000000"/>
        </w:rPr>
        <w:t xml:space="preserve"> With its 12 schools and highly collaborative culture, Penn is ideally positioned to be the premier university for identifying and solving grand challenges. In their most successful ideation, these grand challenges would be identified as Penn Signature Areas – not only are these problems which can be addressed by </w:t>
      </w:r>
      <w:r w:rsidR="00830EBE">
        <w:rPr>
          <w:rFonts w:asciiTheme="minorHAnsi" w:hAnsiTheme="minorHAnsi"/>
          <w:color w:val="000000"/>
        </w:rPr>
        <w:t xml:space="preserve">a </w:t>
      </w:r>
      <w:r>
        <w:rPr>
          <w:rFonts w:asciiTheme="minorHAnsi" w:hAnsiTheme="minorHAnsi"/>
          <w:color w:val="000000"/>
        </w:rPr>
        <w:t xml:space="preserve">university, but are ideally solved by Penn. At times, these challenges emerge as a call for action from the public. At other times, these grand challenges are first identified by faculty within the universities and only later realized by the public. Regardless of the exact source, tomorrow’s universities will be judged by their ability to respond to these challenges and to prepare their students for meeting the new challenges emerging over their lifetime. </w:t>
      </w:r>
    </w:p>
    <w:p w14:paraId="58FB6AD3" w14:textId="77777777" w:rsidR="003F6A46" w:rsidRDefault="003F6A46" w:rsidP="003F6A46">
      <w:pPr>
        <w:pStyle w:val="NormalWeb"/>
        <w:rPr>
          <w:rFonts w:asciiTheme="minorHAnsi" w:hAnsiTheme="minorHAnsi"/>
          <w:color w:val="000000"/>
        </w:rPr>
      </w:pPr>
      <w:r>
        <w:rPr>
          <w:rFonts w:asciiTheme="minorHAnsi" w:hAnsiTheme="minorHAnsi"/>
          <w:color w:val="000000"/>
        </w:rPr>
        <w:t>Several potential grand challenges could emerge across the Penn landscape. These challenges should embrace both the discovery and scholarship mission of Penn. To fulfill the Penn Practices, these challenges will accelerate interdisciplinary pursuits and (ideally) link a majority, if not all, of the Penn schools. By developing solutions for the world beyond the Penn campus, they will automatically deepen our connection with our neighbors and the world. Our sense of accomplishment and purpose will be shared broadly by members of our community, and will reinforce our efforts to attract the brightest minds from around the world to Penn. As one investigates mapping the challenges of the world to the Penn campus, several Penn Signature Areas emerge (these are exemplar and not at all final; placed here for context):</w:t>
      </w:r>
    </w:p>
    <w:p w14:paraId="403E1098" w14:textId="4FF99A5C" w:rsidR="003F6A46" w:rsidRPr="00821197" w:rsidRDefault="003F6A46" w:rsidP="003F6A46">
      <w:pPr>
        <w:pStyle w:val="NormalWeb"/>
        <w:rPr>
          <w:rFonts w:asciiTheme="minorHAnsi" w:hAnsiTheme="minorHAnsi"/>
          <w:b/>
          <w:bCs/>
          <w:color w:val="000000"/>
        </w:rPr>
      </w:pPr>
      <w:r w:rsidRPr="00821197">
        <w:rPr>
          <w:rFonts w:asciiTheme="minorHAnsi" w:hAnsiTheme="minorHAnsi"/>
          <w:b/>
          <w:bCs/>
          <w:color w:val="000000"/>
        </w:rPr>
        <w:t>Learning Sciences – the era of assistive intelligence</w:t>
      </w:r>
      <w:r>
        <w:rPr>
          <w:rFonts w:asciiTheme="minorHAnsi" w:hAnsiTheme="minorHAnsi"/>
          <w:b/>
          <w:bCs/>
          <w:color w:val="000000"/>
        </w:rPr>
        <w:t xml:space="preserve">: </w:t>
      </w:r>
      <w:r w:rsidRPr="00821197">
        <w:rPr>
          <w:rFonts w:asciiTheme="minorHAnsi" w:hAnsiTheme="minorHAnsi"/>
          <w:color w:val="000000"/>
        </w:rPr>
        <w:t xml:space="preserve">Large language models are disrupting traditional models of education and knowledge creation, transforming how we teach, learn, and conduct research across all disciplines, yet our responses remain scattered across individual classrooms and institutions that lack the comprehensive perspective needed to understand how AI fundamentally changes human learning. Currently, technologists focus on developing more powerful AI tools while educators struggle to integrate them meaningfully into curricula, policymakers debate regulation without understanding pedagogical implications, and students navigate AI-assisted </w:t>
      </w:r>
      <w:r w:rsidRPr="00821197">
        <w:rPr>
          <w:rFonts w:asciiTheme="minorHAnsi" w:hAnsiTheme="minorHAnsi"/>
          <w:color w:val="000000"/>
        </w:rPr>
        <w:lastRenderedPageBreak/>
        <w:t>learning without frameworks for developing critical thinking and authentic expertise in an augmented world. This signature area leverages Penn's unique position as both a leading research university training the next generation of scholars and an urban anchor institution serving Philadelphia's diverse K-12 ecosystem to develop integrated approaches that span from cognitive science research on how humans learn most effectively alongside AI, to practical classroom innovations that ensure technology enhances rather than replaces deep</w:t>
      </w:r>
      <w:r w:rsidR="00B72B86">
        <w:rPr>
          <w:rFonts w:asciiTheme="minorHAnsi" w:hAnsiTheme="minorHAnsi"/>
          <w:color w:val="000000"/>
        </w:rPr>
        <w:t xml:space="preserve"> and meaningful </w:t>
      </w:r>
      <w:r w:rsidRPr="00821197">
        <w:rPr>
          <w:rFonts w:asciiTheme="minorHAnsi" w:hAnsiTheme="minorHAnsi"/>
          <w:color w:val="000000"/>
        </w:rPr>
        <w:t>learning, to policy frameworks that address equity in AI access. It uses our comprehensive schools and community partnerships as living laboratories for testing educational models that prepare learners at every level to thrive in a world where human intelligence and artificial intelligence collaborate rather than compete.</w:t>
      </w:r>
    </w:p>
    <w:p w14:paraId="280F7F4C" w14:textId="01C756B5" w:rsidR="003F6A46" w:rsidRPr="00821197" w:rsidRDefault="003F6A46" w:rsidP="003F6A46">
      <w:pPr>
        <w:pStyle w:val="NormalWeb"/>
        <w:rPr>
          <w:rFonts w:asciiTheme="minorHAnsi" w:hAnsiTheme="minorHAnsi"/>
          <w:b/>
          <w:bCs/>
          <w:color w:val="000000"/>
        </w:rPr>
      </w:pPr>
      <w:r w:rsidRPr="00821197">
        <w:rPr>
          <w:rFonts w:asciiTheme="minorHAnsi" w:hAnsiTheme="minorHAnsi"/>
          <w:b/>
          <w:bCs/>
          <w:color w:val="000000"/>
        </w:rPr>
        <w:t>Human Flourishing – Meeting the challenge of the centenarian century</w:t>
      </w:r>
      <w:r>
        <w:rPr>
          <w:rFonts w:asciiTheme="minorHAnsi" w:hAnsiTheme="minorHAnsi"/>
          <w:b/>
          <w:bCs/>
          <w:color w:val="000000"/>
        </w:rPr>
        <w:t xml:space="preserve">: </w:t>
      </w:r>
      <w:r w:rsidRPr="001D0B73">
        <w:rPr>
          <w:rFonts w:asciiTheme="minorHAnsi" w:hAnsiTheme="minorHAnsi"/>
          <w:color w:val="000000"/>
        </w:rPr>
        <w:t xml:space="preserve">A human born today in the developed world is more likely to live beyond the age of 100 than not, yet we have not fully evolved our social systems to support the flourishing of this population throughout its lifespan. Indeed, despite unprecedented medical advances and global prosperity, we are facing an increasing number of challenges - rising inequality, mental health crises, and persistent health disparities that reveal the limitations of purely biomedical approaches to human wellbeing. </w:t>
      </w:r>
      <w:r>
        <w:rPr>
          <w:rFonts w:asciiTheme="minorHAnsi" w:hAnsiTheme="minorHAnsi"/>
          <w:color w:val="000000"/>
        </w:rPr>
        <w:t>For the emerging centenarian population, we will need to solve how to preserve</w:t>
      </w:r>
      <w:r w:rsidRPr="001D0B73">
        <w:rPr>
          <w:rFonts w:asciiTheme="minorHAnsi" w:hAnsiTheme="minorHAnsi"/>
          <w:color w:val="000000"/>
        </w:rPr>
        <w:t xml:space="preserve"> cognitive function as neurodegenerative diseases become more </w:t>
      </w:r>
      <w:r>
        <w:rPr>
          <w:rFonts w:asciiTheme="minorHAnsi" w:hAnsiTheme="minorHAnsi"/>
          <w:color w:val="000000"/>
        </w:rPr>
        <w:t>likely</w:t>
      </w:r>
      <w:r w:rsidRPr="001D0B73">
        <w:rPr>
          <w:rFonts w:asciiTheme="minorHAnsi" w:hAnsiTheme="minorHAnsi"/>
          <w:color w:val="000000"/>
        </w:rPr>
        <w:t xml:space="preserve">, </w:t>
      </w:r>
      <w:r>
        <w:rPr>
          <w:rFonts w:asciiTheme="minorHAnsi" w:hAnsiTheme="minorHAnsi"/>
          <w:color w:val="000000"/>
        </w:rPr>
        <w:t xml:space="preserve">counter </w:t>
      </w:r>
      <w:r w:rsidRPr="001D0B73">
        <w:rPr>
          <w:rFonts w:asciiTheme="minorHAnsi" w:hAnsiTheme="minorHAnsi"/>
          <w:color w:val="000000"/>
        </w:rPr>
        <w:t>the profound social isolation and cognitive loneliness that can accompany decades of post-career life, and manag</w:t>
      </w:r>
      <w:r>
        <w:rPr>
          <w:rFonts w:asciiTheme="minorHAnsi" w:hAnsiTheme="minorHAnsi"/>
          <w:color w:val="000000"/>
        </w:rPr>
        <w:t>e the burden of chronic disease when the</w:t>
      </w:r>
      <w:r w:rsidRPr="001D0B73">
        <w:rPr>
          <w:rFonts w:asciiTheme="minorHAnsi" w:hAnsiTheme="minorHAnsi"/>
          <w:color w:val="000000"/>
        </w:rPr>
        <w:t xml:space="preserve"> human body operates far beyond its evolutionary design. </w:t>
      </w:r>
      <w:r>
        <w:rPr>
          <w:rFonts w:asciiTheme="minorHAnsi" w:hAnsiTheme="minorHAnsi"/>
          <w:color w:val="000000"/>
        </w:rPr>
        <w:t xml:space="preserve">Yet, Penn may </w:t>
      </w:r>
      <w:r w:rsidR="00B72B86">
        <w:rPr>
          <w:rFonts w:asciiTheme="minorHAnsi" w:hAnsiTheme="minorHAnsi"/>
          <w:color w:val="000000"/>
        </w:rPr>
        <w:t xml:space="preserve">have </w:t>
      </w:r>
      <w:r>
        <w:rPr>
          <w:rFonts w:asciiTheme="minorHAnsi" w:hAnsiTheme="minorHAnsi"/>
          <w:color w:val="000000"/>
        </w:rPr>
        <w:t xml:space="preserve">a clear edge in solving this puzzle before any other institution. For example, </w:t>
      </w:r>
      <w:r w:rsidRPr="001D0B73">
        <w:rPr>
          <w:rFonts w:asciiTheme="minorHAnsi" w:hAnsiTheme="minorHAnsi"/>
          <w:color w:val="000000"/>
        </w:rPr>
        <w:t xml:space="preserve">Penn's unique strengths in immune health research offer a revolutionary approach: </w:t>
      </w:r>
      <w:r>
        <w:rPr>
          <w:rFonts w:asciiTheme="minorHAnsi" w:hAnsiTheme="minorHAnsi"/>
          <w:color w:val="000000"/>
        </w:rPr>
        <w:t xml:space="preserve">could we use </w:t>
      </w:r>
      <w:r w:rsidRPr="001D0B73">
        <w:rPr>
          <w:rFonts w:asciiTheme="minorHAnsi" w:hAnsiTheme="minorHAnsi"/>
          <w:color w:val="000000"/>
        </w:rPr>
        <w:t>the immune system as a bio</w:t>
      </w:r>
      <w:r w:rsidR="00AE02A0">
        <w:rPr>
          <w:rFonts w:asciiTheme="minorHAnsi" w:hAnsiTheme="minorHAnsi"/>
          <w:color w:val="000000"/>
        </w:rPr>
        <w:t xml:space="preserve">logical </w:t>
      </w:r>
      <w:r w:rsidRPr="001D0B73">
        <w:rPr>
          <w:rFonts w:asciiTheme="minorHAnsi" w:hAnsiTheme="minorHAnsi"/>
          <w:color w:val="000000"/>
        </w:rPr>
        <w:t xml:space="preserve">recorder that carries the memory of a lifetime's exposures, infections, and stresses, potentially allowing us to </w:t>
      </w:r>
      <w:r>
        <w:rPr>
          <w:rFonts w:asciiTheme="minorHAnsi" w:hAnsiTheme="minorHAnsi"/>
          <w:color w:val="000000"/>
        </w:rPr>
        <w:t xml:space="preserve">‘read’ this recording earlier in life to </w:t>
      </w:r>
      <w:r w:rsidR="00AE02A0">
        <w:rPr>
          <w:rFonts w:asciiTheme="minorHAnsi" w:hAnsiTheme="minorHAnsi"/>
          <w:color w:val="000000"/>
        </w:rPr>
        <w:t>‘</w:t>
      </w:r>
      <w:r>
        <w:rPr>
          <w:rFonts w:asciiTheme="minorHAnsi" w:hAnsiTheme="minorHAnsi"/>
          <w:color w:val="000000"/>
        </w:rPr>
        <w:t>w</w:t>
      </w:r>
      <w:r w:rsidR="00AE02A0">
        <w:rPr>
          <w:rFonts w:asciiTheme="minorHAnsi" w:hAnsiTheme="minorHAnsi"/>
          <w:color w:val="000000"/>
        </w:rPr>
        <w:t xml:space="preserve">rite’ </w:t>
      </w:r>
      <w:r>
        <w:rPr>
          <w:rFonts w:asciiTheme="minorHAnsi" w:hAnsiTheme="minorHAnsi"/>
          <w:color w:val="000000"/>
        </w:rPr>
        <w:t>off diseases later in life? Or could we harness the innate power of the immune system to fight these emergent diseases before they take hold? However, m</w:t>
      </w:r>
      <w:r w:rsidRPr="001D0B73">
        <w:rPr>
          <w:rFonts w:asciiTheme="minorHAnsi" w:hAnsiTheme="minorHAnsi"/>
          <w:color w:val="000000"/>
        </w:rPr>
        <w:t>aintaining a preeminent biomedical discovery ecosystem is necessary but not sufficient to meet this challenge. Integrated models that address the social, environmental, and economic determinants of health at scale are needed but only starting to emerge. This signature area advances health, wellness, and quality of life through approaches that span medical care, social policy interventions, urban health initiatives, arts therapy, and global health equity, recognizing that human flourishing throughout the lifespan requires addressing systemic inequalities and creating conditions for all people to thrive.</w:t>
      </w:r>
    </w:p>
    <w:p w14:paraId="7593458C" w14:textId="3B81D0FA" w:rsidR="003F6A46" w:rsidRPr="00821197" w:rsidRDefault="003F6A46" w:rsidP="003F6A46">
      <w:pPr>
        <w:pStyle w:val="NormalWeb"/>
        <w:rPr>
          <w:rFonts w:asciiTheme="minorHAnsi" w:hAnsiTheme="minorHAnsi"/>
          <w:b/>
          <w:bCs/>
          <w:color w:val="000000"/>
        </w:rPr>
      </w:pPr>
      <w:r w:rsidRPr="00821197">
        <w:rPr>
          <w:rFonts w:asciiTheme="minorHAnsi" w:hAnsiTheme="minorHAnsi"/>
          <w:b/>
          <w:bCs/>
          <w:color w:val="000000"/>
        </w:rPr>
        <w:t>Technology &amp; Human Values – Information ecology and cognitive inheritance</w:t>
      </w:r>
      <w:r>
        <w:rPr>
          <w:rFonts w:asciiTheme="minorHAnsi" w:hAnsiTheme="minorHAnsi"/>
          <w:b/>
          <w:bCs/>
          <w:color w:val="000000"/>
        </w:rPr>
        <w:t xml:space="preserve">: </w:t>
      </w:r>
      <w:r w:rsidRPr="00821197">
        <w:rPr>
          <w:rFonts w:asciiTheme="minorHAnsi" w:hAnsiTheme="minorHAnsi"/>
          <w:color w:val="000000"/>
        </w:rPr>
        <w:t xml:space="preserve">Technology has created an unparalleled digital world in which we consume our information for decision making, create hybrid machine-human connections as part of our social experience, and use this digital world to create an image of our physical world. Currently, understanding how these digital threads interweave to become the digital fabric of society is not well understood, nor do we understand how this fabric affects our governance, our cultures, and even the passing of norms and values to our next generation. </w:t>
      </w:r>
      <w:r>
        <w:rPr>
          <w:rFonts w:asciiTheme="minorHAnsi" w:hAnsiTheme="minorHAnsi"/>
          <w:color w:val="000000"/>
        </w:rPr>
        <w:t xml:space="preserve">For example, we are learning that parts of the molecular fingerprint of memory </w:t>
      </w:r>
      <w:r>
        <w:rPr>
          <w:rFonts w:asciiTheme="minorHAnsi" w:hAnsiTheme="minorHAnsi"/>
          <w:color w:val="000000"/>
        </w:rPr>
        <w:lastRenderedPageBreak/>
        <w:t xml:space="preserve">can pass on from one generation to the next. Does this explain how we have evolved as a species? How does this explain evolution for all species? </w:t>
      </w:r>
      <w:proofErr w:type="gramStart"/>
      <w:r>
        <w:rPr>
          <w:rFonts w:asciiTheme="minorHAnsi" w:hAnsiTheme="minorHAnsi"/>
          <w:color w:val="000000"/>
        </w:rPr>
        <w:t>And,</w:t>
      </w:r>
      <w:proofErr w:type="gramEnd"/>
      <w:r>
        <w:rPr>
          <w:rFonts w:asciiTheme="minorHAnsi" w:hAnsiTheme="minorHAnsi"/>
          <w:color w:val="000000"/>
        </w:rPr>
        <w:t xml:space="preserve"> now that the digital world is forming and shaping more of our organic memory signature, what does this mean for imprint this digital world will leave on our future generations? </w:t>
      </w:r>
      <w:r w:rsidRPr="00821197">
        <w:rPr>
          <w:rFonts w:asciiTheme="minorHAnsi" w:hAnsiTheme="minorHAnsi"/>
          <w:color w:val="000000"/>
        </w:rPr>
        <w:t>This signature area examines how technological advancement intersects with ethics, society, and human experience, including the emerging challenge of digital information bias and cognitive inheritance - how increasingly personalized digital consumption affects memory formation and bias transmission across generations, while encompassing AI governance, digital democracy, and the philosophical questions raised by technological change.</w:t>
      </w:r>
    </w:p>
    <w:p w14:paraId="2DDFFBE1" w14:textId="77777777" w:rsidR="003F6A46" w:rsidRPr="00821197" w:rsidRDefault="003F6A46" w:rsidP="003F6A46">
      <w:pPr>
        <w:pStyle w:val="NormalWeb"/>
        <w:rPr>
          <w:rFonts w:asciiTheme="minorHAnsi" w:hAnsiTheme="minorHAnsi"/>
          <w:b/>
          <w:bCs/>
          <w:color w:val="000000"/>
        </w:rPr>
      </w:pPr>
      <w:r w:rsidRPr="00821197">
        <w:rPr>
          <w:rFonts w:asciiTheme="minorHAnsi" w:hAnsiTheme="minorHAnsi"/>
          <w:b/>
          <w:bCs/>
          <w:color w:val="000000"/>
        </w:rPr>
        <w:t>New Economies – Renewing the world through discovery and practice</w:t>
      </w:r>
      <w:r>
        <w:rPr>
          <w:rFonts w:asciiTheme="minorHAnsi" w:hAnsiTheme="minorHAnsi"/>
          <w:b/>
          <w:bCs/>
          <w:color w:val="000000"/>
        </w:rPr>
        <w:t xml:space="preserve">: </w:t>
      </w:r>
      <w:r w:rsidRPr="00821197">
        <w:rPr>
          <w:rFonts w:asciiTheme="minorHAnsi" w:hAnsiTheme="minorHAnsi"/>
          <w:color w:val="000000"/>
        </w:rPr>
        <w:t xml:space="preserve">Universities have created transformative economic sectors throughout history, from the computer industry emerging from academic research to the biotechnology revolution born in university labs, yet we are now positioned to generate entirely new forms of economic activity that address humanity's most pressing challenges while creating sustainable prosperity. Currently, our approach to innovation often asks whether we can create new technologies or companies but rarely considers whether we can design economic sectors that </w:t>
      </w:r>
      <w:proofErr w:type="gramStart"/>
      <w:r w:rsidRPr="00821197">
        <w:rPr>
          <w:rFonts w:asciiTheme="minorHAnsi" w:hAnsiTheme="minorHAnsi"/>
          <w:color w:val="000000"/>
        </w:rPr>
        <w:t>actually improve</w:t>
      </w:r>
      <w:proofErr w:type="gramEnd"/>
      <w:r w:rsidRPr="00821197">
        <w:rPr>
          <w:rFonts w:asciiTheme="minorHAnsi" w:hAnsiTheme="minorHAnsi"/>
          <w:color w:val="000000"/>
        </w:rPr>
        <w:t xml:space="preserve"> rather than extract from the communities and environments where they operate. Moreover, we do not fully leverage the unique capacity of universities to integrate discovery, ethical frameworks, and practical implementation into economy-creating engines. This signature area encompasses Penn's role in generating new economic sectors through breakthrough discoveries like CAR-T immunotherapy and mRNA vaccines</w:t>
      </w:r>
      <w:r>
        <w:rPr>
          <w:rFonts w:asciiTheme="minorHAnsi" w:hAnsiTheme="minorHAnsi"/>
          <w:color w:val="000000"/>
        </w:rPr>
        <w:t xml:space="preserve">; these breakthroughs </w:t>
      </w:r>
      <w:r w:rsidRPr="00821197">
        <w:rPr>
          <w:rFonts w:asciiTheme="minorHAnsi" w:hAnsiTheme="minorHAnsi"/>
          <w:color w:val="000000"/>
        </w:rPr>
        <w:t>established entirely new therapeutic industries</w:t>
      </w:r>
      <w:r>
        <w:rPr>
          <w:rFonts w:asciiTheme="minorHAnsi" w:hAnsiTheme="minorHAnsi"/>
          <w:color w:val="000000"/>
        </w:rPr>
        <w:t>. E</w:t>
      </w:r>
      <w:r w:rsidRPr="00821197">
        <w:rPr>
          <w:rFonts w:asciiTheme="minorHAnsi" w:hAnsiTheme="minorHAnsi"/>
          <w:color w:val="000000"/>
        </w:rPr>
        <w:t xml:space="preserve">xtending this model to emerging areas like post-carbon materials that could eliminate energy costs for heating and cooling, </w:t>
      </w:r>
      <w:r>
        <w:rPr>
          <w:rFonts w:asciiTheme="minorHAnsi" w:hAnsiTheme="minorHAnsi"/>
          <w:color w:val="000000"/>
        </w:rPr>
        <w:t xml:space="preserve">or </w:t>
      </w:r>
      <w:r w:rsidRPr="00821197">
        <w:rPr>
          <w:rFonts w:asciiTheme="minorHAnsi" w:hAnsiTheme="minorHAnsi"/>
          <w:color w:val="000000"/>
        </w:rPr>
        <w:t>longevity economics that address century-long lifespans, and community-centered innovation models that ensure new economic sectors create broadly shared prosperity rather than concentrated wealth.</w:t>
      </w:r>
    </w:p>
    <w:p w14:paraId="04CEAF7F" w14:textId="77777777" w:rsidR="003F6A46" w:rsidRPr="00821197" w:rsidRDefault="003F6A46" w:rsidP="003F6A46">
      <w:pPr>
        <w:pStyle w:val="NormalWeb"/>
        <w:rPr>
          <w:rFonts w:asciiTheme="minorHAnsi" w:hAnsiTheme="minorHAnsi"/>
          <w:b/>
          <w:bCs/>
          <w:color w:val="000000"/>
        </w:rPr>
      </w:pPr>
      <w:r w:rsidRPr="00821197">
        <w:rPr>
          <w:rFonts w:asciiTheme="minorHAnsi" w:hAnsiTheme="minorHAnsi"/>
          <w:b/>
          <w:bCs/>
          <w:color w:val="000000"/>
        </w:rPr>
        <w:t>Democratic Innovation - Strengthening civic life in the digital age</w:t>
      </w:r>
      <w:r>
        <w:rPr>
          <w:rFonts w:asciiTheme="minorHAnsi" w:hAnsiTheme="minorHAnsi"/>
          <w:b/>
          <w:bCs/>
          <w:color w:val="000000"/>
        </w:rPr>
        <w:t xml:space="preserve">: </w:t>
      </w:r>
      <w:r w:rsidRPr="00821197">
        <w:rPr>
          <w:rFonts w:asciiTheme="minorHAnsi" w:hAnsiTheme="minorHAnsi"/>
          <w:color w:val="000000"/>
        </w:rPr>
        <w:t>Democratic institutions worldwide face unprecedented challenges from misinformation, political polarization, technological manipulation, and declining civic engagement. Although the causes for the changes in civic engagement are widely debated, universities offer an ideal ecosystem to meaningfully examine and effect change. Solutions could be wide ranging and impactful – e.g., developing an information immune system to fight off ‘misinformation pathogens’ as effectively as the human immune system, perhaps functioning to depolarize our societies. This signature area addresses these challenges through research, education, and community engagement that includes voting rights research, media literacy initiatives, community organizing support, and international democracy development, while exploring how universities can model democratic values and civic leadership.</w:t>
      </w:r>
    </w:p>
    <w:p w14:paraId="082F5CED" w14:textId="77777777" w:rsidR="003F6A46" w:rsidRPr="00821197" w:rsidRDefault="003F6A46" w:rsidP="003F6A46">
      <w:pPr>
        <w:pStyle w:val="NormalWeb"/>
        <w:rPr>
          <w:rFonts w:asciiTheme="minorHAnsi" w:hAnsiTheme="minorHAnsi"/>
          <w:b/>
          <w:bCs/>
          <w:color w:val="000000"/>
        </w:rPr>
      </w:pPr>
      <w:r w:rsidRPr="00821197">
        <w:rPr>
          <w:rFonts w:asciiTheme="minorHAnsi" w:hAnsiTheme="minorHAnsi"/>
          <w:b/>
          <w:bCs/>
          <w:color w:val="000000"/>
        </w:rPr>
        <w:t>Urban Resilience - Cities as laboratories for sustainable futures</w:t>
      </w:r>
      <w:r>
        <w:rPr>
          <w:rFonts w:asciiTheme="minorHAnsi" w:hAnsiTheme="minorHAnsi"/>
          <w:b/>
          <w:bCs/>
          <w:color w:val="000000"/>
        </w:rPr>
        <w:t xml:space="preserve">: </w:t>
      </w:r>
      <w:r w:rsidRPr="00821197">
        <w:rPr>
          <w:rFonts w:asciiTheme="minorHAnsi" w:hAnsiTheme="minorHAnsi"/>
          <w:color w:val="000000"/>
        </w:rPr>
        <w:t xml:space="preserve">More than half the world's population now lives in cities that face simultaneous pressures from climate change, aging infrastructure, economic inequality, and rapid demographic shifts. Likewise, </w:t>
      </w:r>
      <w:r w:rsidRPr="00821197">
        <w:rPr>
          <w:rFonts w:asciiTheme="minorHAnsi" w:hAnsiTheme="minorHAnsi"/>
          <w:color w:val="000000"/>
        </w:rPr>
        <w:lastRenderedPageBreak/>
        <w:t>more than half of the US population lives within 50 miles of a coastline. Yet we have not yet developed integrated approaches to create sustainable, equitable urban systems that can adapt and thrive under these conditions, nor have we considered how to provide materials, structures, and planning principles to provide coastal resilience. Philadelphia is both an urban and coastal region. This signature area leverages Penn's Philadelphia location to study and improve urban infrastructure, housing policy, transportation, and community development through both technical engineering solutions and social policy innovations that center community voices and needs.</w:t>
      </w:r>
    </w:p>
    <w:p w14:paraId="1C0CB602" w14:textId="77777777" w:rsidR="003F6A46" w:rsidRPr="00C13D75" w:rsidRDefault="003F6A46" w:rsidP="003F6A46">
      <w:pPr>
        <w:pStyle w:val="NormalWeb"/>
        <w:rPr>
          <w:rFonts w:asciiTheme="minorHAnsi" w:hAnsiTheme="minorHAnsi"/>
          <w:b/>
          <w:bCs/>
          <w:color w:val="000000"/>
        </w:rPr>
      </w:pPr>
      <w:r w:rsidRPr="00821197">
        <w:rPr>
          <w:rFonts w:asciiTheme="minorHAnsi" w:hAnsiTheme="minorHAnsi"/>
          <w:b/>
          <w:bCs/>
          <w:color w:val="000000"/>
        </w:rPr>
        <w:t xml:space="preserve">Planetary Health - One planet, one health: </w:t>
      </w:r>
      <w:r w:rsidRPr="00821197">
        <w:rPr>
          <w:rFonts w:asciiTheme="minorHAnsi" w:hAnsiTheme="minorHAnsi"/>
          <w:color w:val="000000"/>
        </w:rPr>
        <w:t>Human activities have fundamentally altered Earth's climate and ecosystems in ways that threaten the health and stability of both human communities and natural systems, yet our responses remain fragmented across disciplines that rarely coordinate despite addressing interconnected challenges. Currently, environmental scientists study climate systems while public health researchers examine disease patterns, economists analyze market failures while social policy experts address environmental justice, and medical professionals treat climate-related illnesses while urban planners design resilient infrastructure—but we lack integrated frameworks that recognize planetary health as inseparable from human health, economic stability, and social equity. This signature area leverages Penn's unique position as both an urban anchor institution and comprehensive research university to develop systemic approaches that span from molecular-level research on how environmental toxins affect human and animal health, to neighborhood-level interventions that build community resilience, to policy-level frameworks that address climate change as simultaneously an environmental, public health, economic development, and social justice challenge, while using Philadelphia's diverse communities as living laboratories for testing integrated solutions that can be adapted globally.</w:t>
      </w:r>
    </w:p>
    <w:p w14:paraId="33FF2A17" w14:textId="77777777" w:rsidR="00C8213F" w:rsidRDefault="00C8213F"/>
    <w:sectPr w:rsidR="00C82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46"/>
    <w:rsid w:val="00274268"/>
    <w:rsid w:val="003F6A46"/>
    <w:rsid w:val="0067040F"/>
    <w:rsid w:val="007A7481"/>
    <w:rsid w:val="00830EBE"/>
    <w:rsid w:val="00863E07"/>
    <w:rsid w:val="009C128A"/>
    <w:rsid w:val="00AE02A0"/>
    <w:rsid w:val="00B259EC"/>
    <w:rsid w:val="00B72B86"/>
    <w:rsid w:val="00C8213F"/>
    <w:rsid w:val="00D945FF"/>
    <w:rsid w:val="00EB2657"/>
    <w:rsid w:val="00FC6B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62C0587"/>
  <w15:chartTrackingRefBased/>
  <w15:docId w15:val="{3E97FBD2-AEC2-454F-A6CA-875E4BE6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A46"/>
    <w:rPr>
      <w:rFonts w:eastAsiaTheme="majorEastAsia" w:cstheme="majorBidi"/>
      <w:color w:val="272727" w:themeColor="text1" w:themeTint="D8"/>
    </w:rPr>
  </w:style>
  <w:style w:type="paragraph" w:styleId="Title">
    <w:name w:val="Title"/>
    <w:basedOn w:val="Normal"/>
    <w:next w:val="Normal"/>
    <w:link w:val="TitleChar"/>
    <w:uiPriority w:val="10"/>
    <w:qFormat/>
    <w:rsid w:val="003F6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A46"/>
    <w:pPr>
      <w:spacing w:before="160"/>
      <w:jc w:val="center"/>
    </w:pPr>
    <w:rPr>
      <w:i/>
      <w:iCs/>
      <w:color w:val="404040" w:themeColor="text1" w:themeTint="BF"/>
    </w:rPr>
  </w:style>
  <w:style w:type="character" w:customStyle="1" w:styleId="QuoteChar">
    <w:name w:val="Quote Char"/>
    <w:basedOn w:val="DefaultParagraphFont"/>
    <w:link w:val="Quote"/>
    <w:uiPriority w:val="29"/>
    <w:rsid w:val="003F6A46"/>
    <w:rPr>
      <w:i/>
      <w:iCs/>
      <w:color w:val="404040" w:themeColor="text1" w:themeTint="BF"/>
    </w:rPr>
  </w:style>
  <w:style w:type="paragraph" w:styleId="ListParagraph">
    <w:name w:val="List Paragraph"/>
    <w:basedOn w:val="Normal"/>
    <w:uiPriority w:val="34"/>
    <w:qFormat/>
    <w:rsid w:val="003F6A46"/>
    <w:pPr>
      <w:ind w:left="720"/>
      <w:contextualSpacing/>
    </w:pPr>
  </w:style>
  <w:style w:type="character" w:styleId="IntenseEmphasis">
    <w:name w:val="Intense Emphasis"/>
    <w:basedOn w:val="DefaultParagraphFont"/>
    <w:uiPriority w:val="21"/>
    <w:qFormat/>
    <w:rsid w:val="003F6A46"/>
    <w:rPr>
      <w:i/>
      <w:iCs/>
      <w:color w:val="0F4761" w:themeColor="accent1" w:themeShade="BF"/>
    </w:rPr>
  </w:style>
  <w:style w:type="paragraph" w:styleId="IntenseQuote">
    <w:name w:val="Intense Quote"/>
    <w:basedOn w:val="Normal"/>
    <w:next w:val="Normal"/>
    <w:link w:val="IntenseQuoteChar"/>
    <w:uiPriority w:val="30"/>
    <w:qFormat/>
    <w:rsid w:val="003F6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A46"/>
    <w:rPr>
      <w:i/>
      <w:iCs/>
      <w:color w:val="0F4761" w:themeColor="accent1" w:themeShade="BF"/>
    </w:rPr>
  </w:style>
  <w:style w:type="character" w:styleId="IntenseReference">
    <w:name w:val="Intense Reference"/>
    <w:basedOn w:val="DefaultParagraphFont"/>
    <w:uiPriority w:val="32"/>
    <w:qFormat/>
    <w:rsid w:val="003F6A46"/>
    <w:rPr>
      <w:b/>
      <w:bCs/>
      <w:smallCaps/>
      <w:color w:val="0F4761" w:themeColor="accent1" w:themeShade="BF"/>
      <w:spacing w:val="5"/>
    </w:rPr>
  </w:style>
  <w:style w:type="paragraph" w:styleId="NormalWeb">
    <w:name w:val="Normal (Web)"/>
    <w:basedOn w:val="Normal"/>
    <w:uiPriority w:val="99"/>
    <w:unhideWhenUsed/>
    <w:rsid w:val="003F6A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2125</Words>
  <Characters>13140</Characters>
  <Application>Microsoft Office Word</Application>
  <DocSecurity>0</DocSecurity>
  <Lines>186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Meaney, David F</dc:creator>
  <cp:keywords/>
  <dc:description/>
  <cp:lastModifiedBy>Banet-Weiser, Sarah J</cp:lastModifiedBy>
  <cp:revision>2</cp:revision>
  <dcterms:created xsi:type="dcterms:W3CDTF">2026-03-04T16:57:00Z</dcterms:created>
  <dcterms:modified xsi:type="dcterms:W3CDTF">2026-03-04T16:57:00Z</dcterms:modified>
</cp:coreProperties>
</file>