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给 ai 李浩铭 简历 2023</w:t>
      </w:r>
    </w:p>
    <w:p>
      <w:pPr>
        <w:spacing w:before="120" w:after="120" w:line="288" w:lineRule="auto"/>
        <w:ind w:left="0" w:firstLine="0"/>
        <w:jc w:val="center"/>
      </w:pPr>
      <w:r>
        <w:rPr>
          <w:rFonts w:eastAsia="等线" w:ascii="Arial" w:cs="Arial" w:hAnsi="Arial"/>
          <w:b w:val="true"/>
          <w:color w:val="1f2329"/>
          <w:sz w:val="22"/>
        </w:rPr>
        <w:t>李浩铭</w:t>
      </w:r>
    </w:p>
    <w:p>
      <w:pPr>
        <w:spacing w:before="120" w:after="120" w:line="288" w:lineRule="auto"/>
        <w:ind w:left="0" w:firstLine="0"/>
        <w:jc w:val="center"/>
      </w:pPr>
      <w:r>
        <w:rPr>
          <w:rFonts w:eastAsia="等线" w:ascii="Arial" w:cs="Arial" w:hAnsi="Arial"/>
          <w:b w:val="true"/>
          <w:color w:val="1f2329"/>
          <w:sz w:val="22"/>
        </w:rPr>
        <w:t xml:space="preserve">电话: (+86) 183-2086-6801 | Email: haomingli0614@163.com | 生日: 1995年6月14日   </w:t>
      </w:r>
    </w:p>
    <w:p>
      <w:pPr>
        <w:spacing w:before="120" w:after="120" w:line="288" w:lineRule="auto"/>
        <w:ind w:left="0" w:firstLine="0"/>
        <w:jc w:val="left"/>
      </w:pPr>
      <w:r>
        <w:rPr>
          <w:rFonts w:eastAsia="等线" w:ascii="Arial" w:cs="Arial" w:hAnsi="Arial"/>
          <w:b w:val="true"/>
          <w:color w:val="1f2329"/>
          <w:sz w:val="22"/>
        </w:rPr>
        <w:t xml:space="preserve">竞争力 </w:t>
      </w:r>
    </w:p>
    <w:p>
      <w:pPr>
        <w:pBdr>
          <w:bottom w:val="single" w:color="dee0e3"/>
          <w:between w:val="single" w:color="dee0e3"/>
        </w:pBdr>
        <w:spacing w:before="120" w:after="120" w:line="288" w:lineRule="auto"/>
        <w:ind w:left="0"/>
      </w:pPr>
    </w:p>
    <w:p>
      <w:pPr>
        <w:numPr>
          <w:numId w:val="1"/>
        </w:numPr>
        <w:spacing w:before="120" w:after="120" w:line="288" w:lineRule="auto"/>
        <w:ind w:left="0"/>
        <w:jc w:val="left"/>
      </w:pPr>
      <w:r>
        <w:rPr>
          <w:rFonts w:eastAsia="等线" w:ascii="Arial" w:cs="Arial" w:hAnsi="Arial"/>
          <w:b w:val="true"/>
          <w:color w:val="1f2329"/>
          <w:sz w:val="22"/>
        </w:rPr>
        <w:t>从业背景</w:t>
      </w:r>
      <w:r>
        <w:rPr>
          <w:rFonts w:eastAsia="等线" w:ascii="Arial" w:cs="Arial" w:hAnsi="Arial"/>
          <w:color w:val="1f2329"/>
          <w:sz w:val="22"/>
        </w:rPr>
        <w:t>：四大毕马威、九大投行、VC奇绩创坛</w:t>
      </w:r>
    </w:p>
    <w:p>
      <w:pPr>
        <w:numPr>
          <w:numId w:val="2"/>
        </w:numPr>
        <w:spacing w:before="120" w:after="120" w:line="288" w:lineRule="auto"/>
        <w:ind w:left="0"/>
        <w:jc w:val="left"/>
      </w:pPr>
      <w:r>
        <w:rPr>
          <w:rFonts w:eastAsia="等线" w:ascii="Arial" w:cs="Arial" w:hAnsi="Arial"/>
          <w:b w:val="true"/>
          <w:color w:val="1f2329"/>
          <w:sz w:val="22"/>
        </w:rPr>
        <w:t>数据收集分析能力</w:t>
      </w:r>
      <w:r>
        <w:rPr>
          <w:rFonts w:eastAsia="等线" w:ascii="Arial" w:cs="Arial" w:hAnsi="Arial"/>
          <w:color w:val="1f2329"/>
          <w:sz w:val="22"/>
        </w:rPr>
        <w:t>：证券从业资格证、CFA/CPA部分等级科目，MS Office、PPT、Wind、彭博；</w:t>
      </w:r>
      <w:r>
        <w:rPr>
          <w:rFonts w:eastAsia="等线" w:ascii="Arial" w:cs="Arial" w:hAnsi="Arial"/>
          <w:b w:val="true"/>
          <w:color w:val="1f2329"/>
          <w:sz w:val="22"/>
        </w:rPr>
        <w:t>尽职调查</w:t>
      </w:r>
      <w:r>
        <w:rPr>
          <w:rFonts w:eastAsia="等线" w:ascii="Arial" w:cs="Arial" w:hAnsi="Arial"/>
          <w:color w:val="1f2329"/>
          <w:sz w:val="22"/>
        </w:rPr>
        <w:t>：四大KPMG各行业财务、法务尽调；</w:t>
      </w:r>
      <w:r>
        <w:rPr>
          <w:rFonts w:eastAsia="等线" w:ascii="Arial" w:cs="Arial" w:hAnsi="Arial"/>
          <w:b w:val="true"/>
          <w:color w:val="1f2329"/>
          <w:sz w:val="22"/>
        </w:rPr>
        <w:t>行业研究</w:t>
      </w:r>
      <w:r>
        <w:rPr>
          <w:rFonts w:eastAsia="等线" w:ascii="Arial" w:cs="Arial" w:hAnsi="Arial"/>
          <w:color w:val="1f2329"/>
          <w:sz w:val="22"/>
        </w:rPr>
        <w:t>：奇绩创坛Sourcing、mapping、pitch40余家，BP调整38份，获融资3家</w:t>
      </w:r>
    </w:p>
    <w:p>
      <w:pPr>
        <w:spacing w:before="120" w:after="120" w:line="288" w:lineRule="auto"/>
        <w:ind w:left="0" w:firstLine="0"/>
        <w:jc w:val="left"/>
      </w:pPr>
      <w:r>
        <w:rPr>
          <w:rFonts w:eastAsia="等线" w:ascii="Arial" w:cs="Arial" w:hAnsi="Arial"/>
          <w:b w:val="true"/>
          <w:color w:val="1f2329"/>
          <w:sz w:val="22"/>
        </w:rPr>
        <w:t>创业经历</w:t>
      </w:r>
    </w:p>
    <w:p>
      <w:pPr>
        <w:pBdr>
          <w:bottom w:val="single" w:color="dee0e3"/>
          <w:between w:val="single" w:color="dee0e3"/>
        </w:pBdr>
        <w:spacing w:before="120" w:after="120" w:line="288" w:lineRule="auto"/>
        <w:ind w:left="0"/>
      </w:pPr>
    </w:p>
    <w:p>
      <w:pPr>
        <w:numPr>
          <w:numId w:val="3"/>
        </w:numPr>
        <w:spacing w:before="120" w:after="120" w:line="288" w:lineRule="auto"/>
        <w:ind w:left="0"/>
        <w:jc w:val="left"/>
      </w:pPr>
      <w:r>
        <w:rPr>
          <w:rFonts w:eastAsia="等线" w:ascii="Arial" w:cs="Arial" w:hAnsi="Arial"/>
          <w:b w:val="true"/>
          <w:color w:val="1f2329"/>
          <w:sz w:val="22"/>
        </w:rPr>
        <w:t>人工智能赛道（早于Chatgpt发布前半年）</w:t>
      </w:r>
      <w:r>
        <w:rPr>
          <w:rFonts w:eastAsia="等线" w:ascii="Arial" w:cs="Arial" w:hAnsi="Arial"/>
          <w:color w:val="1f2329"/>
          <w:sz w:val="22"/>
        </w:rPr>
        <w:t>：AISround 团队创始合伙人&amp;CFO，AI个性化虚拟人格，大模型应用项目，晋级</w:t>
      </w:r>
      <w:r>
        <w:rPr>
          <w:rFonts w:eastAsia="等线" w:ascii="Arial" w:cs="Arial" w:hAnsi="Arial"/>
          <w:b w:val="true"/>
          <w:color w:val="1f2329"/>
          <w:sz w:val="22"/>
        </w:rPr>
        <w:t>深创赛2022</w:t>
      </w:r>
      <w:r>
        <w:rPr>
          <w:rFonts w:eastAsia="等线" w:ascii="Arial" w:cs="Arial" w:hAnsi="Arial"/>
          <w:color w:val="1f2329"/>
          <w:sz w:val="22"/>
        </w:rPr>
        <w:t>年第十一届中国创新创业大赛深圳赛区第十四届中国深圳创新创业大赛</w:t>
      </w:r>
      <w:r>
        <w:rPr>
          <w:rFonts w:eastAsia="等线" w:ascii="Arial" w:cs="Arial" w:hAnsi="Arial"/>
          <w:b w:val="true"/>
          <w:color w:val="1f2329"/>
          <w:sz w:val="22"/>
        </w:rPr>
        <w:t>市赛半决赛（</w:t>
      </w:r>
      <w:r>
        <w:rPr>
          <w:rFonts w:eastAsia="等线" w:ascii="Arial" w:cs="Arial" w:hAnsi="Arial"/>
          <w:color w:val="1f2329"/>
          <w:sz w:val="22"/>
        </w:rPr>
        <w:t xml:space="preserve">类脑智能赛道）负责所有商业计划书及预赛、初赛、半决赛的路演，可提供赛事组委会获奖证书，赛事路演视频（2022.04-2022.10） </w:t>
      </w:r>
    </w:p>
    <w:p>
      <w:pPr>
        <w:numPr>
          <w:numId w:val="4"/>
        </w:numPr>
        <w:spacing w:before="120" w:after="120" w:line="288" w:lineRule="auto"/>
        <w:ind w:left="0"/>
        <w:jc w:val="left"/>
      </w:pPr>
      <w:r>
        <w:rPr>
          <w:rFonts w:eastAsia="等线" w:ascii="Arial" w:cs="Arial" w:hAnsi="Arial"/>
          <w:b w:val="true"/>
          <w:color w:val="1f2329"/>
          <w:sz w:val="22"/>
        </w:rPr>
        <w:t>新消费赛道</w:t>
      </w:r>
      <w:r>
        <w:rPr>
          <w:rFonts w:eastAsia="等线" w:ascii="Arial" w:cs="Arial" w:hAnsi="Arial"/>
          <w:color w:val="1f2329"/>
          <w:sz w:val="22"/>
        </w:rPr>
        <w:t>：投资并参与运营，酸奶&amp;咖啡品牌“New Life 超新生活”，2022年创立，3家线下门店，3品牌注册商标</w:t>
      </w:r>
    </w:p>
    <w:p>
      <w:pPr>
        <w:spacing w:before="120" w:after="120" w:line="288" w:lineRule="auto"/>
        <w:ind w:left="0" w:firstLine="0"/>
        <w:jc w:val="left"/>
      </w:pPr>
      <w:r>
        <w:rPr>
          <w:rFonts w:eastAsia="等线" w:ascii="Arial" w:cs="Arial" w:hAnsi="Arial"/>
          <w:b w:val="true"/>
          <w:color w:val="1f2329"/>
          <w:sz w:val="22"/>
        </w:rPr>
        <w:t>工作经历</w:t>
      </w:r>
    </w:p>
    <w:p>
      <w:pPr>
        <w:pBdr>
          <w:bottom w:val="single" w:color="dee0e3"/>
          <w:between w:val="single" w:color="dee0e3"/>
        </w:pBdr>
        <w:spacing w:before="120" w:after="120" w:line="288" w:lineRule="auto"/>
        <w:ind w:left="0"/>
      </w:pPr>
    </w:p>
    <w:p>
      <w:pPr>
        <w:spacing w:before="120" w:after="120" w:line="288" w:lineRule="auto"/>
        <w:ind w:left="0" w:firstLine="0"/>
        <w:jc w:val="left"/>
      </w:pPr>
      <w:r>
        <w:rPr>
          <w:rFonts w:eastAsia="等线" w:ascii="Arial" w:cs="Arial" w:hAnsi="Arial"/>
          <w:b w:val="true"/>
          <w:color w:val="1f2329"/>
          <w:sz w:val="22"/>
        </w:rPr>
        <w:t xml:space="preserve">2023. 05-目前 AIBT </w:t>
      </w:r>
    </w:p>
    <w:p>
      <w:pPr>
        <w:numPr>
          <w:numId w:val="5"/>
        </w:numPr>
        <w:spacing w:before="120" w:after="120" w:line="288" w:lineRule="auto"/>
        <w:ind w:left="0"/>
        <w:jc w:val="left"/>
      </w:pPr>
      <w:r>
        <w:rPr>
          <w:rFonts w:eastAsia="等线" w:ascii="Arial" w:cs="Arial" w:hAnsi="Arial"/>
          <w:color w:val="1f2329"/>
          <w:sz w:val="22"/>
        </w:rPr>
        <w:t>人工智能大模型及工具链服务方案供应商，与Minimax 联合创始人及清华系工程师联合创立</w:t>
      </w:r>
    </w:p>
    <w:p>
      <w:pPr>
        <w:spacing w:before="120" w:after="120" w:line="288" w:lineRule="auto"/>
        <w:ind w:left="0" w:firstLine="0"/>
        <w:jc w:val="left"/>
      </w:pPr>
      <w:r>
        <w:rPr>
          <w:rFonts w:eastAsia="等线" w:ascii="Arial" w:cs="Arial" w:hAnsi="Arial"/>
          <w:b w:val="true"/>
          <w:color w:val="1f2329"/>
          <w:sz w:val="22"/>
        </w:rPr>
        <w:t>2022. 04-2022. 10 奇绩创坛 投资研究，Pre-MBA  中国北京</w:t>
      </w:r>
    </w:p>
    <w:p>
      <w:pPr>
        <w:numPr>
          <w:numId w:val="6"/>
        </w:numPr>
        <w:spacing w:before="120" w:after="120" w:line="288" w:lineRule="auto"/>
        <w:ind w:left="0"/>
        <w:jc w:val="left"/>
      </w:pPr>
      <w:r>
        <w:rPr>
          <w:rFonts w:eastAsia="等线" w:ascii="Arial" w:cs="Arial" w:hAnsi="Arial"/>
          <w:color w:val="1f2329"/>
          <w:sz w:val="22"/>
        </w:rPr>
        <w:t>挖掘 (Sourcing)潜在人工智能及新消费赛道初创公司，沟通融资或资源需求，通过对市场数据、赛道趋势、行业竞争优势等因素进行分析 (Mapping)，筛选出40余家优秀的项目进行推荐至投资决策委员会 (Pitch)，期间获融资3家</w:t>
      </w:r>
    </w:p>
    <w:p>
      <w:pPr>
        <w:numPr>
          <w:numId w:val="7"/>
        </w:numPr>
        <w:spacing w:before="120" w:after="120" w:line="288" w:lineRule="auto"/>
        <w:ind w:left="0"/>
        <w:jc w:val="left"/>
      </w:pPr>
      <w:r>
        <w:rPr>
          <w:rFonts w:eastAsia="等线" w:ascii="Arial" w:cs="Arial" w:hAnsi="Arial"/>
          <w:color w:val="1f2329"/>
          <w:sz w:val="22"/>
        </w:rPr>
        <w:t>给创业团队提供专业咨询服务，通过商业模式、盈利模式、核心技术、团队能力等多方面进行梳理，帮助调整BP超过38份，初步沟通协商项目估值并上交投资材料，交易架构设计，负责财务尽职调查及投资协议中的部分条款</w:t>
      </w:r>
    </w:p>
    <w:p>
      <w:pPr>
        <w:spacing w:before="120" w:after="120" w:line="288" w:lineRule="auto"/>
        <w:ind w:left="0" w:firstLine="0"/>
        <w:jc w:val="left"/>
      </w:pPr>
      <w:r>
        <w:rPr>
          <w:rFonts w:eastAsia="等线" w:ascii="Arial" w:cs="Arial" w:hAnsi="Arial"/>
          <w:b w:val="true"/>
          <w:color w:val="1f2329"/>
          <w:sz w:val="22"/>
        </w:rPr>
        <w:t>2021. 10-2022. 04 中国银行 深圳总行金融机构部, 经理中国深圳</w:t>
      </w:r>
    </w:p>
    <w:p>
      <w:pPr>
        <w:numPr>
          <w:numId w:val="8"/>
        </w:numPr>
        <w:spacing w:before="120" w:after="120" w:line="288" w:lineRule="auto"/>
        <w:ind w:left="0"/>
        <w:jc w:val="left"/>
      </w:pPr>
      <w:r>
        <w:rPr>
          <w:rFonts w:eastAsia="等线" w:ascii="Arial" w:cs="Arial" w:hAnsi="Arial"/>
          <w:color w:val="1f2329"/>
          <w:sz w:val="22"/>
        </w:rPr>
        <w:t>与投行部搜寻市场合格投资标的，完成国泰君安证券、中银理财、中国人寿等机构谈判，主要关注合格金融机构发行的信贷资产证券化类产品（ABS/ABN），通过对底层资产的分析，发行主体的尽调等工作，促成交易超60亿人民币</w:t>
      </w:r>
    </w:p>
    <w:p>
      <w:pPr>
        <w:numPr>
          <w:numId w:val="9"/>
        </w:numPr>
        <w:spacing w:before="120" w:after="120" w:line="288" w:lineRule="auto"/>
        <w:ind w:left="0"/>
        <w:jc w:val="left"/>
      </w:pPr>
      <w:r>
        <w:rPr>
          <w:rFonts w:eastAsia="等线" w:ascii="Arial" w:cs="Arial" w:hAnsi="Arial"/>
          <w:color w:val="1f2329"/>
          <w:sz w:val="22"/>
        </w:rPr>
        <w:t>负责银保跨境团队中合格境内、境外投资者产品 (QDI/QFI)、CIBM，以及信托类ABS、CMBS、ABN的架构设计，根据投资人的跨境投资需求、投资标的，以及可借通道的额度，撮合管理人与投资者的合作交易，并介绍优质资产</w:t>
      </w:r>
    </w:p>
    <w:p>
      <w:pPr>
        <w:spacing w:before="120" w:after="120" w:line="288" w:lineRule="auto"/>
        <w:ind w:left="0" w:firstLine="0"/>
        <w:jc w:val="left"/>
      </w:pPr>
      <w:r>
        <w:rPr>
          <w:rFonts w:eastAsia="等线" w:ascii="Arial" w:cs="Arial" w:hAnsi="Arial"/>
          <w:b w:val="true"/>
          <w:color w:val="1f2329"/>
          <w:sz w:val="22"/>
        </w:rPr>
        <w:t>2019. 10-2021. 09 毕马威 (KPMG) 审计部，审计师 中国深圳</w:t>
      </w:r>
    </w:p>
    <w:p>
      <w:pPr>
        <w:spacing w:before="120" w:after="120" w:line="288" w:lineRule="auto"/>
        <w:ind w:left="0" w:firstLine="0"/>
        <w:jc w:val="left"/>
      </w:pPr>
      <w:r>
        <w:rPr>
          <w:rFonts w:eastAsia="等线" w:ascii="Arial" w:cs="Arial" w:hAnsi="Arial"/>
          <w:color w:val="1f2329"/>
          <w:sz w:val="22"/>
        </w:rPr>
        <w:t>在毕马威中国的A+H股重要项目组进行年度审计，深度参与项目在场尽职调查及管理层访谈等；熟练掌握国际会计准则、香港会计准则及中国会计准则，就中国的电子制造业、房地产业及互联网金融等行业的龙头企业进行严密的财务管理和风险控制，运用优异的财务分析能力完成工作，并从中积累了相关行业和企业的财务和运营知识。部分项目如下：</w:t>
      </w:r>
    </w:p>
    <w:p>
      <w:pPr>
        <w:spacing w:before="120" w:after="120" w:line="288" w:lineRule="auto"/>
        <w:ind w:left="0" w:firstLine="0"/>
        <w:jc w:val="left"/>
      </w:pPr>
      <w:r>
        <w:rPr>
          <w:rFonts w:eastAsia="等线" w:ascii="Arial" w:cs="Arial" w:hAnsi="Arial"/>
          <w:b w:val="true"/>
          <w:color w:val="1f2329"/>
          <w:sz w:val="22"/>
        </w:rPr>
        <w:t>项目1：万科企业股份有限公司 A+H股2019年度审计+2020中期审计</w:t>
      </w:r>
    </w:p>
    <w:p>
      <w:pPr>
        <w:numPr>
          <w:numId w:val="10"/>
        </w:numPr>
        <w:spacing w:before="120" w:after="120" w:line="288" w:lineRule="auto"/>
        <w:ind w:left="0"/>
        <w:jc w:val="left"/>
      </w:pPr>
      <w:r>
        <w:rPr>
          <w:rFonts w:eastAsia="等线" w:ascii="Arial" w:cs="Arial" w:hAnsi="Arial"/>
          <w:color w:val="1f2329"/>
          <w:sz w:val="22"/>
        </w:rPr>
        <w:t>作为审计程序现场执行人，根据执行结果起草A股和H股的审计报告及分析性备忘录；协助券商将审计结果与核对专项债券募集说明书进行核对</w:t>
      </w:r>
    </w:p>
    <w:p>
      <w:pPr>
        <w:numPr>
          <w:numId w:val="11"/>
        </w:numPr>
        <w:spacing w:before="120" w:after="120" w:line="288" w:lineRule="auto"/>
        <w:ind w:left="0"/>
        <w:jc w:val="left"/>
      </w:pPr>
      <w:r>
        <w:rPr>
          <w:rFonts w:eastAsia="等线" w:ascii="Arial" w:cs="Arial" w:hAnsi="Arial"/>
          <w:color w:val="1f2329"/>
          <w:sz w:val="22"/>
        </w:rPr>
        <w:t>前往客户北京、天津、沈阳、太原等城市公司，与当地财务、内控经理进行一对一访谈；与集团公司货币资金审计负责人进行深度沟通，结合往年经验及本年情况，提交询证函发函标准至项目风险管理合伙人并得到通过</w:t>
      </w:r>
    </w:p>
    <w:p>
      <w:pPr>
        <w:numPr>
          <w:numId w:val="12"/>
        </w:numPr>
        <w:spacing w:before="120" w:after="120" w:line="288" w:lineRule="auto"/>
        <w:ind w:left="0"/>
        <w:jc w:val="left"/>
      </w:pPr>
      <w:r>
        <w:rPr>
          <w:rFonts w:eastAsia="等线" w:ascii="Arial" w:cs="Arial" w:hAnsi="Arial"/>
          <w:color w:val="1f2329"/>
          <w:sz w:val="22"/>
        </w:rPr>
        <w:t>带领KDC（毕马威服务中心）11人团队，完成集团并表范围内所有境内及海外银行、第三方资金账户函证程序，涉及覆盖银行存款金额超过2000亿人民币</w:t>
      </w:r>
    </w:p>
    <w:p>
      <w:pPr>
        <w:spacing w:before="120" w:after="120" w:line="288" w:lineRule="auto"/>
        <w:ind w:left="0" w:firstLine="0"/>
        <w:jc w:val="left"/>
      </w:pPr>
      <w:r>
        <w:rPr>
          <w:rFonts w:eastAsia="等线" w:ascii="Arial" w:cs="Arial" w:hAnsi="Arial"/>
          <w:b w:val="true"/>
          <w:color w:val="1f2329"/>
          <w:sz w:val="22"/>
        </w:rPr>
        <w:t>项目2：住友电子电工制品（深圳）有限公司 (SEPG) 2019年度审计+集团汇报</w:t>
      </w:r>
    </w:p>
    <w:p>
      <w:pPr>
        <w:numPr>
          <w:numId w:val="13"/>
        </w:numPr>
        <w:spacing w:before="120" w:after="120" w:line="288" w:lineRule="auto"/>
        <w:ind w:left="0"/>
        <w:jc w:val="left"/>
      </w:pPr>
      <w:r>
        <w:rPr>
          <w:rFonts w:eastAsia="等线" w:ascii="Arial" w:cs="Arial" w:hAnsi="Arial"/>
          <w:color w:val="1f2329"/>
          <w:sz w:val="22"/>
        </w:rPr>
        <w:t>与4人团队进行深度分工协作，完成对重要账户的财务审计，向客户集团总部反馈年度报告；通过邮件和毕马威日本同事进行多轮顺利沟通，根据日本会计准则格式制作资产负债表</w:t>
      </w:r>
    </w:p>
    <w:p>
      <w:pPr>
        <w:numPr>
          <w:numId w:val="14"/>
        </w:numPr>
        <w:spacing w:before="120" w:after="120" w:line="288" w:lineRule="auto"/>
        <w:ind w:left="0"/>
        <w:jc w:val="left"/>
      </w:pPr>
      <w:r>
        <w:rPr>
          <w:rFonts w:eastAsia="等线" w:ascii="Arial" w:cs="Arial" w:hAnsi="Arial"/>
          <w:color w:val="1f2329"/>
          <w:sz w:val="22"/>
        </w:rPr>
        <w:t>前往现场于客户公司的中国财务负责人进行一对一访谈，深度了解其当年财务情况和业务紧张；独立分析可能存在重大错报的风险科目，制定并完成现场审计工作，撰写分析性备忘录，并高效完成了PRC准则下的年度审计报告</w:t>
      </w:r>
    </w:p>
    <w:p>
      <w:pPr>
        <w:spacing w:before="120" w:after="120" w:line="288" w:lineRule="auto"/>
        <w:ind w:left="0" w:firstLine="0"/>
        <w:jc w:val="left"/>
      </w:pPr>
      <w:r>
        <w:rPr>
          <w:rFonts w:eastAsia="等线" w:ascii="Arial" w:cs="Arial" w:hAnsi="Arial"/>
          <w:b w:val="true"/>
          <w:color w:val="1f2329"/>
          <w:sz w:val="22"/>
        </w:rPr>
        <w:t>项目3：奈雪的茶 2020年度盘点</w:t>
      </w:r>
    </w:p>
    <w:p>
      <w:pPr>
        <w:numPr>
          <w:numId w:val="15"/>
        </w:numPr>
        <w:spacing w:before="120" w:after="120" w:line="288" w:lineRule="auto"/>
        <w:ind w:left="0"/>
        <w:jc w:val="left"/>
      </w:pPr>
      <w:r>
        <w:rPr>
          <w:rFonts w:eastAsia="等线" w:ascii="Arial" w:cs="Arial" w:hAnsi="Arial"/>
          <w:color w:val="1f2329"/>
          <w:sz w:val="22"/>
        </w:rPr>
        <w:t>参与深圳地区3家门店的年度盘点工作，独立编写盘点计划进行监盘，采用合理样本抽样，从实到账，从账到实，完成超对2000种原材料SKU的监盘，出具盘点工作报告</w:t>
      </w:r>
    </w:p>
    <w:p>
      <w:pPr>
        <w:spacing w:before="120" w:after="120" w:line="288" w:lineRule="auto"/>
        <w:ind w:left="0" w:firstLine="0"/>
        <w:jc w:val="left"/>
      </w:pPr>
      <w:r>
        <w:rPr>
          <w:rFonts w:eastAsia="等线" w:ascii="Arial" w:cs="Arial" w:hAnsi="Arial"/>
          <w:b w:val="true"/>
          <w:color w:val="1f2329"/>
          <w:sz w:val="22"/>
        </w:rPr>
        <w:t>2019. 08-2019. 10 中国银行（香港）毕业生计划（全职）  中国香港</w:t>
      </w:r>
    </w:p>
    <w:p>
      <w:pPr>
        <w:numPr>
          <w:numId w:val="16"/>
        </w:numPr>
        <w:spacing w:before="120" w:after="120" w:line="288" w:lineRule="auto"/>
        <w:ind w:left="0"/>
        <w:jc w:val="left"/>
      </w:pPr>
      <w:r>
        <w:rPr>
          <w:rFonts w:eastAsia="等线" w:ascii="Arial" w:cs="Arial" w:hAnsi="Arial"/>
          <w:color w:val="1f2329"/>
          <w:sz w:val="22"/>
        </w:rPr>
        <w:t>轮岗不同部门，熟悉包括资产管理部，全球市场部，交易投资部等岗位工作内容，掌握离岸人民币结算流程</w:t>
      </w:r>
    </w:p>
    <w:p>
      <w:pPr>
        <w:spacing w:before="120" w:after="120" w:line="288" w:lineRule="auto"/>
        <w:ind w:left="0" w:firstLine="0"/>
        <w:jc w:val="left"/>
      </w:pPr>
      <w:r>
        <w:rPr>
          <w:rFonts w:eastAsia="等线" w:ascii="Arial" w:cs="Arial" w:hAnsi="Arial"/>
          <w:b w:val="true"/>
          <w:color w:val="1f2329"/>
          <w:sz w:val="22"/>
        </w:rPr>
        <w:t>教育背景</w:t>
      </w:r>
    </w:p>
    <w:p>
      <w:pPr>
        <w:pBdr>
          <w:bottom w:val="single" w:color="dee0e3"/>
          <w:between w:val="single" w:color="dee0e3"/>
        </w:pBdr>
        <w:spacing w:before="120" w:after="120" w:line="288" w:lineRule="auto"/>
        <w:ind w:left="0"/>
      </w:pPr>
    </w:p>
    <w:p>
      <w:pPr>
        <w:spacing w:before="120" w:after="120" w:line="288" w:lineRule="auto"/>
        <w:ind w:left="0" w:firstLine="0"/>
        <w:jc w:val="left"/>
      </w:pPr>
      <w:r>
        <w:rPr>
          <w:rFonts w:eastAsia="等线" w:ascii="Arial" w:cs="Arial" w:hAnsi="Arial"/>
          <w:b w:val="true"/>
          <w:color w:val="1f2329"/>
          <w:sz w:val="22"/>
        </w:rPr>
        <w:t>2017. 06-2019.08</w:t>
      </w:r>
      <w:r>
        <w:rPr>
          <w:rFonts w:eastAsia="等线" w:ascii="Arial" w:cs="Arial" w:hAnsi="Arial"/>
          <w:color w:val="1f2329"/>
          <w:sz w:val="22"/>
        </w:rPr>
        <w:t xml:space="preserve">   </w:t>
      </w:r>
      <w:r>
        <w:rPr>
          <w:rFonts w:eastAsia="等线" w:ascii="Arial" w:cs="Arial" w:hAnsi="Arial"/>
          <w:b w:val="true"/>
          <w:color w:val="1f2329"/>
          <w:sz w:val="22"/>
        </w:rPr>
        <w:t>迈阿密大学</w:t>
      </w:r>
      <w:r>
        <w:rPr>
          <w:rFonts w:eastAsia="等线" w:ascii="Arial" w:cs="Arial" w:hAnsi="Arial"/>
          <w:b w:val="true"/>
          <w:i w:val="true"/>
          <w:color w:val="1f2329"/>
          <w:sz w:val="22"/>
        </w:rPr>
        <w:t xml:space="preserve">      </w:t>
      </w:r>
      <w:r>
        <w:rPr>
          <w:rFonts w:eastAsia="等线" w:ascii="Arial" w:cs="Arial" w:hAnsi="Arial"/>
          <w:b w:val="true"/>
          <w:color w:val="1f2329"/>
          <w:sz w:val="22"/>
        </w:rPr>
        <w:t>金融学/公司金融 (GPA: 3.61/4.0)         硕士</w:t>
      </w:r>
    </w:p>
    <w:p>
      <w:pPr>
        <w:numPr>
          <w:numId w:val="17"/>
        </w:numPr>
        <w:spacing w:before="120" w:after="120" w:line="288" w:lineRule="auto"/>
        <w:ind w:left="0"/>
        <w:jc w:val="left"/>
      </w:pPr>
      <w:r>
        <w:rPr>
          <w:rFonts w:eastAsia="等线" w:ascii="Arial" w:cs="Arial" w:hAnsi="Arial"/>
          <w:color w:val="1f2329"/>
          <w:sz w:val="22"/>
        </w:rPr>
        <w:t>获得2万美金研究生奖学金 (Top 5%)，2018.12-2019.08通过学校在美银美林 (</w:t>
      </w:r>
      <w:r>
        <w:rPr>
          <w:rFonts w:eastAsia="等线" w:ascii="Arial" w:cs="Arial" w:hAnsi="Arial"/>
          <w:b w:val="true"/>
          <w:color w:val="1f2329"/>
          <w:sz w:val="22"/>
        </w:rPr>
        <w:t>Merrill Lynch</w:t>
      </w:r>
      <w:r>
        <w:rPr>
          <w:rFonts w:eastAsia="等线" w:ascii="Arial" w:cs="Arial" w:hAnsi="Arial"/>
          <w:color w:val="1f2329"/>
          <w:sz w:val="22"/>
        </w:rPr>
        <w:t>)面向高净值人群财富顾问</w:t>
      </w:r>
    </w:p>
    <w:p>
      <w:pPr>
        <w:spacing w:before="120" w:after="120" w:line="288" w:lineRule="auto"/>
        <w:ind w:left="0" w:firstLine="0"/>
        <w:jc w:val="left"/>
      </w:pPr>
      <w:r>
        <w:rPr>
          <w:rFonts w:eastAsia="等线" w:ascii="Arial" w:cs="Arial" w:hAnsi="Arial"/>
          <w:b w:val="true"/>
          <w:color w:val="1f2329"/>
          <w:sz w:val="22"/>
        </w:rPr>
        <w:t>2013. 08-2017. 05</w:t>
      </w:r>
      <w:r>
        <w:rPr>
          <w:rFonts w:eastAsia="等线" w:ascii="Arial" w:cs="Arial" w:hAnsi="Arial"/>
          <w:i w:val="true"/>
          <w:color w:val="1f2329"/>
          <w:sz w:val="22"/>
        </w:rPr>
        <w:t xml:space="preserve"> </w:t>
      </w:r>
      <w:r>
        <w:rPr>
          <w:rFonts w:eastAsia="等线" w:ascii="Arial" w:cs="Arial" w:hAnsi="Arial"/>
          <w:color w:val="1f2329"/>
          <w:sz w:val="22"/>
        </w:rPr>
        <w:t xml:space="preserve">  </w:t>
      </w:r>
      <w:r>
        <w:rPr>
          <w:rFonts w:eastAsia="等线" w:ascii="Arial" w:cs="Arial" w:hAnsi="Arial"/>
          <w:b w:val="true"/>
          <w:color w:val="1f2329"/>
          <w:sz w:val="22"/>
        </w:rPr>
        <w:t xml:space="preserve">西南交通大学             经济学 (GPA: 3.53/4.0)     </w:t>
      </w:r>
      <w:r>
        <w:rPr>
          <w:rFonts w:eastAsia="等线" w:ascii="Arial" w:cs="Arial" w:hAnsi="Arial"/>
          <w:i w:val="true"/>
          <w:color w:val="1f2329"/>
          <w:sz w:val="22"/>
        </w:rPr>
        <w:t xml:space="preserve">           </w:t>
      </w:r>
      <w:r>
        <w:rPr>
          <w:rFonts w:eastAsia="等线" w:ascii="Arial" w:cs="Arial" w:hAnsi="Arial"/>
          <w:b w:val="true"/>
          <w:color w:val="1f2329"/>
          <w:sz w:val="22"/>
        </w:rPr>
        <w:t>学士</w:t>
      </w:r>
    </w:p>
    <w:p>
      <w:pPr>
        <w:numPr>
          <w:numId w:val="18"/>
        </w:numPr>
        <w:spacing w:before="120" w:after="120" w:line="288" w:lineRule="auto"/>
        <w:ind w:left="0"/>
        <w:jc w:val="left"/>
      </w:pPr>
      <w:r>
        <w:rPr>
          <w:rFonts w:eastAsia="等线" w:ascii="Arial" w:cs="Arial" w:hAnsi="Arial"/>
          <w:color w:val="1f2329"/>
          <w:sz w:val="22"/>
        </w:rPr>
        <w:t>2016年-2017年在乔治梅森大学（</w:t>
      </w:r>
      <w:r>
        <w:rPr>
          <w:rFonts w:eastAsia="等线" w:ascii="Arial" w:cs="Arial" w:hAnsi="Arial"/>
          <w:b w:val="true"/>
          <w:color w:val="1f2329"/>
          <w:sz w:val="22"/>
        </w:rPr>
        <w:t>诺贝尔经济学奖</w:t>
      </w:r>
      <w:r>
        <w:rPr>
          <w:rFonts w:eastAsia="等线" w:ascii="Arial" w:cs="Arial" w:hAnsi="Arial"/>
          <w:color w:val="1f2329"/>
          <w:sz w:val="22"/>
        </w:rPr>
        <w:t>）进行经济学修习，获得应用经济学学位，2016-2017院长提名</w:t>
      </w: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47328">
    <w:lvl>
      <w:numFmt w:val="bullet"/>
      <w:suff w:val="tab"/>
      <w:lvlText w:val="•"/>
      <w:rPr>
        <w:color w:val="3370ff"/>
      </w:rPr>
    </w:lvl>
  </w:abstractNum>
  <w:abstractNum w:abstractNumId="47329">
    <w:lvl>
      <w:numFmt w:val="bullet"/>
      <w:suff w:val="tab"/>
      <w:lvlText w:val="•"/>
      <w:rPr>
        <w:color w:val="3370ff"/>
      </w:rPr>
    </w:lvl>
  </w:abstractNum>
  <w:abstractNum w:abstractNumId="47330">
    <w:lvl>
      <w:numFmt w:val="bullet"/>
      <w:suff w:val="tab"/>
      <w:lvlText w:val="•"/>
      <w:rPr>
        <w:color w:val="3370ff"/>
      </w:rPr>
    </w:lvl>
  </w:abstractNum>
  <w:abstractNum w:abstractNumId="47331">
    <w:lvl>
      <w:numFmt w:val="bullet"/>
      <w:suff w:val="tab"/>
      <w:lvlText w:val="•"/>
      <w:rPr>
        <w:color w:val="3370ff"/>
      </w:rPr>
    </w:lvl>
  </w:abstractNum>
  <w:abstractNum w:abstractNumId="47332">
    <w:lvl>
      <w:numFmt w:val="bullet"/>
      <w:suff w:val="tab"/>
      <w:lvlText w:val="•"/>
      <w:rPr>
        <w:color w:val="3370ff"/>
      </w:rPr>
    </w:lvl>
  </w:abstractNum>
  <w:abstractNum w:abstractNumId="47333">
    <w:lvl>
      <w:numFmt w:val="bullet"/>
      <w:suff w:val="tab"/>
      <w:lvlText w:val="•"/>
      <w:rPr>
        <w:color w:val="3370ff"/>
      </w:rPr>
    </w:lvl>
  </w:abstractNum>
  <w:abstractNum w:abstractNumId="47334">
    <w:lvl>
      <w:numFmt w:val="bullet"/>
      <w:suff w:val="tab"/>
      <w:lvlText w:val="•"/>
      <w:rPr>
        <w:color w:val="3370ff"/>
      </w:rPr>
    </w:lvl>
  </w:abstractNum>
  <w:abstractNum w:abstractNumId="47335">
    <w:lvl>
      <w:numFmt w:val="bullet"/>
      <w:suff w:val="tab"/>
      <w:lvlText w:val="•"/>
      <w:rPr>
        <w:color w:val="3370ff"/>
      </w:rPr>
    </w:lvl>
  </w:abstractNum>
  <w:abstractNum w:abstractNumId="47336">
    <w:lvl>
      <w:numFmt w:val="bullet"/>
      <w:suff w:val="tab"/>
      <w:lvlText w:val="•"/>
      <w:rPr>
        <w:color w:val="3370ff"/>
      </w:rPr>
    </w:lvl>
  </w:abstractNum>
  <w:abstractNum w:abstractNumId="47337">
    <w:lvl>
      <w:numFmt w:val="bullet"/>
      <w:suff w:val="tab"/>
      <w:lvlText w:val="•"/>
      <w:rPr>
        <w:color w:val="3370ff"/>
      </w:rPr>
    </w:lvl>
  </w:abstractNum>
  <w:abstractNum w:abstractNumId="47338">
    <w:lvl>
      <w:numFmt w:val="bullet"/>
      <w:suff w:val="tab"/>
      <w:lvlText w:val="•"/>
      <w:rPr>
        <w:color w:val="3370ff"/>
      </w:rPr>
    </w:lvl>
  </w:abstractNum>
  <w:abstractNum w:abstractNumId="47339">
    <w:lvl>
      <w:numFmt w:val="bullet"/>
      <w:suff w:val="tab"/>
      <w:lvlText w:val="•"/>
      <w:rPr>
        <w:color w:val="3370ff"/>
      </w:rPr>
    </w:lvl>
  </w:abstractNum>
  <w:abstractNum w:abstractNumId="47340">
    <w:lvl>
      <w:numFmt w:val="bullet"/>
      <w:suff w:val="tab"/>
      <w:lvlText w:val="•"/>
      <w:rPr>
        <w:color w:val="3370ff"/>
      </w:rPr>
    </w:lvl>
  </w:abstractNum>
  <w:abstractNum w:abstractNumId="47341">
    <w:lvl>
      <w:numFmt w:val="bullet"/>
      <w:suff w:val="tab"/>
      <w:lvlText w:val="•"/>
      <w:rPr>
        <w:color w:val="3370ff"/>
      </w:rPr>
    </w:lvl>
  </w:abstractNum>
  <w:abstractNum w:abstractNumId="47342">
    <w:lvl>
      <w:numFmt w:val="bullet"/>
      <w:suff w:val="tab"/>
      <w:lvlText w:val="•"/>
      <w:rPr>
        <w:color w:val="3370ff"/>
      </w:rPr>
    </w:lvl>
  </w:abstractNum>
  <w:abstractNum w:abstractNumId="47343">
    <w:lvl>
      <w:numFmt w:val="bullet"/>
      <w:suff w:val="tab"/>
      <w:lvlText w:val="•"/>
      <w:rPr>
        <w:color w:val="3370ff"/>
      </w:rPr>
    </w:lvl>
  </w:abstractNum>
  <w:abstractNum w:abstractNumId="47344">
    <w:lvl>
      <w:numFmt w:val="bullet"/>
      <w:suff w:val="tab"/>
      <w:lvlText w:val="•"/>
      <w:rPr>
        <w:color w:val="3370ff"/>
      </w:rPr>
    </w:lvl>
  </w:abstractNum>
  <w:abstractNum w:abstractNumId="47345">
    <w:lvl>
      <w:numFmt w:val="bullet"/>
      <w:suff w:val="tab"/>
      <w:lvlText w:val="•"/>
      <w:rPr>
        <w:color w:val="3370ff"/>
      </w:rPr>
    </w:lvl>
  </w:abstractNum>
  <w:num w:numId="1">
    <w:abstractNumId w:val="47328"/>
  </w:num>
  <w:num w:numId="2">
    <w:abstractNumId w:val="47329"/>
  </w:num>
  <w:num w:numId="3">
    <w:abstractNumId w:val="47330"/>
  </w:num>
  <w:num w:numId="4">
    <w:abstractNumId w:val="47331"/>
  </w:num>
  <w:num w:numId="5">
    <w:abstractNumId w:val="47332"/>
  </w:num>
  <w:num w:numId="6">
    <w:abstractNumId w:val="47333"/>
  </w:num>
  <w:num w:numId="7">
    <w:abstractNumId w:val="47334"/>
  </w:num>
  <w:num w:numId="8">
    <w:abstractNumId w:val="47335"/>
  </w:num>
  <w:num w:numId="9">
    <w:abstractNumId w:val="47336"/>
  </w:num>
  <w:num w:numId="10">
    <w:abstractNumId w:val="47337"/>
  </w:num>
  <w:num w:numId="11">
    <w:abstractNumId w:val="47338"/>
  </w:num>
  <w:num w:numId="12">
    <w:abstractNumId w:val="47339"/>
  </w:num>
  <w:num w:numId="13">
    <w:abstractNumId w:val="47340"/>
  </w:num>
  <w:num w:numId="14">
    <w:abstractNumId w:val="47341"/>
  </w:num>
  <w:num w:numId="15">
    <w:abstractNumId w:val="47342"/>
  </w:num>
  <w:num w:numId="16">
    <w:abstractNumId w:val="47343"/>
  </w:num>
  <w:num w:numId="17">
    <w:abstractNumId w:val="47344"/>
  </w:num>
  <w:num w:numId="18">
    <w:abstractNumId w:val="4734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2023-07-06T18:03:42Z</dcterms:created>
  <dc:creator>Apache POI</dc:creator>
</cp:coreProperties>
</file>