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给 ai resume haomingli</w:t>
      </w:r>
    </w:p>
    <w:p>
      <w:pPr>
        <w:spacing w:before="120" w:after="120" w:line="288" w:lineRule="auto"/>
        <w:ind w:left="0" w:firstLine="0"/>
        <w:jc w:val="center"/>
      </w:pPr>
      <w:r>
        <w:rPr>
          <w:rFonts w:eastAsia="等线" w:ascii="Arial" w:cs="Arial" w:hAnsi="Arial"/>
          <w:color w:val="1f2329"/>
          <w:sz w:val="22"/>
        </w:rPr>
        <w:t>Haoming Li</w:t>
      </w:r>
    </w:p>
    <w:p>
      <w:pPr>
        <w:spacing w:before="120" w:after="120" w:line="288" w:lineRule="auto"/>
        <w:ind w:left="0" w:firstLine="0"/>
        <w:jc w:val="center"/>
      </w:pPr>
      <w:r>
        <w:rPr>
          <w:rFonts w:eastAsia="等线" w:ascii="Arial" w:cs="Arial" w:hAnsi="Arial"/>
          <w:color w:val="1f2329"/>
          <w:sz w:val="22"/>
        </w:rPr>
        <w:t xml:space="preserve">Haomingli0614@163.com • +86 18320866801 • Born on June 14th, 1995 </w:t>
      </w:r>
    </w:p>
    <w:p>
      <w:pPr>
        <w:spacing w:before="120" w:after="120" w:line="288" w:lineRule="auto"/>
        <w:ind w:left="0" w:firstLine="0"/>
        <w:jc w:val="left"/>
      </w:pPr>
      <w:r>
        <w:rPr>
          <w:rFonts w:eastAsia="等线" w:ascii="Arial" w:cs="Arial" w:hAnsi="Arial"/>
          <w:b w:val="true"/>
          <w:color w:val="1f2329"/>
          <w:sz w:val="22"/>
        </w:rPr>
        <w:t>Core Competencies</w:t>
      </w:r>
    </w:p>
    <w:p>
      <w:pPr>
        <w:pBdr>
          <w:bottom w:val="single" w:color="dee0e3"/>
          <w:between w:val="single" w:color="dee0e3"/>
        </w:pBdr>
        <w:spacing w:before="120" w:after="120" w:line="288" w:lineRule="auto"/>
        <w:ind w:left="0"/>
      </w:pPr>
    </w:p>
    <w:p>
      <w:pPr>
        <w:numPr>
          <w:numId w:val="1"/>
        </w:numPr>
        <w:spacing w:before="120" w:after="120" w:line="288" w:lineRule="auto"/>
        <w:ind w:left="0"/>
        <w:jc w:val="left"/>
      </w:pPr>
      <w:r>
        <w:rPr>
          <w:rFonts w:eastAsia="等线" w:ascii="Arial" w:cs="Arial" w:hAnsi="Arial"/>
          <w:color w:val="1f2329"/>
          <w:sz w:val="22"/>
        </w:rPr>
        <w:t>KPMG, Merrill Lynch, MiraclePlus, CFA, CPA (1/3, 2/6), Excel, PPT, Winds, Python</w:t>
      </w:r>
    </w:p>
    <w:p>
      <w:pPr>
        <w:numPr>
          <w:numId w:val="2"/>
        </w:numPr>
        <w:spacing w:before="120" w:after="120" w:line="288" w:lineRule="auto"/>
        <w:ind w:left="0"/>
        <w:jc w:val="left"/>
      </w:pPr>
      <w:r>
        <w:rPr>
          <w:rFonts w:eastAsia="等线" w:ascii="Arial" w:cs="Arial" w:hAnsi="Arial"/>
          <w:color w:val="1f2329"/>
          <w:sz w:val="22"/>
        </w:rPr>
        <w:t>Co-Founder &amp; CFO in AISround Project, half a year earlier than ChatGPT published (2022, 14th China (Shenzhen) Innovation &amp; Entrepreneurship Competition Semifinal Project (Artificial Intelligence industry), BP &amp; Roadshow</w:t>
      </w:r>
    </w:p>
    <w:p>
      <w:pPr>
        <w:numPr>
          <w:numId w:val="3"/>
        </w:numPr>
        <w:spacing w:before="120" w:after="120" w:line="288" w:lineRule="auto"/>
        <w:ind w:left="0"/>
        <w:jc w:val="left"/>
      </w:pPr>
      <w:r>
        <w:rPr>
          <w:rFonts w:eastAsia="等线" w:ascii="Arial" w:cs="Arial" w:hAnsi="Arial"/>
          <w:color w:val="1f2329"/>
          <w:sz w:val="22"/>
        </w:rPr>
        <w:t>Personal investment: Coffee&amp;Milk Tea Brand ‘New Life 超新生活’, found in 2022, 3 stores, 5 brands</w:t>
      </w:r>
    </w:p>
    <w:p>
      <w:pPr>
        <w:spacing w:before="120" w:after="120" w:line="288" w:lineRule="auto"/>
        <w:ind w:left="0" w:firstLine="0"/>
        <w:jc w:val="left"/>
      </w:pPr>
      <w:r>
        <w:rPr>
          <w:rFonts w:eastAsia="等线" w:ascii="Arial" w:cs="Arial" w:hAnsi="Arial"/>
          <w:b w:val="true"/>
          <w:color w:val="1f2329"/>
          <w:sz w:val="22"/>
        </w:rPr>
        <w:t>Professional Experience</w:t>
      </w:r>
    </w:p>
    <w:p>
      <w:pPr>
        <w:pBdr>
          <w:bottom w:val="single" w:color="dee0e3"/>
          <w:between w:val="single" w:color="dee0e3"/>
        </w:pBdr>
        <w:spacing w:before="120" w:after="120" w:line="288" w:lineRule="auto"/>
        <w:ind w:left="0"/>
      </w:pPr>
    </w:p>
    <w:p>
      <w:pPr>
        <w:spacing w:before="120" w:after="120" w:line="288" w:lineRule="auto"/>
        <w:ind w:left="0" w:firstLine="0"/>
        <w:jc w:val="left"/>
      </w:pPr>
      <w:r>
        <w:rPr>
          <w:rFonts w:eastAsia="等线" w:ascii="Arial" w:cs="Arial" w:hAnsi="Arial"/>
          <w:i w:val="true"/>
          <w:color w:val="1f2329"/>
          <w:sz w:val="22"/>
        </w:rPr>
        <w:t xml:space="preserve">05/2023-currrent    </w:t>
      </w:r>
      <w:r>
        <w:rPr>
          <w:rFonts w:eastAsia="等线" w:ascii="Arial" w:cs="Arial" w:hAnsi="Arial"/>
          <w:b w:val="true"/>
          <w:color w:val="1f2329"/>
          <w:sz w:val="22"/>
        </w:rPr>
        <w:t>AIBT Project</w:t>
      </w:r>
      <w:r>
        <w:rPr>
          <w:rFonts w:eastAsia="等线" w:ascii="Arial" w:cs="Arial" w:hAnsi="Arial"/>
          <w:i w:val="true"/>
          <w:color w:val="1f2329"/>
          <w:sz w:val="22"/>
        </w:rPr>
        <w:t xml:space="preserve"> </w:t>
      </w:r>
    </w:p>
    <w:p>
      <w:pPr>
        <w:numPr>
          <w:numId w:val="4"/>
        </w:numPr>
        <w:spacing w:before="120" w:after="120" w:line="288" w:lineRule="auto"/>
        <w:ind w:left="0"/>
        <w:jc w:val="left"/>
      </w:pPr>
      <w:r>
        <w:rPr>
          <w:rFonts w:eastAsia="等线" w:ascii="Arial" w:cs="Arial" w:hAnsi="Arial"/>
          <w:color w:val="1f2329"/>
          <w:sz w:val="22"/>
        </w:rPr>
        <w:t>AI LLMs and infra solutions project focus on entertainment industry with Minimax co-founder &amp; Tsinghua University relatives engineer</w:t>
      </w:r>
    </w:p>
    <w:p>
      <w:pPr>
        <w:spacing w:before="120" w:after="120" w:line="288" w:lineRule="auto"/>
        <w:ind w:left="0" w:firstLine="0"/>
        <w:jc w:val="left"/>
      </w:pPr>
      <w:r>
        <w:rPr>
          <w:rFonts w:eastAsia="等线" w:ascii="Arial" w:cs="Arial" w:hAnsi="Arial"/>
          <w:i w:val="true"/>
          <w:color w:val="1f2329"/>
          <w:sz w:val="22"/>
        </w:rPr>
        <w:t xml:space="preserve">04/2022-10/2022 </w:t>
      </w:r>
      <w:r>
        <w:rPr>
          <w:rFonts w:eastAsia="等线" w:ascii="Arial" w:cs="Arial" w:hAnsi="Arial"/>
          <w:b w:val="true"/>
          <w:color w:val="1f2329"/>
          <w:sz w:val="22"/>
        </w:rPr>
        <w:t xml:space="preserve">MiraclePlus Venture Capital </w:t>
      </w:r>
      <w:r>
        <w:rPr>
          <w:rFonts w:eastAsia="等线" w:ascii="Arial" w:cs="Arial" w:hAnsi="Arial"/>
          <w:i w:val="true"/>
          <w:color w:val="1f2329"/>
          <w:sz w:val="22"/>
        </w:rPr>
        <w:t>Beijing, China</w:t>
      </w:r>
    </w:p>
    <w:p>
      <w:pPr>
        <w:spacing w:before="120" w:after="120" w:line="288" w:lineRule="auto"/>
        <w:ind w:left="0" w:firstLine="0"/>
        <w:jc w:val="left"/>
      </w:pPr>
      <w:r>
        <w:rPr>
          <w:rFonts w:eastAsia="等线" w:ascii="Arial" w:cs="Arial" w:hAnsi="Arial"/>
          <w:i w:val="true"/>
          <w:color w:val="1f2329"/>
          <w:sz w:val="22"/>
        </w:rPr>
        <w:t xml:space="preserve"> </w:t>
      </w:r>
      <w:r>
        <w:rPr>
          <w:rFonts w:eastAsia="等线" w:ascii="Arial" w:cs="Arial" w:hAnsi="Arial"/>
          <w:b w:val="true"/>
          <w:color w:val="1f2329"/>
          <w:sz w:val="22"/>
        </w:rPr>
        <w:t>Investment Research, Pre-MBA Intern Program</w:t>
      </w:r>
    </w:p>
    <w:p>
      <w:pPr>
        <w:numPr>
          <w:numId w:val="5"/>
        </w:numPr>
        <w:spacing w:before="120" w:after="120" w:line="288" w:lineRule="auto"/>
        <w:ind w:left="0"/>
        <w:jc w:val="left"/>
      </w:pPr>
      <w:r>
        <w:rPr>
          <w:rFonts w:eastAsia="等线" w:ascii="Arial" w:cs="Arial" w:hAnsi="Arial"/>
          <w:color w:val="1f2329"/>
          <w:sz w:val="22"/>
        </w:rPr>
        <w:t>Source potential startups from seed to A stage in AI &amp; Consumption industries, map and analyze market data, business trends and operating metrics to help investment decision making, pitch 40+ projects</w:t>
      </w:r>
    </w:p>
    <w:p>
      <w:pPr>
        <w:numPr>
          <w:numId w:val="6"/>
        </w:numPr>
        <w:spacing w:before="120" w:after="120" w:line="288" w:lineRule="auto"/>
        <w:ind w:left="0"/>
        <w:jc w:val="left"/>
      </w:pPr>
      <w:r>
        <w:rPr>
          <w:rFonts w:eastAsia="等线" w:ascii="Arial" w:cs="Arial" w:hAnsi="Arial"/>
          <w:color w:val="1f2329"/>
          <w:sz w:val="22"/>
        </w:rPr>
        <w:t>Evaluate targets for investment and joint venture deals, modify over 38 business plans and make proposals to the management team, resulting in 3 companies got financing</w:t>
      </w:r>
    </w:p>
    <w:p>
      <w:pPr>
        <w:numPr>
          <w:numId w:val="7"/>
        </w:numPr>
        <w:spacing w:before="120" w:after="120" w:line="288" w:lineRule="auto"/>
        <w:ind w:left="0"/>
        <w:jc w:val="left"/>
      </w:pPr>
      <w:r>
        <w:rPr>
          <w:rFonts w:eastAsia="等线" w:ascii="Arial" w:cs="Arial" w:hAnsi="Arial"/>
          <w:color w:val="1f2329"/>
          <w:sz w:val="22"/>
        </w:rPr>
        <w:t>Structure deals through modeling and due diligence in finance &amp; law</w:t>
      </w:r>
    </w:p>
    <w:p>
      <w:pPr>
        <w:spacing w:before="120" w:after="120" w:line="288" w:lineRule="auto"/>
        <w:ind w:left="0" w:firstLine="0"/>
        <w:jc w:val="left"/>
      </w:pPr>
      <w:r>
        <w:rPr>
          <w:rFonts w:eastAsia="等线" w:ascii="Arial" w:cs="Arial" w:hAnsi="Arial"/>
          <w:i w:val="true"/>
          <w:color w:val="1f2329"/>
          <w:sz w:val="22"/>
        </w:rPr>
        <w:t xml:space="preserve">10/2021-04/2022 </w:t>
      </w:r>
      <w:r>
        <w:rPr>
          <w:rFonts w:eastAsia="等线" w:ascii="Arial" w:cs="Arial" w:hAnsi="Arial"/>
          <w:b w:val="true"/>
          <w:color w:val="1f2329"/>
          <w:sz w:val="22"/>
        </w:rPr>
        <w:t xml:space="preserve">Bank of China </w:t>
      </w:r>
      <w:r>
        <w:rPr>
          <w:rFonts w:eastAsia="等线" w:ascii="Arial" w:cs="Arial" w:hAnsi="Arial"/>
          <w:i w:val="true"/>
          <w:color w:val="1f2329"/>
          <w:sz w:val="22"/>
        </w:rPr>
        <w:t>Shenzhen, China</w:t>
      </w:r>
    </w:p>
    <w:p>
      <w:pPr>
        <w:spacing w:before="120" w:after="120" w:line="288" w:lineRule="auto"/>
        <w:ind w:left="0" w:firstLine="0"/>
        <w:jc w:val="left"/>
      </w:pPr>
      <w:r>
        <w:rPr>
          <w:rFonts w:eastAsia="等线" w:ascii="Arial" w:cs="Arial" w:hAnsi="Arial"/>
          <w:i w:val="true"/>
          <w:color w:val="1f2329"/>
          <w:sz w:val="22"/>
        </w:rPr>
        <w:t xml:space="preserve"> </w:t>
      </w:r>
      <w:r>
        <w:rPr>
          <w:rFonts w:eastAsia="等线" w:ascii="Arial" w:cs="Arial" w:hAnsi="Arial"/>
          <w:b w:val="true"/>
          <w:color w:val="1f2329"/>
          <w:sz w:val="22"/>
        </w:rPr>
        <w:t>Shenzhen Branch, Financial Institute, Assistant Manager</w:t>
      </w:r>
    </w:p>
    <w:p>
      <w:pPr>
        <w:numPr>
          <w:numId w:val="8"/>
        </w:numPr>
        <w:spacing w:before="120" w:after="120" w:line="288" w:lineRule="auto"/>
        <w:ind w:left="0"/>
        <w:jc w:val="left"/>
      </w:pPr>
      <w:r>
        <w:rPr>
          <w:rFonts w:eastAsia="等线" w:ascii="Arial" w:cs="Arial" w:hAnsi="Arial"/>
          <w:color w:val="1f2329"/>
          <w:sz w:val="22"/>
        </w:rPr>
        <w:t>Cooperated with investment banking department to search qualified investment assets in the market, focusing on the Asset-Back Security and Notes, recommend to Bank of China Asset Management Co., resulting over 6 billion RMB deals settled</w:t>
      </w:r>
    </w:p>
    <w:p>
      <w:pPr>
        <w:numPr>
          <w:numId w:val="9"/>
        </w:numPr>
        <w:spacing w:before="120" w:after="120" w:line="288" w:lineRule="auto"/>
        <w:ind w:left="0"/>
        <w:jc w:val="left"/>
      </w:pPr>
      <w:r>
        <w:rPr>
          <w:rFonts w:eastAsia="等线" w:ascii="Arial" w:cs="Arial" w:hAnsi="Arial"/>
          <w:color w:val="1f2329"/>
          <w:sz w:val="22"/>
        </w:rPr>
        <w:t xml:space="preserve">Designed the structure of financial instruments, mainly in charge of QFI, QDI, CIBM, ABS, CMBS and ABN products  </w:t>
      </w:r>
    </w:p>
    <w:p>
      <w:pPr>
        <w:spacing w:before="120" w:after="120" w:line="288" w:lineRule="auto"/>
        <w:ind w:left="0" w:firstLine="0"/>
        <w:jc w:val="left"/>
      </w:pPr>
      <w:r>
        <w:rPr>
          <w:rFonts w:eastAsia="等线" w:ascii="Arial" w:cs="Arial" w:hAnsi="Arial"/>
          <w:i w:val="true"/>
          <w:color w:val="1f2329"/>
          <w:sz w:val="22"/>
        </w:rPr>
        <w:t>10/2019-09/2021</w:t>
      </w:r>
      <w:r>
        <w:rPr>
          <w:rFonts w:eastAsia="等线" w:ascii="Arial" w:cs="Arial" w:hAnsi="Arial"/>
          <w:b w:val="true"/>
          <w:color w:val="1f2329"/>
          <w:sz w:val="22"/>
        </w:rPr>
        <w:t>KPMG</w:t>
      </w:r>
      <w:r>
        <w:rPr>
          <w:rFonts w:eastAsia="等线" w:ascii="Arial" w:cs="Arial" w:hAnsi="Arial"/>
          <w:i w:val="true"/>
          <w:color w:val="1f2329"/>
          <w:sz w:val="22"/>
        </w:rPr>
        <w:t xml:space="preserve"> Shenzhen, China</w:t>
      </w:r>
    </w:p>
    <w:p>
      <w:pPr>
        <w:spacing w:before="120" w:after="120" w:line="288" w:lineRule="auto"/>
        <w:ind w:left="0" w:firstLine="0"/>
        <w:jc w:val="left"/>
      </w:pPr>
      <w:r>
        <w:rPr>
          <w:rFonts w:eastAsia="等线" w:ascii="Arial" w:cs="Arial" w:hAnsi="Arial"/>
          <w:b w:val="true"/>
          <w:color w:val="1f2329"/>
          <w:sz w:val="22"/>
        </w:rPr>
        <w:t>Audit, Accountant</w:t>
      </w:r>
    </w:p>
    <w:p>
      <w:pPr>
        <w:numPr>
          <w:numId w:val="10"/>
        </w:numPr>
        <w:spacing w:before="120" w:after="120" w:line="288" w:lineRule="auto"/>
        <w:ind w:left="0"/>
        <w:jc w:val="left"/>
      </w:pPr>
      <w:r>
        <w:rPr>
          <w:rFonts w:eastAsia="等线" w:ascii="Arial" w:cs="Arial" w:hAnsi="Arial"/>
          <w:color w:val="1f2329"/>
          <w:sz w:val="22"/>
        </w:rPr>
        <w:t>Executed audit procedures, due diligence, on-site interviews over 5+ companies with annual operating revenue ranging from RMB 5 million-1000 trillion, under IFAS, PRC GAAP, HK GAAP accounting principles, crossing Real Estate, Manufacturing, Technology etc. industries. Main projects:</w:t>
      </w:r>
    </w:p>
    <w:p>
      <w:pPr>
        <w:spacing w:before="120" w:after="120" w:line="288" w:lineRule="auto"/>
        <w:ind w:left="0" w:firstLine="0"/>
        <w:jc w:val="left"/>
      </w:pPr>
      <w:r>
        <w:rPr>
          <w:rFonts w:eastAsia="等线" w:ascii="Arial" w:cs="Arial" w:hAnsi="Arial"/>
          <w:b w:val="true"/>
          <w:color w:val="1f2329"/>
          <w:sz w:val="22"/>
        </w:rPr>
        <w:t xml:space="preserve"> China Vanke Co.,Ltd (A+H Listed)（万科）</w:t>
      </w:r>
    </w:p>
    <w:p>
      <w:pPr>
        <w:numPr>
          <w:numId w:val="11"/>
        </w:numPr>
        <w:spacing w:before="120" w:after="120" w:line="288" w:lineRule="auto"/>
        <w:ind w:left="0"/>
        <w:jc w:val="left"/>
      </w:pPr>
      <w:r>
        <w:rPr>
          <w:rFonts w:eastAsia="等线" w:ascii="Arial" w:cs="Arial" w:hAnsi="Arial"/>
          <w:color w:val="1f2329"/>
          <w:sz w:val="22"/>
        </w:rPr>
        <w:t>Tested the effectiveness of company’s internal controls through inquiry, inspection and observation, assessed the risks and materials impacts over financial annual report, documented into working paper and communicated with company’s management team locate in Beijing, Tianjin, Taiyuan etc. Branches</w:t>
      </w:r>
    </w:p>
    <w:p>
      <w:pPr>
        <w:numPr>
          <w:numId w:val="12"/>
        </w:numPr>
        <w:spacing w:before="120" w:after="120" w:line="288" w:lineRule="auto"/>
        <w:ind w:left="0"/>
        <w:jc w:val="left"/>
      </w:pPr>
      <w:r>
        <w:rPr>
          <w:rFonts w:eastAsia="等线" w:ascii="Arial" w:cs="Arial" w:hAnsi="Arial"/>
          <w:color w:val="1f2329"/>
          <w:sz w:val="22"/>
        </w:rPr>
        <w:t>Drafted formal audit report, reviewed report and analysis memo according to the results of audit procedures over balance sheet, including site visits, general ledger, replies of bank confirmation, etc.</w:t>
      </w:r>
    </w:p>
    <w:p>
      <w:pPr>
        <w:numPr>
          <w:numId w:val="13"/>
        </w:numPr>
        <w:spacing w:before="120" w:after="120" w:line="288" w:lineRule="auto"/>
        <w:ind w:left="0"/>
        <w:jc w:val="left"/>
      </w:pPr>
      <w:r>
        <w:rPr>
          <w:rFonts w:eastAsia="等线" w:ascii="Arial" w:cs="Arial" w:hAnsi="Arial"/>
          <w:color w:val="1f2329"/>
          <w:sz w:val="22"/>
        </w:rPr>
        <w:t>Performed financial analysis such as trend, rations, variance to identify potential accounting issues or irregularity in operating activities based on company’s grows rate, forecast and economic environment</w:t>
      </w:r>
    </w:p>
    <w:p>
      <w:pPr>
        <w:numPr>
          <w:numId w:val="14"/>
        </w:numPr>
        <w:spacing w:before="120" w:after="120" w:line="288" w:lineRule="auto"/>
        <w:ind w:left="0"/>
        <w:jc w:val="left"/>
      </w:pPr>
      <w:r>
        <w:rPr>
          <w:rFonts w:eastAsia="等线" w:ascii="Arial" w:cs="Arial" w:hAnsi="Arial"/>
          <w:color w:val="1f2329"/>
          <w:sz w:val="22"/>
        </w:rPr>
        <w:t>Led 11 people KDC (KPMG Delivery Centre) team to verify the accuracy and existence of company’s trades through sending over 1500 trading confirmations</w:t>
      </w:r>
    </w:p>
    <w:p>
      <w:pPr>
        <w:numPr>
          <w:numId w:val="15"/>
        </w:numPr>
        <w:spacing w:before="120" w:after="120" w:line="288" w:lineRule="auto"/>
        <w:ind w:left="0"/>
        <w:jc w:val="left"/>
      </w:pPr>
      <w:r>
        <w:rPr>
          <w:rFonts w:eastAsia="等线" w:ascii="Arial" w:cs="Arial" w:hAnsi="Arial"/>
          <w:color w:val="1f2329"/>
          <w:sz w:val="22"/>
        </w:rPr>
        <w:t>Collaborated with investment bank to complete the announcements of corporate-bonds</w:t>
      </w:r>
    </w:p>
    <w:p>
      <w:pPr>
        <w:spacing w:before="120" w:after="120" w:line="288" w:lineRule="auto"/>
        <w:ind w:left="0" w:firstLine="0"/>
        <w:jc w:val="left"/>
      </w:pPr>
      <w:r>
        <w:rPr>
          <w:rFonts w:eastAsia="等线" w:ascii="Arial" w:cs="Arial" w:hAnsi="Arial"/>
          <w:b w:val="true"/>
          <w:color w:val="1f2329"/>
          <w:sz w:val="22"/>
        </w:rPr>
        <w:t xml:space="preserve"> NAYUKI （奈雪的茶）</w:t>
      </w:r>
    </w:p>
    <w:p>
      <w:pPr>
        <w:numPr>
          <w:numId w:val="16"/>
        </w:numPr>
        <w:spacing w:before="120" w:after="120" w:line="288" w:lineRule="auto"/>
        <w:ind w:left="0"/>
        <w:jc w:val="left"/>
      </w:pPr>
      <w:r>
        <w:rPr>
          <w:rFonts w:eastAsia="等线" w:ascii="Arial" w:cs="Arial" w:hAnsi="Arial"/>
          <w:color w:val="1f2329"/>
          <w:sz w:val="22"/>
        </w:rPr>
        <w:t xml:space="preserve">Participated company’s annual stock-take, assisted company to design tailored random sampling plan on 20 thousand raw materials and finished goods, for checking completeness and accuracy of inventory, resulting in high evaluate by company (Pre-IPO)  </w:t>
      </w:r>
    </w:p>
    <w:p>
      <w:pPr>
        <w:spacing w:before="120" w:after="120" w:line="288" w:lineRule="auto"/>
        <w:ind w:left="0" w:firstLine="0"/>
        <w:jc w:val="left"/>
      </w:pPr>
      <w:r>
        <w:rPr>
          <w:rFonts w:eastAsia="等线" w:ascii="Arial" w:cs="Arial" w:hAnsi="Arial"/>
          <w:i w:val="true"/>
          <w:color w:val="1f2329"/>
          <w:sz w:val="22"/>
        </w:rPr>
        <w:t xml:space="preserve">08/2019-10/2019 </w:t>
      </w:r>
      <w:r>
        <w:rPr>
          <w:rFonts w:eastAsia="等线" w:ascii="Arial" w:cs="Arial" w:hAnsi="Arial"/>
          <w:b w:val="true"/>
          <w:color w:val="1f2329"/>
          <w:sz w:val="22"/>
        </w:rPr>
        <w:t>Bank of China (Hong Kong)</w:t>
      </w:r>
      <w:r>
        <w:rPr>
          <w:rFonts w:eastAsia="等线" w:ascii="Arial" w:cs="Arial" w:hAnsi="Arial"/>
          <w:color w:val="1f2329"/>
          <w:sz w:val="22"/>
        </w:rPr>
        <w:t xml:space="preserve"> </w:t>
      </w:r>
      <w:r>
        <w:rPr>
          <w:rFonts w:eastAsia="等线" w:ascii="Arial" w:cs="Arial" w:hAnsi="Arial"/>
          <w:i w:val="true"/>
          <w:color w:val="1f2329"/>
          <w:sz w:val="22"/>
        </w:rPr>
        <w:t>Hong Kong, HKR</w:t>
      </w:r>
    </w:p>
    <w:p>
      <w:pPr>
        <w:spacing w:before="120" w:after="120" w:line="288" w:lineRule="auto"/>
        <w:ind w:left="0" w:firstLine="0"/>
        <w:jc w:val="left"/>
      </w:pPr>
      <w:r>
        <w:rPr>
          <w:rFonts w:eastAsia="等线" w:ascii="Arial" w:cs="Arial" w:hAnsi="Arial"/>
          <w:i w:val="true"/>
          <w:color w:val="1f2329"/>
          <w:sz w:val="22"/>
        </w:rPr>
        <w:t xml:space="preserve"> </w:t>
      </w:r>
      <w:r>
        <w:rPr>
          <w:rFonts w:eastAsia="等线" w:ascii="Arial" w:cs="Arial" w:hAnsi="Arial"/>
          <w:b w:val="true"/>
          <w:color w:val="1f2329"/>
          <w:sz w:val="22"/>
        </w:rPr>
        <w:t>Graduate Program</w:t>
      </w:r>
    </w:p>
    <w:p>
      <w:pPr>
        <w:numPr>
          <w:numId w:val="17"/>
        </w:numPr>
        <w:spacing w:before="120" w:after="120" w:line="288" w:lineRule="auto"/>
        <w:ind w:left="0"/>
        <w:jc w:val="left"/>
      </w:pPr>
      <w:r>
        <w:rPr>
          <w:rFonts w:eastAsia="等线" w:ascii="Arial" w:cs="Arial" w:hAnsi="Arial"/>
          <w:color w:val="1f2329"/>
          <w:sz w:val="22"/>
        </w:rPr>
        <w:t>Involved into 13th HKIB Outstanding Financial Management Planners Awards, produced PPT and provide tailored financial plans, such as insurance products, saving strategy, investment allocation</w:t>
      </w:r>
    </w:p>
    <w:p>
      <w:pPr>
        <w:spacing w:before="120" w:after="120" w:line="288" w:lineRule="auto"/>
        <w:ind w:left="0" w:firstLine="0"/>
        <w:jc w:val="left"/>
      </w:pPr>
      <w:r>
        <w:rPr>
          <w:rFonts w:eastAsia="等线" w:ascii="Arial" w:cs="Arial" w:hAnsi="Arial"/>
          <w:i w:val="true"/>
          <w:color w:val="1f2329"/>
          <w:sz w:val="22"/>
        </w:rPr>
        <w:t>12/2018-8/2019</w:t>
      </w:r>
      <w:r>
        <w:rPr>
          <w:rFonts w:eastAsia="等线" w:ascii="Arial" w:cs="Arial" w:hAnsi="Arial"/>
          <w:b w:val="true"/>
          <w:color w:val="1f2329"/>
          <w:sz w:val="22"/>
        </w:rPr>
        <w:t>Merrill Lynch, Bank of America</w:t>
      </w:r>
      <w:r>
        <w:rPr>
          <w:rFonts w:eastAsia="等线" w:ascii="Arial" w:cs="Arial" w:hAnsi="Arial"/>
          <w:color w:val="1f2329"/>
          <w:sz w:val="22"/>
        </w:rPr>
        <w:t xml:space="preserve"> </w:t>
      </w:r>
      <w:r>
        <w:rPr>
          <w:rFonts w:eastAsia="等线" w:ascii="Arial" w:cs="Arial" w:hAnsi="Arial"/>
          <w:i w:val="true"/>
          <w:color w:val="1f2329"/>
          <w:sz w:val="22"/>
        </w:rPr>
        <w:t>Fort Lauderdale, Florida</w:t>
      </w:r>
    </w:p>
    <w:p>
      <w:pPr>
        <w:spacing w:before="120" w:after="120" w:line="288" w:lineRule="auto"/>
        <w:ind w:left="0" w:firstLine="0"/>
        <w:jc w:val="left"/>
      </w:pPr>
      <w:r>
        <w:rPr>
          <w:rFonts w:eastAsia="等线" w:ascii="Arial" w:cs="Arial" w:hAnsi="Arial"/>
          <w:b w:val="true"/>
          <w:color w:val="1f2329"/>
          <w:sz w:val="22"/>
        </w:rPr>
        <w:t>Wealth Management, Financial Advisor</w:t>
      </w:r>
    </w:p>
    <w:p>
      <w:pPr>
        <w:spacing w:before="120" w:after="120" w:line="288" w:lineRule="auto"/>
        <w:ind w:left="0" w:firstLine="0"/>
        <w:jc w:val="left"/>
      </w:pPr>
      <w:r>
        <w:rPr>
          <w:rFonts w:eastAsia="等线" w:ascii="Arial" w:cs="Arial" w:hAnsi="Arial"/>
          <w:b w:val="true"/>
          <w:color w:val="1f2329"/>
          <w:sz w:val="22"/>
        </w:rPr>
        <w:t>Education &amp; Honors</w:t>
      </w:r>
      <w:r>
        <w:rPr>
          <w:rFonts w:eastAsia="等线" w:ascii="Arial" w:cs="Arial" w:hAnsi="Arial"/>
          <w:i w:val="true"/>
          <w:color w:val="1f2329"/>
          <w:sz w:val="22"/>
        </w:rPr>
        <w:t xml:space="preserve"> </w:t>
      </w:r>
    </w:p>
    <w:p>
      <w:pPr>
        <w:pBdr>
          <w:bottom w:val="single" w:color="dee0e3"/>
          <w:between w:val="single" w:color="dee0e3"/>
        </w:pBdr>
        <w:spacing w:before="120" w:after="120" w:line="288" w:lineRule="auto"/>
        <w:ind w:left="0"/>
      </w:pPr>
    </w:p>
    <w:p>
      <w:pPr>
        <w:spacing w:before="120" w:after="120" w:line="288" w:lineRule="auto"/>
        <w:ind w:left="0" w:firstLine="0"/>
        <w:jc w:val="left"/>
      </w:pPr>
      <w:r>
        <w:rPr>
          <w:rFonts w:eastAsia="等线" w:ascii="Arial" w:cs="Arial" w:hAnsi="Arial"/>
          <w:i w:val="true"/>
          <w:color w:val="1f2329"/>
          <w:sz w:val="22"/>
        </w:rPr>
        <w:t>07/2017-12/2018</w:t>
      </w:r>
      <w:r>
        <w:rPr>
          <w:rFonts w:eastAsia="等线" w:ascii="Arial" w:cs="Arial" w:hAnsi="Arial"/>
          <w:color w:val="1f2329"/>
          <w:sz w:val="22"/>
        </w:rPr>
        <w:t xml:space="preserve">   </w:t>
      </w:r>
      <w:r>
        <w:rPr>
          <w:rFonts w:eastAsia="等线" w:ascii="Arial" w:cs="Arial" w:hAnsi="Arial"/>
          <w:b w:val="true"/>
          <w:color w:val="1f2329"/>
          <w:sz w:val="22"/>
        </w:rPr>
        <w:t>University of Miami, Herbert Business School | MS Finance</w:t>
      </w:r>
      <w:r>
        <w:rPr>
          <w:rFonts w:eastAsia="等线" w:ascii="Arial" w:cs="Arial" w:hAnsi="Arial"/>
          <w:i w:val="true"/>
          <w:color w:val="1f2329"/>
          <w:sz w:val="22"/>
        </w:rPr>
        <w:t xml:space="preserve">              Coral Gables, Florida</w:t>
      </w:r>
    </w:p>
    <w:p>
      <w:pPr>
        <w:numPr>
          <w:numId w:val="18"/>
        </w:numPr>
        <w:spacing w:before="120" w:after="120" w:line="288" w:lineRule="auto"/>
        <w:ind w:left="0"/>
        <w:jc w:val="left"/>
      </w:pPr>
      <w:r>
        <w:rPr>
          <w:rFonts w:eastAsia="等线" w:ascii="Arial" w:cs="Arial" w:hAnsi="Arial"/>
          <w:color w:val="1f2329"/>
          <w:sz w:val="22"/>
        </w:rPr>
        <w:t>Academic Scholarship (Top 5%)GPA: 3.61</w:t>
      </w:r>
    </w:p>
    <w:p>
      <w:pPr>
        <w:spacing w:before="120" w:after="120" w:line="288" w:lineRule="auto"/>
        <w:ind w:left="0" w:firstLine="0"/>
        <w:jc w:val="left"/>
      </w:pPr>
      <w:r>
        <w:rPr>
          <w:rFonts w:eastAsia="等线" w:ascii="Arial" w:cs="Arial" w:hAnsi="Arial"/>
          <w:i w:val="true"/>
          <w:color w:val="1f2329"/>
          <w:sz w:val="22"/>
        </w:rPr>
        <w:t xml:space="preserve">08/2013-05/2017 </w:t>
      </w:r>
      <w:r>
        <w:rPr>
          <w:rFonts w:eastAsia="等线" w:ascii="Arial" w:cs="Arial" w:hAnsi="Arial"/>
          <w:color w:val="1f2329"/>
          <w:sz w:val="22"/>
        </w:rPr>
        <w:t xml:space="preserve">  </w:t>
      </w:r>
      <w:r>
        <w:rPr>
          <w:rFonts w:eastAsia="等线" w:ascii="Arial" w:cs="Arial" w:hAnsi="Arial"/>
          <w:b w:val="true"/>
          <w:color w:val="1f2329"/>
          <w:sz w:val="22"/>
        </w:rPr>
        <w:t xml:space="preserve">Southwest Jiaotong University | BS Economics                         </w:t>
      </w:r>
      <w:r>
        <w:rPr>
          <w:rFonts w:eastAsia="等线" w:ascii="Arial" w:cs="Arial" w:hAnsi="Arial"/>
          <w:i w:val="true"/>
          <w:color w:val="1f2329"/>
          <w:sz w:val="22"/>
        </w:rPr>
        <w:t xml:space="preserve">         Chengdu, China</w:t>
      </w:r>
    </w:p>
    <w:p>
      <w:pPr>
        <w:numPr>
          <w:numId w:val="19"/>
        </w:numPr>
        <w:spacing w:before="120" w:after="120" w:line="288" w:lineRule="auto"/>
        <w:ind w:left="0"/>
        <w:jc w:val="left"/>
      </w:pPr>
      <w:r>
        <w:rPr>
          <w:rFonts w:eastAsia="等线" w:ascii="Arial" w:cs="Arial" w:hAnsi="Arial"/>
          <w:color w:val="1f2329"/>
          <w:sz w:val="22"/>
        </w:rPr>
        <w:t>2016-2017 Study in George Mason University (</w:t>
      </w:r>
      <w:r>
        <w:rPr>
          <w:rFonts w:eastAsia="等线" w:ascii="Arial" w:cs="Arial" w:hAnsi="Arial"/>
          <w:b w:val="true"/>
          <w:color w:val="1f2329"/>
          <w:sz w:val="22"/>
        </w:rPr>
        <w:t>Nobel Prize in Economics</w:t>
      </w:r>
      <w:r>
        <w:rPr>
          <w:rFonts w:eastAsia="等线" w:ascii="Arial" w:cs="Arial" w:hAnsi="Arial"/>
          <w:color w:val="1f2329"/>
          <w:sz w:val="22"/>
        </w:rPr>
        <w:t>), Dean’s ListGPA: 3.53</w:t>
      </w:r>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22560">
    <w:lvl>
      <w:numFmt w:val="bullet"/>
      <w:suff w:val="tab"/>
      <w:lvlText w:val="•"/>
      <w:rPr>
        <w:color w:val="3370ff"/>
      </w:rPr>
    </w:lvl>
  </w:abstractNum>
  <w:abstractNum w:abstractNumId="22561">
    <w:lvl>
      <w:numFmt w:val="bullet"/>
      <w:suff w:val="tab"/>
      <w:lvlText w:val="•"/>
      <w:rPr>
        <w:color w:val="3370ff"/>
      </w:rPr>
    </w:lvl>
  </w:abstractNum>
  <w:abstractNum w:abstractNumId="22562">
    <w:lvl>
      <w:numFmt w:val="bullet"/>
      <w:suff w:val="tab"/>
      <w:lvlText w:val="•"/>
      <w:rPr>
        <w:color w:val="3370ff"/>
      </w:rPr>
    </w:lvl>
  </w:abstractNum>
  <w:abstractNum w:abstractNumId="22563">
    <w:lvl>
      <w:numFmt w:val="bullet"/>
      <w:suff w:val="tab"/>
      <w:lvlText w:val="•"/>
      <w:rPr>
        <w:color w:val="3370ff"/>
      </w:rPr>
    </w:lvl>
  </w:abstractNum>
  <w:abstractNum w:abstractNumId="22564">
    <w:lvl>
      <w:numFmt w:val="bullet"/>
      <w:suff w:val="tab"/>
      <w:lvlText w:val="•"/>
      <w:rPr>
        <w:color w:val="3370ff"/>
      </w:rPr>
    </w:lvl>
  </w:abstractNum>
  <w:abstractNum w:abstractNumId="22565">
    <w:lvl>
      <w:numFmt w:val="bullet"/>
      <w:suff w:val="tab"/>
      <w:lvlText w:val="•"/>
      <w:rPr>
        <w:color w:val="3370ff"/>
      </w:rPr>
    </w:lvl>
  </w:abstractNum>
  <w:abstractNum w:abstractNumId="22566">
    <w:lvl>
      <w:numFmt w:val="bullet"/>
      <w:suff w:val="tab"/>
      <w:lvlText w:val="•"/>
      <w:rPr>
        <w:color w:val="3370ff"/>
      </w:rPr>
    </w:lvl>
  </w:abstractNum>
  <w:abstractNum w:abstractNumId="22567">
    <w:lvl>
      <w:numFmt w:val="bullet"/>
      <w:suff w:val="tab"/>
      <w:lvlText w:val="•"/>
      <w:rPr>
        <w:color w:val="3370ff"/>
      </w:rPr>
    </w:lvl>
  </w:abstractNum>
  <w:abstractNum w:abstractNumId="22568">
    <w:lvl>
      <w:numFmt w:val="bullet"/>
      <w:suff w:val="tab"/>
      <w:lvlText w:val="•"/>
      <w:rPr>
        <w:color w:val="3370ff"/>
      </w:rPr>
    </w:lvl>
  </w:abstractNum>
  <w:abstractNum w:abstractNumId="22569">
    <w:lvl>
      <w:numFmt w:val="bullet"/>
      <w:suff w:val="tab"/>
      <w:lvlText w:val="•"/>
      <w:rPr>
        <w:color w:val="3370ff"/>
      </w:rPr>
    </w:lvl>
  </w:abstractNum>
  <w:abstractNum w:abstractNumId="22570">
    <w:lvl>
      <w:numFmt w:val="bullet"/>
      <w:suff w:val="tab"/>
      <w:lvlText w:val="•"/>
      <w:rPr>
        <w:color w:val="3370ff"/>
      </w:rPr>
    </w:lvl>
  </w:abstractNum>
  <w:abstractNum w:abstractNumId="22571">
    <w:lvl>
      <w:numFmt w:val="bullet"/>
      <w:suff w:val="tab"/>
      <w:lvlText w:val="•"/>
      <w:rPr>
        <w:color w:val="3370ff"/>
      </w:rPr>
    </w:lvl>
  </w:abstractNum>
  <w:abstractNum w:abstractNumId="22572">
    <w:lvl>
      <w:numFmt w:val="bullet"/>
      <w:suff w:val="tab"/>
      <w:lvlText w:val="•"/>
      <w:rPr>
        <w:color w:val="3370ff"/>
      </w:rPr>
    </w:lvl>
  </w:abstractNum>
  <w:abstractNum w:abstractNumId="22573">
    <w:lvl>
      <w:numFmt w:val="bullet"/>
      <w:suff w:val="tab"/>
      <w:lvlText w:val="•"/>
      <w:rPr>
        <w:color w:val="3370ff"/>
      </w:rPr>
    </w:lvl>
  </w:abstractNum>
  <w:abstractNum w:abstractNumId="22574">
    <w:lvl>
      <w:numFmt w:val="bullet"/>
      <w:suff w:val="tab"/>
      <w:lvlText w:val="•"/>
      <w:rPr>
        <w:color w:val="3370ff"/>
      </w:rPr>
    </w:lvl>
  </w:abstractNum>
  <w:abstractNum w:abstractNumId="22575">
    <w:lvl>
      <w:numFmt w:val="bullet"/>
      <w:suff w:val="tab"/>
      <w:lvlText w:val="•"/>
      <w:rPr>
        <w:color w:val="3370ff"/>
      </w:rPr>
    </w:lvl>
  </w:abstractNum>
  <w:abstractNum w:abstractNumId="22576">
    <w:lvl>
      <w:numFmt w:val="bullet"/>
      <w:suff w:val="tab"/>
      <w:lvlText w:val="•"/>
      <w:rPr>
        <w:color w:val="3370ff"/>
      </w:rPr>
    </w:lvl>
  </w:abstractNum>
  <w:abstractNum w:abstractNumId="22577">
    <w:lvl>
      <w:numFmt w:val="bullet"/>
      <w:suff w:val="tab"/>
      <w:lvlText w:val="•"/>
      <w:rPr>
        <w:color w:val="3370ff"/>
      </w:rPr>
    </w:lvl>
  </w:abstractNum>
  <w:abstractNum w:abstractNumId="22578">
    <w:lvl>
      <w:numFmt w:val="bullet"/>
      <w:suff w:val="tab"/>
      <w:lvlText w:val="•"/>
      <w:rPr>
        <w:color w:val="3370ff"/>
      </w:rPr>
    </w:lvl>
  </w:abstractNum>
  <w:num w:numId="1">
    <w:abstractNumId w:val="22560"/>
  </w:num>
  <w:num w:numId="2">
    <w:abstractNumId w:val="22561"/>
  </w:num>
  <w:num w:numId="3">
    <w:abstractNumId w:val="22562"/>
  </w:num>
  <w:num w:numId="4">
    <w:abstractNumId w:val="22563"/>
  </w:num>
  <w:num w:numId="5">
    <w:abstractNumId w:val="22564"/>
  </w:num>
  <w:num w:numId="6">
    <w:abstractNumId w:val="22565"/>
  </w:num>
  <w:num w:numId="7">
    <w:abstractNumId w:val="22566"/>
  </w:num>
  <w:num w:numId="8">
    <w:abstractNumId w:val="22567"/>
  </w:num>
  <w:num w:numId="9">
    <w:abstractNumId w:val="22568"/>
  </w:num>
  <w:num w:numId="10">
    <w:abstractNumId w:val="22569"/>
  </w:num>
  <w:num w:numId="11">
    <w:abstractNumId w:val="22570"/>
  </w:num>
  <w:num w:numId="12">
    <w:abstractNumId w:val="22571"/>
  </w:num>
  <w:num w:numId="13">
    <w:abstractNumId w:val="22572"/>
  </w:num>
  <w:num w:numId="14">
    <w:abstractNumId w:val="22573"/>
  </w:num>
  <w:num w:numId="15">
    <w:abstractNumId w:val="22574"/>
  </w:num>
  <w:num w:numId="16">
    <w:abstractNumId w:val="22575"/>
  </w:num>
  <w:num w:numId="17">
    <w:abstractNumId w:val="22576"/>
  </w:num>
  <w:num w:numId="18">
    <w:abstractNumId w:val="22577"/>
  </w:num>
  <w:num w:numId="19">
    <w:abstractNumId w:val="22578"/>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2023-07-06T18:03:36Z</dcterms:created>
  <dc:creator>Apache POI</dc:creator>
</cp:coreProperties>
</file>