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6C8" w:rsidRPr="00D37C6A" w:rsidRDefault="00A047A4" w:rsidP="00D37C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</w:t>
      </w:r>
    </w:p>
    <w:p w:rsidR="00A047A4" w:rsidRPr="00A047A4" w:rsidRDefault="00A047A4" w:rsidP="00D37C6A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A047A4">
        <w:rPr>
          <w:sz w:val="28"/>
          <w:szCs w:val="28"/>
        </w:rPr>
        <w:t>В процессе сбора требований от заказчика прежде всего проводятся интервью и опросы заинтересованных лиц, включая врачей, административный и технический персонал медицинского учреждения. Выясняются ключевые бизнес</w:t>
      </w:r>
      <w:r w:rsidRPr="00A047A4">
        <w:rPr>
          <w:sz w:val="28"/>
          <w:szCs w:val="28"/>
        </w:rPr>
        <w:noBreakHyphen/>
        <w:t>процессы: регистрация нового пациента, ведение истории болезни, фиксация назначений, оформление рецептов, контроль выполнения терапии и формирование отчетов. Определяются роли пользователей: «администратор» для управления справочниками и пользователями, «врач» для формирования и чтения медкарты, «разработчик» для настройки и сопровождения системы. На этом этапе уточняются требования к целевым объёмам данных (примерно 1000–5000 записей в сутки), времени отклика (не более 200 мс на выборку по ФИО или дате), необходимости гибкого поиска (поддержка частичного совпадения, фильтры по диапазонам дат и врачам) и особенностям бизнес</w:t>
      </w:r>
      <w:r w:rsidRPr="00A047A4">
        <w:rPr>
          <w:sz w:val="28"/>
          <w:szCs w:val="28"/>
        </w:rPr>
        <w:noBreakHyphen/>
        <w:t>логики (например, один пациент может иметь несколько одновременно де</w:t>
      </w:r>
      <w:r w:rsidR="00D37C6A">
        <w:rPr>
          <w:sz w:val="28"/>
          <w:szCs w:val="28"/>
        </w:rPr>
        <w:t>йствующих назначений и рецептов</w:t>
      </w:r>
      <w:r w:rsidRPr="00A047A4">
        <w:rPr>
          <w:sz w:val="28"/>
          <w:szCs w:val="28"/>
        </w:rPr>
        <w:t>). Также важно понять, нужны ли интеграции с внешними системами (электронный журнал, системы телемедицины), особенности резервного копирования (хранилище на отдельном сервере, шифрование бэкапов) и требования к безопасности (соответствие локальным стандартам защиты персональных данных).</w:t>
      </w:r>
    </w:p>
    <w:p w:rsidR="00A047A4" w:rsidRPr="00A047A4" w:rsidRDefault="00A047A4" w:rsidP="00D37C6A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A047A4">
        <w:rPr>
          <w:sz w:val="28"/>
          <w:szCs w:val="28"/>
        </w:rPr>
        <w:t>Параллельно определяются аппаратные и программные ресурсы. Для серверной части выбран PostgreSQL в версии не ниже 12 благодаря встроенной поддержке репликации и расширению pgcrypto. Планируется основной узел и две реплики на разных физических или виртуальных машинах. Каждому узлу требуется не менее 4 ГБ оперативной памяти и двухъядерный процессор с тактовой частотой не ниже 2 ГГц, 50 ГБ на хранилище для данных и WAL</w:t>
      </w:r>
      <w:r w:rsidRPr="00A047A4">
        <w:rPr>
          <w:sz w:val="28"/>
          <w:szCs w:val="28"/>
        </w:rPr>
        <w:noBreakHyphen/>
        <w:t xml:space="preserve">архивации. Клиенты работают на машинах под управлением Windows или с Python 3.11, установленными библиотеками psycopg2 и средствами взаимодействия (psql, pgAdmin). На </w:t>
      </w:r>
      <w:r w:rsidRPr="00A047A4">
        <w:rPr>
          <w:sz w:val="28"/>
          <w:szCs w:val="28"/>
        </w:rPr>
        <w:lastRenderedPageBreak/>
        <w:t>этапе сбора ресурсов также уточняется, потребуется ли выделенный сервер для шифрования на стороне ОС (TDE</w:t>
      </w:r>
      <w:r w:rsidRPr="00A047A4">
        <w:rPr>
          <w:sz w:val="28"/>
          <w:szCs w:val="28"/>
        </w:rPr>
        <w:noBreakHyphen/>
        <w:t>аналог) или достаточно шифрования на уровне столбца в базе.</w:t>
      </w:r>
    </w:p>
    <w:p w:rsidR="00A047A4" w:rsidRPr="00A047A4" w:rsidRDefault="00A047A4" w:rsidP="00D37C6A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A047A4">
        <w:rPr>
          <w:sz w:val="28"/>
          <w:szCs w:val="28"/>
        </w:rPr>
        <w:t>При анализе существующих решений было изучено несколько категорий платформ. Коммерческие продукты, такие как «1С:Медицина», «Медэксперт» и MedInfo, предлагают обширный функционал, включая интеграцию с лабораторными системами, телемедициной и страховыми компаниями. Однако большинство этих решений избыточно для учебного проекта: они требуют лицензий, сложной настройки и зачастую привязаны к экосистемам вендоров. Гибкость их внутренней схемы данных ограничена, а настройка бизнес</w:t>
      </w:r>
      <w:r w:rsidRPr="00A047A4">
        <w:rPr>
          <w:sz w:val="28"/>
          <w:szCs w:val="28"/>
        </w:rPr>
        <w:noBreakHyphen/>
        <w:t>логики подразумевает глубокое погружение в готовые модули 1С или платные SDK. Преимущество таких платформ — готовые интерфейсы, но цена и сложность установки делают их нецелесообразными для прототипирования.</w:t>
      </w:r>
    </w:p>
    <w:p w:rsidR="00A047A4" w:rsidRDefault="00A047A4" w:rsidP="00D37C6A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7A4">
        <w:rPr>
          <w:rFonts w:ascii="Times New Roman" w:hAnsi="Times New Roman" w:cs="Times New Roman"/>
          <w:sz w:val="28"/>
          <w:szCs w:val="28"/>
        </w:rPr>
        <w:t>Для репликации оценивались встроенный механизм PostgreSQL (streaming replication) и решения на базе Patroni + Etcd для автоматического failover. Поскольку цель проекта — учебная, достаточно настроить простую синхронную и асинхронную репликацию между тремя нодами, используя «standby.signal» и параметр synchronous_standby_names. Для резервного копирования выбран стандартный pg_dump, который позволяет снимать полные дампы и восстанавливать их на чистую базу, а WAL‑архивация обеспечивает точку восстановления.</w:t>
      </w:r>
    </w:p>
    <w:p w:rsidR="00D37C6A" w:rsidRPr="00A3130E" w:rsidRDefault="00A047A4" w:rsidP="00D37C6A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7A4">
        <w:rPr>
          <w:rFonts w:ascii="Times New Roman" w:hAnsi="Times New Roman" w:cs="Times New Roman"/>
          <w:sz w:val="28"/>
          <w:szCs w:val="28"/>
        </w:rPr>
        <w:t>Таким образом, анализ существующих решений показал, что для учебного прототипа оптимально использовать PostgreSQL с чистым SQL‑клиентом psycopg2, реали</w:t>
      </w:r>
      <w:r w:rsidR="00D37C6A">
        <w:rPr>
          <w:rFonts w:ascii="Times New Roman" w:hAnsi="Times New Roman" w:cs="Times New Roman"/>
          <w:sz w:val="28"/>
          <w:szCs w:val="28"/>
        </w:rPr>
        <w:t xml:space="preserve">зовать консольный интерфейс CLI. </w:t>
      </w:r>
      <w:r w:rsidRPr="00A047A4">
        <w:rPr>
          <w:rFonts w:ascii="Times New Roman" w:hAnsi="Times New Roman" w:cs="Times New Roman"/>
          <w:sz w:val="28"/>
          <w:szCs w:val="28"/>
        </w:rPr>
        <w:t>Такой подход обеспечивает прозрачность работы, возможность быстрого развертывания и лёгкость сопровождения, что соответствует целям проекта.</w:t>
      </w:r>
      <w:bookmarkStart w:id="0" w:name="_GoBack"/>
      <w:bookmarkEnd w:id="0"/>
    </w:p>
    <w:p w:rsidR="00D37C6A" w:rsidRPr="00A047A4" w:rsidRDefault="00D37C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80000" cy="9239250"/>
            <wp:effectExtent l="0" t="0" r="6350" b="0"/>
            <wp:docPr id="1" name="Рисунок 1" descr="C:\Users\cnockleg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nockleg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7C6A" w:rsidRPr="00A047A4" w:rsidSect="00D37C6A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9DC"/>
    <w:rsid w:val="000C79DC"/>
    <w:rsid w:val="00A047A4"/>
    <w:rsid w:val="00A3130E"/>
    <w:rsid w:val="00B7782E"/>
    <w:rsid w:val="00CC66C8"/>
    <w:rsid w:val="00D3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5ED30"/>
  <w15:chartTrackingRefBased/>
  <w15:docId w15:val="{F347405E-DFD3-454F-8B6E-1E8D43B1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4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21293</TotalTime>
  <Pages>3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Германович</dc:creator>
  <cp:keywords/>
  <dc:description/>
  <cp:lastModifiedBy>Евгений Германович</cp:lastModifiedBy>
  <cp:revision>2</cp:revision>
  <dcterms:created xsi:type="dcterms:W3CDTF">2025-06-17T08:45:00Z</dcterms:created>
  <dcterms:modified xsi:type="dcterms:W3CDTF">2025-07-04T23:56:00Z</dcterms:modified>
</cp:coreProperties>
</file>