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诸城叙梦设计需求补充说明</w:t>
      </w:r>
    </w:p>
    <w:p>
      <w:pPr>
        <w:jc w:val="center"/>
      </w:pPr>
      <w:r>
        <w:rPr>
          <w:color w:val="595959"/>
          <w:sz w:val="22"/>
        </w:rPr>
        <w:t>未完善事项 / 待确认项（2026-04-25）</w:t>
      </w:r>
    </w:p>
    <w:p>
      <w:pPr>
        <w:spacing w:after="160"/>
      </w:pPr>
      <w:r>
        <w:rPr>
          <w:b/>
        </w:rPr>
        <w:t>说明：</w:t>
      </w:r>
      <w:r>
        <w:t>本补充文档只记录本轮未完全落地、需要业务确认，或依赖服务器/外部服务配置的事项。已直接实装并验证通过的字段、流程和页面调整不在此重复展开。</w:t>
      </w:r>
    </w:p>
    <w:p>
      <w:pPr>
        <w:spacing w:before="80" w:after="60"/>
      </w:pPr>
      <w:r>
        <w:rPr>
          <w:b/>
          <w:color w:val="1F4E79"/>
          <w:sz w:val="24"/>
        </w:rPr>
        <w:t>1. 未注册用户与导入授权的账号合并</w:t>
      </w:r>
    </w:p>
    <w:p>
      <w:pPr>
        <w:spacing w:after="40"/>
        <w:ind w:left="173"/>
      </w:pPr>
      <w:r>
        <w:rPr>
          <w:b/>
        </w:rPr>
        <w:t>当前状态：</w:t>
      </w:r>
      <w:r>
        <w:t>当前管理端授权导入可以按 QQ / 圈名 ID 创建占位用户；但用户之后用邮箱注册时，系统不会自动把新注册账号与占位用户合并。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需要确认唯一身份规则：以 QQ 为主、圈名 ID 为主，还是邮箱 + QQ 双校验。确认后再实现注册时绑定/合并历史授权。</w:t>
      </w:r>
    </w:p>
    <w:p>
      <w:pPr>
        <w:spacing w:before="180" w:after="60"/>
      </w:pPr>
      <w:r>
        <w:rPr>
          <w:b/>
          <w:color w:val="1F4E79"/>
          <w:sz w:val="24"/>
        </w:rPr>
        <w:t>2. 用户端转让/赞助给未注册用户</w:t>
      </w:r>
    </w:p>
    <w:p>
      <w:pPr>
        <w:spacing w:after="40"/>
        <w:ind w:left="173"/>
      </w:pPr>
      <w:r>
        <w:rPr>
          <w:b/>
        </w:rPr>
        <w:t>当前状态：</w:t>
      </w:r>
      <w:r>
        <w:t>当前用户端转让、即时赞助仍要求对方已存在账号；管理端批量导入可以创建占位用户。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需要确认是否允许普通用户输入 QQ 后自动创建占位用户。若允许，需要增加防误填确认、后续认领和管理员纠错流程。</w:t>
      </w:r>
    </w:p>
    <w:p>
      <w:pPr>
        <w:spacing w:before="180" w:after="60"/>
      </w:pPr>
      <w:r>
        <w:rPr>
          <w:b/>
          <w:color w:val="1F4E79"/>
          <w:sz w:val="24"/>
        </w:rPr>
        <w:t>3. 授权名单的深度修改范围</w:t>
      </w:r>
    </w:p>
    <w:p>
      <w:pPr>
        <w:spacing w:after="40"/>
        <w:ind w:left="173"/>
      </w:pPr>
      <w:r>
        <w:rPr>
          <w:b/>
        </w:rPr>
        <w:t>当前状态：</w:t>
      </w:r>
      <w:r>
        <w:t>本轮已增加按素材查看授权名单、导出 CSV、修改获取类型/积分/发货链接。暂未开放直接改归属人、赞助方/被赞助方关系。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这类修改会影响积分、VIP、流水和回购链路。若需要，请确认操作权限、审计记录和是否自动重算历史积分。</w:t>
      </w:r>
    </w:p>
    <w:p>
      <w:pPr>
        <w:spacing w:before="180" w:after="60"/>
      </w:pPr>
      <w:r>
        <w:rPr>
          <w:b/>
          <w:color w:val="1F4E79"/>
          <w:sz w:val="24"/>
        </w:rPr>
        <w:t>4. 图片上传规格与多图</w:t>
      </w:r>
    </w:p>
    <w:p>
      <w:pPr>
        <w:spacing w:after="40"/>
        <w:ind w:left="173"/>
      </w:pPr>
      <w:r>
        <w:rPr>
          <w:b/>
        </w:rPr>
        <w:t>当前状态：</w:t>
      </w:r>
      <w:r>
        <w:t>当前结车图/预览图支持单图上传，格式 jpg/png/webp/gif，大小上限 5MB；也可填外部图片 URL。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需要确认是否要支持多图、固定裁剪比例、压缩、水印或 CDN。</w:t>
      </w:r>
    </w:p>
    <w:p>
      <w:pPr>
        <w:spacing w:before="180" w:after="60"/>
      </w:pPr>
      <w:r>
        <w:rPr>
          <w:b/>
          <w:color w:val="1F4E79"/>
          <w:sz w:val="24"/>
        </w:rPr>
        <w:t>5. 网站“不安全”提示</w:t>
      </w:r>
    </w:p>
    <w:p>
      <w:pPr>
        <w:spacing w:after="40"/>
        <w:ind w:left="173"/>
      </w:pPr>
      <w:r>
        <w:rPr>
          <w:b/>
        </w:rPr>
        <w:t>当前状态：</w:t>
      </w:r>
      <w:r>
        <w:t>当前生产入口仍是 HTTP/IP 访问，浏览器会显示不安全。代码层面无法单独消除该提示。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需要域名、DNS 解析和 SSL 证书，然后配置 Nginx HTTPS 与 HTTP 跳转。</w:t>
      </w:r>
    </w:p>
    <w:p>
      <w:r>
        <w:br w:type="page"/>
      </w:r>
    </w:p>
    <w:p>
      <w:pPr>
        <w:spacing w:before="180" w:after="60"/>
      </w:pPr>
      <w:r>
        <w:rPr>
          <w:b/>
          <w:color w:val="1F4E79"/>
          <w:sz w:val="24"/>
        </w:rPr>
        <w:t>6. 导入去重策略</w:t>
      </w:r>
    </w:p>
    <w:p>
      <w:pPr>
        <w:spacing w:after="40"/>
        <w:ind w:left="173"/>
      </w:pPr>
      <w:r>
        <w:rPr>
          <w:b/>
        </w:rPr>
        <w:t>当前状态：</w:t>
      </w:r>
      <w:r>
        <w:t>当前交易/授权导入不会自动判断重复记录，重复导入可能生成重复流水或授权。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需要确认唯一键规则，例如 SKU + QQ + 获取类型 + 日期，或由导入模板提供外部订单号。</w:t>
      </w:r>
    </w:p>
    <w:p>
      <w:pPr>
        <w:spacing w:before="180" w:after="60"/>
      </w:pPr>
      <w:r>
        <w:rPr>
          <w:b/>
          <w:color w:val="1F4E79"/>
          <w:sz w:val="24"/>
        </w:rPr>
        <w:t>7. 网盘链接可用性保障</w:t>
      </w:r>
    </w:p>
    <w:p>
      <w:pPr>
        <w:spacing w:after="40"/>
        <w:ind w:left="173"/>
      </w:pPr>
      <w:r>
        <w:rPr>
          <w:b/>
        </w:rPr>
        <w:t>当前状态：</w:t>
      </w:r>
      <w:r>
        <w:t>系统按需求只保存并弹出网盘链接，不占服务器存储；当前不会定期检查链接是否失效、权限是否关闭。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若需要保障链接长期可用，可增加后台链接检测任务和异常列表。</w:t>
      </w:r>
    </w:p>
    <w:p>
      <w:pPr>
        <w:spacing w:before="180" w:after="60"/>
      </w:pPr>
      <w:r>
        <w:rPr>
          <w:b/>
          <w:color w:val="1F4E79"/>
          <w:sz w:val="24"/>
        </w:rPr>
        <w:t>8. 店铺状态“下架”的用户可见性</w:t>
      </w:r>
    </w:p>
    <w:p>
      <w:pPr>
        <w:spacing w:after="40"/>
        <w:ind w:left="173"/>
      </w:pPr>
      <w:r>
        <w:rPr>
          <w:b/>
        </w:rPr>
        <w:t>当前状态：</w:t>
      </w:r>
      <w:r>
        <w:t>用户端店铺素材目前显示“在售”和“结车”，下架素材不展示；管理端可设置下架。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如果“下架筛选”是指顾客也能查看下架素材，请确认展示文案和购买/下载限制。</w:t>
      </w:r>
    </w:p>
    <w:p>
      <w:pPr>
        <w:spacing w:before="180" w:after="60"/>
      </w:pPr>
      <w:r>
        <w:rPr>
          <w:b/>
          <w:color w:val="1F4E79"/>
          <w:sz w:val="24"/>
        </w:rPr>
        <w:t>9. 全站级授权总表导出</w:t>
      </w:r>
    </w:p>
    <w:p>
      <w:pPr>
        <w:spacing w:after="40"/>
        <w:ind w:left="173"/>
      </w:pPr>
      <w:r>
        <w:rPr>
          <w:b/>
        </w:rPr>
        <w:t>当前状态：</w:t>
      </w:r>
      <w:r>
        <w:t>本轮实现的是按单个素材导出授权名单。</w:t>
      </w:r>
    </w:p>
    <w:p>
      <w:pPr>
        <w:spacing w:after="80"/>
        <w:ind w:left="173"/>
      </w:pPr>
      <w:r>
        <w:rPr>
          <w:b/>
        </w:rPr>
        <w:t>需要确认 / 建议下一步：</w:t>
      </w:r>
      <w:r>
        <w:t>如果需要导出所有素材的完整授权总表，需要确认字段顺序、筛选条件和导出权限。</w:t>
      </w:r>
    </w:p>
    <w:p>
      <w:pPr>
        <w:spacing w:before="200"/>
      </w:pPr>
      <w:r>
        <w:rPr>
          <w:b/>
        </w:rPr>
        <w:t>补充建议：</w:t>
      </w:r>
      <w:r>
        <w:t>优先确认“未注册用户合并规则”和“深度修改授权名单范围”，这两项会影响数据模型和历史数据一致性。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