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t xml:space="preserve">Türkiye ile Çin, İpek Yolu'nu ortak bir miras olarak sunan güçlü bir iş birliği söylemine sahiptir; buna karşın Çin uyruklu girişler 2013–2025 döneminde üç katına çıkmasına rağmen Türkiye'ye yapılan toplam yabancı girişlerin hiçbir yıl yüzde birini aşmamıştır. Literatür bu açığı iş birliğinin önündeki engellerle açıklarken, bu çalışma ilişkinin kendisine bakmakta ve iki ülkenin aynı mirası paylaşırken onun üzerinde rekabet de edip etmediğini ortaklaşa rekabet kuramıyla incelemektedir. Kuramın ayrıştırma ilkesine göre iş birliği müşteriden uzak, rekabet müşteriye yakın faaliyetlerde yoğunlaşır. Bu öngörüyü sınamak için 2010–2026 dönemine ait 49 resmî belge 368 anlam birimine ayrılmış ve bağlantısallık, turist akışı, anlatı ve değer yakalama alanlarında iki bağımsız kodlayıcı tarafından açık işaretlere dayalı bir şemayla kodlanmıştır. </w:t>
            </w:r>
            <w:r>
              <w:rPr>
                <w:highlight w:val="yellow"/>
              </w:rPr>
              <w:t xml:space="preserve">BULGU: Rekabet kodlarının payı bağlantısallıkta %__ iken değer yakalamada %__'dir; dolayısıyla ayrıştırma ilkesi desteklenmektedir / kısmen desteklenmektedir / desteklenmemektedir.</w:t>
            </w:r>
            <w:r>
              <w:rPr/>
              <w:t xml:space="preserve"> </w:t>
            </w:r>
            <w:r>
              <w:rPr>
                <w:highlight w:val="yellow"/>
              </w:rPr>
              <w:t xml:space="preserve">SONUÇ: tek cümle, Tartışma ve Sonuç bölümündeki ana iddiayla aynı.</w:t>
            </w:r>
            <w:r>
              <w:rPr/>
              <w:t xml:space="preserve"> Bu sonuç, paylaşılan İpek Yolu mirasının nötr bir ortak varlıktan çok ortaklaşa rekabetin nesnesi olarak işlediğini düşündürmektedir.</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rPr>
              <w:t xml:space="preserve">Türkiye and China share a strong discourse of cooperation that presents the Silk Road as a common heritage; yet although arrivals of Chinese nationals in Türkiye tripled between 2013 and 2025, they never exceeded one per cent of all foreign arrivals. While the literature explains this gap by obstacles to cooperation, this study looks at the relationship itself and uses coopetition theory to ask whether the two countries also compete over the heritage they share. According to the separation principle of the theory, cooperation concentrates in activities far from the customer and competition in activities close to the customer. To test this prediction, 49 official documents from 2010–2026 were divided into 368 meaning units, which two independent coders coded across the domains of connectivity, tourist flows, narrative and value capture using a scheme based on manifest markers. </w:t>
            </w:r>
            <w:r>
              <w:rPr>
                <w:lang w:val="en-US"/>
                <w:highlight w:val="yellow"/>
              </w:rPr>
              <w:t xml:space="preserve">FINDING: The share of competition codes is __% in connectivity and __% in value capture; the separation principle is therefore supported / partially supported / not supported.</w:t>
            </w:r>
            <w:r>
              <w:rPr>
                <w:lang w:val="en-US"/>
              </w:rPr>
              <w:t xml:space="preserve"> </w:t>
            </w:r>
            <w:r>
              <w:rPr>
                <w:lang w:val="en-US"/>
                <w:highlight w:val="yellow"/>
              </w:rPr>
              <w:t xml:space="preserve">CONCLUSION: one sentence, mirroring the Turkish Öz.</w:t>
            </w:r>
            <w:r>
              <w:rPr>
                <w:lang w:val="en-US"/>
              </w:rPr>
              <w:t xml:space="preserve"> This suggests that the shared Silk Road heritage operates less as a neutral common asset than as the object of coopetition.</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İpek Yolu olarak anılan tarihî güzergâhın iki ucunda durmaktadır ve iki ülkenin resmî metinleri bu konumu ortak bir mirasın paylaşımı olarak anlatır. Son on yıldaki adımlar da bu anlatıyı izler: Türkiye 2015'te Antalya'da imzalanan mutabakat zaptıyla Orta Koridor'u Kuşak ve Yol Girişimi ile uyumlaştırmış (Resmî Gazete, 2017), 2018 yılı Çin'de Türkiye Turizm Yılı olarak kutlanmış (Niu ve Li, 2019), 2024'te iki ülkenin kültür ve turizm bakanlıkları bir turizm iş birliği mutabakatı imzalamış (Çin Halk Cumhuriyeti Kültür ve Turizm Bakanlığı, 2024) ve Türkiye 2 Ocak 2026'dan itibaren Çin vatandaşlarına tek taraflı vize muafiyeti tanımıştır (Türkiye Turizm Tanıtım ve Geliştirme Ajansı [TGA], 2026). Bu adımlar art arda okunduğunda açık bir beklenti ortaya çıkar: miras ortaksa ve iş birliği kurulmuşsa, Çinli turistin de gelmesi gerekir.</w:t>
      </w:r>
    </w:p>
    <w:p w14:paraId="67145077" w14:textId="61F759BA" w:rsidR="004724F9" w:rsidRDefault="00FC5974" w:rsidP="001B50BE">
      <w:pPr>
        <w:pStyle w:val="Gvdemetin"/>
      </w:pPr>
      <w:r>
        <w:rPr/>
        <w:t xml:space="preserve">Veri bu beklentiyi ancak kısmen karşılamaktadır. Türkiye'ye giriş yapan Çin uyruklu kişi sayısı 2013'te 138.876 iken 2019'da 426.344'e yükselmiş ve 2025'te 425.348 olmuştur (Türkiye İstatistik Kurumu [TÜİK], 2026). Sayı üç katına çıkmıştır; buna karşın Çin uyrukluların toplam yabancı girişler içindeki payı hiçbir yıl yüzde biri aşmamış, en yüksek değerine 2018'de %0,998 ile ulaşmıştır. Başka bir deyişle, on yılı aşan iş birliği söylemi, altyapı anlaşmaları ve tanıtım kampanyaları, dünyanın en büyük kaynak pazarlarından birinden gelen akışı Türkiye'nin ziyaretçi profilinde marjinal bir paydan öteye taşıyamamıştır. Bu çalışmanın çıkış noktası, söylem ile akış arasındaki bu açıktır.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ve coğrafi uzaklık. Bu açıklama, engeller kalktığında iş birliğinin kendiliğinden turiste dönüşeceğini varsayar. Oysa sorun engellerde değil, ilişkinin kendisinde olabilir. İki ülke İpek Yolu mirası üzerinde yalnızca iş birliği yapmıyor, aynı zamanda bu mirasın hikâyesini kimin anlatacağı, rotanın merkezinin nerede olduğu ve turist harcamasının hangi tarafta kalacağı konusunda rekabet de ediyor olabilir. Yönetim literatüründe bu eşzamanlılığa ortaklaşa rekabet (coopetition) denir ve bu literatür, iş birliği ile rekabetin aynı ilişkide farklı faaliyetlere ayrıştığını öngörür. Bu öngörü doğruysa, iş birliğinin turiste uzak alanlarda toplanması ve turiste yakın alanlarda rekabete dönüşmesi söylem ile akış arasındaki açığı açıklayabilir.</w:t>
      </w:r>
    </w:p>
    <w:p w14:paraId="67145077" w14:textId="61F759BA" w:rsidR="004724F9" w:rsidRDefault="00FC5974" w:rsidP="001B50BE">
      <w:pPr>
        <w:pStyle w:val="Gvdemetin"/>
      </w:pPr>
      <w:r>
        <w:rPr/>
        <w:t xml:space="preserve">Bu olasılık iki soruyu gündeme getirmektedir.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yönelik Çin uyruklu girişlere ne ölçüde yansıdığıdır. Birinci soru, iki ülkenin ikili ve tek taraflı resmî belgelerinden oluşan 49 belgelik bir korpusun sistematik doküman analiziyle; ikinci soru ise TÜİK'in giriş serisinin betimsel okumasıyla yanıtlanmaktadır.</w:t>
      </w:r>
    </w:p>
    <w:p w14:paraId="67145077" w14:textId="61F759BA" w:rsidR="004724F9" w:rsidRDefault="00FC5974" w:rsidP="001B50BE">
      <w:pPr>
        <w:pStyle w:val="Gvdemetin"/>
      </w:pPr>
      <w:r>
        <w:rPr/>
        <w:t xml:space="preserve">Bu yanıtların katkısı üç düzeydedir. Kuramsal düzeyde, firmalar ve destinasyonlar için geliştirilen ayrıştırma ilkesi ilk kez iki devlet arasındaki miras turizmine taşınmaktadır. Kavramsal düzeyde, "paylaşılan İpek Yolu" söyleminin ortaklık ile sahiplik iddiasını aynı anda taşıyabildiği gösterilmekte, bu nedenle İpek Yolu mirası nötr bir ortak varlık olarak değil, ortaklaşa rekabetin nesnesi olarak ele alınmaktadır. Uygulama düzeyinde ise Türkiye'nin Çin pazarına yönelik politikasının hangi alanlarda iş birliğinden, hangi alanlarda farklılaşmadan yarar sağlayabileceği gösterilmektedir. Bu amaçla makale şu sırayı izlemektedir: Kuramsal Çerçeve bölümü literatürdeki iş birliği uzlaşısını, miras siyasetinin bu uzlaşıya itirazını ve iki okumayı birleştiren ortaklaşa rekabet çerçevesini kurarak beş önerme türetmekte; Yöntem bölümü korpusu, kodlama şemasını ve güvenirlik sürecini anlatmakta; Bulgular bölümü önermeleri sırasıyla değerlendirmekte; Tartışma ve Sonuç bölümü ise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Literatüründe Sınanmamış Bir İş Birliği Uzlaşısı</w:t>
      </w:r>
    </w:p>
    <w:p w14:paraId="67145077" w14:textId="61F759BA" w:rsidR="004724F9" w:rsidRDefault="00FC5974" w:rsidP="001B50BE">
      <w:pPr>
        <w:pStyle w:val="Gvdemetin"/>
      </w:pPr>
      <w:r>
        <w:rPr/>
        <w:t xml:space="preserve">Türkiye–Çin turizm literatürünün ortak bir başlangıç noktası vardır: iki ülke arasındaki ilişki, Kuşak ve Yol Girişimi'nin açtığı bir kazan-kazan alanı olarak görülür. Bu bakışa göre turizm, girişimin halklar arası boyutunun en somut parçasıdır; 2018'de Çin'de kutlanan Türkiye Turizm Yılı da bunun kanıtı olarak sunulur (Niu ve Li, 2019). Türkçe çalışmalar aynı varsayımdan hareketle girişimin Türkiye'ye daha fazla Çinli turist getireceğini ve yeni pazarlar açacağını öngörür (İbiş, 2019; Kılıç, 2021; Palidan, 2024). İlişki baştan iş birliği olarak tanımlanınca, karşılaşılan sorunlar da ilişkinin doğasına değil, iş birliğinin önündeki engellere bağlanır: güvenlik kaygısı, siyasi anlaşmazlıklar ve Çince rehber eksikliği (Akyılmaz, 2021; Niu ve Li, 2019). Böylece engeller kalktığında iş birliğinin kendiliğinden turist akışına dönüşeceği varsayılmış olur.</w:t>
      </w:r>
    </w:p>
    <w:p w14:paraId="67145077" w14:textId="61F759BA" w:rsidR="004724F9" w:rsidRDefault="00FC5974" w:rsidP="001B50BE">
      <w:pPr>
        <w:pStyle w:val="Gvdemetin"/>
      </w:pPr>
      <w:r>
        <w:rPr/>
        <w:t xml:space="preserve">Bu varsayımın iki zayıf yanı vardır. Birincisi, ampirik dayanağı yoktur. Girişimin turizmde doğuracağı sinerjinin ölçülmediğini bu literatür de kabul eder; kazanımların taraflar arasında nasıl paylaşılacağı sorusunu da açık bırakır (Kılıç, 2021; Zengin ve Koç, 2021). İkincisi, iki ülke ilişkisinin bütününe bakan uluslararası ilişkiler literatürüyle çelişir. Bu literatüre göre Türkiye ile Çin 2010'dan bu yana düşük düzeyli bir stratejik iş birliğinde kalmış, birbirlerini aynı anda ekonomik ortak, siyasi rakip ve güvenlik rakibi olarak görmüştür (Wang ve Sun, 2024). Bağlantısallıktaki uyum bile koşulludur: Kuşak ve Yol ile Orta Koridor ayrı ayrı tasarlanmıştır ve aralarındaki sinerji ikili ilişkinin niteliğine bağlıdır (Akçay ve Guo, 2023; Chaziza, 2021). İlişkinin geneli hem iş birliği hem rekabet içeriyorsa, turizmin bu karışımın dışında kaldığını varsaymak için bir neden yoktur. Turizm literatürünün sormadığı soru da budur: İpek Yolu turizminde iş birliği hangi alanlarda, rekabet hangi alanlarda yoğunlaşmaktadır? Bu sorunun cevabı, iki ülkenin ortak saydığı mirasın kendisinde aranmalıdır.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Mirasa bakıldığında, turizm literatüründeki uzlaşının ikinci bir varsayıma dayandığı görülür: İpek Yolu, iki ülkenin aynı gözle baktığı nötr bir ortak varlık sayılır. Miras diplomasisi literatürü bu varsayımı sarsar, çünkü mirasın iki yüzü olduğunu gösterir. Bir yüzünde miras, hükümetler arası iş birliğinin ve kültürel yardımın aracıdır; miras diplomasisi kavramı da miras siyasetini yalnızca çatışma üzerinden okuyan çalışmaları dengelemek için önerilmiştir (Winter, 2015). Bu çalışmada miras diplomasisi, mirasın devletlerarası ilişkilerde iş birliği ve nüfuz aracı olarak kullanılması anlamına gelir ve ortak miras söylemi ile UNESCO adaylıkları üzerinden izlenir. Öteki yüzünde ise aynı miras ulusal hedeflerin taşıyıcısıdır. İpek Yolu, İkinci Dünya Savaşı'ndan sonra barış ve kültürlerarası diyalogla özdeşleşen romantik bir imgeye dönüşmüş, fakat bu imgenin içinde İpek Yolu diplomasisi milliyetçi ve jeopolitik hırslara hizmet etmiştir (Winter, 2020). Kuşak ve Yol, bu iki yüzü tek bir tasarımda buluşturur: İpek Yolları bir yandan iş birliği ve bağlantısallık için platform sunar, öte yandan Çin'e "medeniyet devleti" olarak jeokültürel gücünü seferber etme imkânı verir (Winter, 2021a, 2021b).</w:t>
      </w:r>
    </w:p>
    <w:p w14:paraId="67145077" w14:textId="61F759BA" w:rsidR="004724F9" w:rsidRDefault="00FC5974" w:rsidP="001B50BE">
      <w:pPr>
        <w:pStyle w:val="Gvdemetin"/>
      </w:pPr>
      <w:r>
        <w:rPr/>
        <w:t xml:space="preserve">İki yüzün düğümlendiği yer "paylaşılan miras" ifadesidir. UNESCO mirasın uluslararası ölçekte paylaşılmasını teşvik eder; ancak paylaşmanın ne anlama geldiği her aktör için farklıdır ve bu fark birbirine karşıt sahiplenmelere ve rakip toprak senaryolarına yol açar (Debarbieux vd., 2023). Türkiye bu çekişmenin dışında değil, içindedir. Karagöz'ü 2009'da Yunanistan'ı dahil etmeden aday göstermesi iki ülke arasında anlaşmazlığa yol açmış (Debarbieux vd., 2023); Mevlana ve Nevruz da İran ile süren rekabette hem ulus inşasının hem yumuşak gücün aracına dönüşmüştür (Mozaffari ve Akbar, 2024). Geleneksel Türk okçuluğunun mirasa dönüştürülmesi de aynı mantıkla çok ölçekli ve hegemonik bir anlam kurma süreci olarak okunmuştur (Hisarlıoğlu ve Yanık, 2025). Bu örnekler, rekabetçi miras kullanımının yalnızca Çin'e özgü olmadığını gösterir; Türk tarafının İpek Yolu anlatısı da aynı gözle okunmalıdır.</w:t>
      </w:r>
    </w:p>
    <w:p w14:paraId="67145077" w14:textId="61F759BA" w:rsidR="004724F9" w:rsidRDefault="00FC5974" w:rsidP="001B50BE">
      <w:pPr>
        <w:pStyle w:val="Gvdemetin"/>
      </w:pPr>
      <w:r>
        <w:rPr/>
        <w:t xml:space="preserve">Çin cephesinde aynı düğüm daha büyük ölçekte görülür. Çin'in Kazakistan ve Kırgızistan ile hazırladığı ortak UNESCO adaylığına ilişkin medya metinleri, iş birliğini paylaşılan bir geçmiş üzerinden kurarken çatışma ve rekabet belleğini dışarıda bırakan Sinomerkezci bir tarihselleştirme taşımaktadır (Sciorati, 2023). Aynı projede Çin'in batı rotalarına yaptığı vurgu Japonya ve Güney Kore'nin tepkisini çekmiş, böylece ulusötesi bir miras projesinin rekabetçi yüzü görünür hâle gelmiştir (Nakano, 2023). Bu eğilim turizm metinlerine de taşınır. İpek Yolları "Doğu ile Batı" ya da "Çin ile Roma" arasında bir köprü olarak soyutlandıkça, paylaşılan miras retoriği aldatıcı biçimde dışlayıcı bir hâl alır (Brown ve O'Brien, 2025); Avrupa'da bile İpek Yolu varlıkları bölgesel destinasyon markası kurmanın malzemesi olarak kullanılmaktadır (Kostopoulou vd., 2021). Sonuç olarak "paylaşılan" sözcüğü iki farklı anlam taşır: turizm literatüründe ortaklığı, miras siyaseti literatüründe sahiplik iddiasını. Türkiye'yi Asya ile Avrupa arasında bir köprü olarak konumlayan yerli okuma (Palidan, 2024) ile Çin merkezli tarihselleştirme, aynı mirası farklı merkezlerden okumaktadır. İki anlam aynı ikilide birlikte geçerliyse, bu ilişkiyi ne saf iş birliği ne saf rekabet olarak açıklamak mümkündür; ikisini birlikte kavrayan bir çerçeveye ihtiyaç vardır.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Bu çerçeveyi ortaklaşa rekabet kavramı sağlar, çünkü kavram iş birliği ile rekabeti birbirinin alternatifi olarak değil, aynı ilişkinin iki parçası olarak ele alır. Ortaklaşa rekabet, iki firmanın bazı faaliyetlerde iş birliği yaparken diğer faaliyetlerde eşzamanlı olarak rekabet ettiği ikili ve paradoksal ilişkidir (Bengtsson ve Kock, 2000, s. 412). Bir firma rakipleriyle aynı anda saf rekabet, saf iş birliği, birlikte var olma ve ortaklaşa rekabet ilişkileri yürütebileceği için (Bengtsson ve Kock, 1999), belirleyici olan ilişkinin adı değil, iki mantığın nasıl bölündüğüdür. Yazarlara göre bu bölünme taraflar arasında değil faaliyetler arasında gerçekleşir, çünkü aynı faaliyette hem rekabet hem iş birliği yürütülemez (Bengtsson ve Kock, 2000, s. 415). Hangi faaliyetin hangi tarafa düşeceğini ise müşteriye yakınlık belirler: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neden işlediği, iki faaliyet türünün farklı bir şey ürettiği hatırlandığında anlaşılır. Değer ağı yaklaşımında rakipler ve tamamlayıcılar önce birlikte daha büyük bir pazar oluşturur, sonra bu pazardan pay almak için rekabet eder (Brandenburger ve Nalebuff, 1996). Müşteriden uzak faaliyetler çoğunlukla pazarı büyütür, müşteriye yakın faaliyetler ise payı belirler; bu yüzden iş birliği birinci türde, rekabet ikinci türde yoğunlaşır. Ancak bu süreç herkesin kazanacağını garanti etmez. Ortaklaşa rekabet tüm tarafların birlikte değer oluşturmasıyla sonuçlanabileceği gibi, yalnızca bir tarafın kazanmasıyla ya da değer yıkımıyla da sonuçlanabilir (Gnyawali ve Ryan Charleton, 2018); aktörlerin davranışını da değer oluşturma ve yakalama ihtiyacı birlikte yönlendirir (Chou ve Zolkiewski, 2018). Bu nokta Türkiye–Çin ilişkisi için önemlidir: "kazan-kazan" dili ortaklaşa rekabetin kaçınılmaz sonucu değil, olası sonuçlarından yalnızca biridir. Bu çalışmada değer oluşturma, iki tarafın ortak pazarı büyütmeye yönelik eylemleri (ortak tanıtım, vize ve uçuş kolaylığı, altyapı uyumu); değer yakalama ise oluşturulan değerden pay alma mücadelesi (rota ya da merkez konumu, marka sahipliği, gelir ve aracı denetimi) olarak tanımlanmaktadır.</w:t>
      </w:r>
    </w:p>
    <w:p w14:paraId="67145077" w14:textId="61F759BA" w:rsidR="004724F9" w:rsidRDefault="00FC5974" w:rsidP="001B50BE">
      <w:pPr>
        <w:pStyle w:val="Gvdemetin"/>
      </w:pPr>
      <w:r>
        <w:rPr/>
        <w:t xml:space="preserve">Bu ayrımın turizme de uygulanabildiğini destinasyon çalışmaları göstermektedir. Destinasyonlar yüksek karşılıklı bağımlılık ve tamamlayıcılık içinde çalıştığı için ortaklaşa rekabet turizmde istisna değil, olağan örgütlenme biçimidir (Chim-Miki ve Batista-Canino, 2017a); tek bir destinasyonun paydaşları arasında bile iş birliği, rekabet ve ortaklaşa rekabet bir arada bulunur (Wang ve Krakover, 2008). Ülkeler arasındaki ortak markalarda ayrıştırma ilkesinin izleri daha da belirgindir. ASEAN için önerilen çerçeve bölgenin ortak ve tutarlı bir konumlandırmasını isterken ulusların rekabetçi konumlandırmasını korumaktadır (Sirisuthikul, 2018); Büyük Körfez Bölgesi için önerilen ortak marka da üye kentlerin özgünlüğünü koruyacak biçimde kurulmuştur (Kirillova vd., 2020). Her iki örnekte de iş birliği turistten uzak olan bölge markasında, rekabet ise turistin seçim yaptığı ulusal ya da kentsel konumlandırmada toplanmaktadır. Ne var ki bu çalışmalar destinasyon içinde ya da bölgesel marka ölçeğinde kalmış, kavramın çok boyutlu ve göreli bir yapı olarak ele alınması hâlâ bir araştırma gündemi olarak durmaktadır (Chim-Miki ve Batista-Canino, 2017a).</w:t>
      </w:r>
    </w:p>
    <w:p w14:paraId="67145077" w14:textId="61F759BA" w:rsidR="004724F9" w:rsidRDefault="00FC5974" w:rsidP="001B50BE">
      <w:pPr>
        <w:pStyle w:val="Gvdemetin"/>
      </w:pPr>
      <w:r>
        <w:rPr/>
        <w:t xml:space="preserve">Devletler arasındaki ilişkiye gelindiğinde bu boşluk daha görünür hâle gelir. İpek Yolu'na en yakın çalışma, destinasyonlar arası ortaklaşa rekabeti ele alır ve UNWTO İpek Yolu Programı'nı bu türün en büyük girişimi olarak betimler (Redi ve Pulido Fernández, 2018); ancak çok taraflı bir programın yönetimine baktığı için iki devletin aynı mirasta hangi faaliyette birleşip hangisinde ayrıştığını sormaz. Kavramı ABD ile Çin arasındaki büyük güç ilişkilerine uygulayan çalışma ortaklaşa rekabetin stratejik rekabete nasıl dönüşebileceğine dair hipotezler önerir (Wisniewski, 2025); Türkiye–Çin ilişkisini uyumlu, rekabetçi ve çatışan rollerin katmanları olarak okuyan "karmaşık rol" yaklaşımı da ilişkiyi bir bütün olarak açıklar (Wang ve Sun, 2024). Bu iki çalışma ilişkinin genel karakterini anlatır, fakat iş birliğinin ve rekabetin hangi faaliyette toplandığını sormaz. Oysa bu soru, taraflar arasında güç farkı olduğunda daha da önem kazanır. Fransa'daki 470 destinasyon üzerinde yapılan bir çalışmada baskın statüdeki destinasyonların ortaklaşa rekabete daha az yöneldiği bulunmuştur (Norheim-Hansen vd., 2026). Firma düzeyindeki vakalar ise güçlü bir aktörün zayıf rakibiyle yine de iş birliği yapabildiğini, çünkü bu kararın ağdaki tüm konumlar dikkate alınarak verildiğini göstermektedir (Bengtsson ve Kock, 2000, s. 422). Bu iki bulgu farklı yönleri işaret ettiğinden, büyük bir güç ile orta büyüklükte bir gücün ilişkisinde ortaklaşa rekabetin hangi biçimi alacağı önceden kestirilemez; alan alan gözlenmesi gerekir.</w:t>
      </w:r>
    </w:p>
    <w:p w14:paraId="67145077" w14:textId="61F759BA" w:rsidR="004724F9" w:rsidRDefault="00FC5974" w:rsidP="001B50BE">
      <w:pPr>
        <w:pStyle w:val="Gvdemetin"/>
      </w:pPr>
      <w:r>
        <w:rPr/>
        <w:t xml:space="preserve">Ayrıştırma ilkesini devletler arasındaki miras turizmine taşımak iki uyarlama gerektirir. İlki rakip tanımıyla ilgilidir. Bengtsson ve Kock (2000, s. 415) rakibi aynı ürünü üreten ve pazarlayan aktör olarak dar tanımlar. Türkiye ve Çin, İpek Yolu destinasyonu ve bu mirasın anlatıcısı olarak bu tanıma uyar; buna karşın Çin'den Türkiye'ye gelen turist akışında Çin bir rakip değil, kaynak pazardır. Bu yüzden bu çalışmada rakiplik, İpek Yolu mirası üzerinden uluslararası turist ve anlatı otoritesi için yürütülen konumlanma düzleminde ele alınmaktadır. İkinci uyarlama müşteriyle ilgilidir: firma bağlamındaki müşteri burada turisttir. Buna göre bağlantısallık faaliyetleri turistten en uzak, değer yakalama faaliyetleri turiste en yakın konumdadır; bu sıralama özgün çalışmaya değil bu çalışmanın uyarlamasına aittir. Uyarlamanın riski de aynı kaynakta görülür. Fin süt sektöründe iş birliği ile rekabet müşteriye yakınlığa göre değil, ürün ve pazar alanlarına göre ayrışmıştır (Bengtsson ve Kock, 2000, s. 420). Türkiye ile Çin arasında da ayrışma alanlara göre değil, coğrafyalara göre (örneğin Orta Asya rotası ya da üçüncü ülke turistleri) gerçekleşiyor olabilir. Bu rakip açıklama, Yöntem bölümünde tanımlanan olumsuz vaka analiziyle izlenmektedir.</w:t>
      </w:r>
    </w:p>
    <w:p w14:paraId="67145077" w14:textId="61F759BA" w:rsidR="004724F9" w:rsidRDefault="00FC5974" w:rsidP="001B50BE">
      <w:pPr>
        <w:pStyle w:val="Gvdemetin"/>
      </w:pPr>
      <w:r>
        <w:rPr/>
        <w:t xml:space="preserve">Buraya kadarki tartışma, ortak İpek Yolu mirasının iki işlevi olabileceğini düşündürmektedir. İlk işlev pazarı büyütmektir: ortak geçmiş söylemi iki ülkeyi aynı hedef etrafında buluşturur ve bu işlevin izi, ikili resmî metinlerde iki ülkeyi birlikte özne ve fayda sahibi yapan dilde görülmelidir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İkinci işlev payı belirlemektir. Aynı miras rotanın merkezi, başlangıç noktası ya da köprüsü olma iddialarına konu olduğunda pay alma mücadelesinin nesnesine dönüşür. Paylaşılan mirasın karşıt sahiplenmeler ürettiği göz önüne alındığında (Brown ve O'Brien, 2025; Debarbieux vd., 2023), bu işlevin en çok tek taraflı tanıtım ve politika anlatılarında görünmesi beklenir.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İki işlev aynı anda var olabiliyorsa, hangisinin ağır basacağını ayrıştırma ilkesi belirler. Ulaşım koridorlarının uyumlaştırılması turistle doğrudan temas etmeyen bir girdi faaliyetidir; tanıtım, anlatı ve turist harcamasının paylaşımı ise turistle temas eden çıktı faaliyetlerine yakındır (Bengtsson ve Kock, 2000). Dolayısıyla faaliyet turiste yaklaştıkça iş birliğinin yerini rekabetin alması beklenir.</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Ö3 doğruysa, Türkiye ile Çin'in en güçlü iş birliği turistten en uzak alanda, yani bağlantısallıkta toplanıyor demektir. Bu durum Giriş'te belirtilen söylem ile akış arasındaki açığı açıklayabilir, çünkü turistten uzak bir alandaki iş birliğinin turiste ulaşması kendiliğinden gerçekleşmez. Türkiye–Çin literatürü ise tersini bekler: Kuşak ve Yol'un kültürel alışverişi teşvik edeceği, turist akışlarını artıracağı ve turizm altyapısına yatırım getireceği öngörülür (İbiş, 2019; Palidan, 2024). Girişimin İpek Yolları boyunca turizme ve mirasa etkisini derleyen sistematik bir inceleme bu potansiyeli kabul etmekle birlikte, finansal dengesizlikleri ve faydalara eşitsiz erişimi temel sorunlar arasında sayar (Dayoub vd., 2024). Altyapı verisi de beklentinin gerçekleşmediğini gösterir. Orta Koridor olarak da bilinen Hazar Ötesi Uluslararası Taşımacılık Güzergâhı 2025'te yaklaşık 5,2 milyon ton yük taşımış, ancak ana ekseninde tarifeli uluslararası yolcu seferi sunmamıştır; Bakü–Tiflis–Kars demiryolu da 2017'den bu yana Türkiye'yi Azerbaycan'a bağladığı hâlde kayda değer bir uluslararası turist seferi taşımamaktadır (Farmanov vd., 2026). Kısacası bağlantısallık alanındaki iş birliği, en azından demiryolu ekseninde, yük kapasitesi üretmiş ama yolcu üretmemiştir. Bu tablo iş birliğinin akış üzerindeki etkisini ortadan kaldırmaz, yalnızca sınırlar: iş birliği turisti ancak tanıtım ve vize gibi turiste yakın kanallara ulaştığı ölçüde etkileyebilir. Beklenen yön yine olumludur.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Etkinin neden sınırlı kaldığına dair literatürde iki açıklama vardır ve bunlar aynı mekanizmaya indirgenemez. Birinci açıklama uzaklıktır. Kuşak ve Yol ülkeleri üzerine kurulan mekânsal panel modellerinde, Çin ile destinasyon arasındaki coğrafi ve kültürel uzaklık Çinli turist akışını azaltmaktadır (Deng ve Hu, 2019). Bu açıklamaya göre düşük akış, ilişkinin niteliğinden bağımsız ve değişmeyen bir koşulun sonucudur. Ne var ki Türkiye'nin dış politikası Avrupa ve NATO'dan Rusya ve Çin ile güçlenen ilişkilere doğru kaydığı dönemde bile (Cihangir vd., 2022) Çin uyruklu girişlerin payı düşük kalmıştır; bu da uzaklığın tek başına yeterli bir açıklama olmadığını düşündürür. İkinci açıklama yönlendirmedir. Çin'de yurt dışı turizm siyasetle iç içedir ve hükümetin dış turizmi siyasi gündemiyle uyumlu biçimde şekillendirdiği görülmektedir (Tse, 2013). Böyle bir yönlendirmenin ev sahibi ülkede nasıl algılandığını Kazakistan örneği gösterir: yerel paydaşlar Kuşak ve Yol'un ekonomik değerini desteklerken yerel özerkliği ve ülkenin özgün destinasyon markasını zayıflatabileceğinden kaygı duymaktadır (Daye vd., 2020). Türkiye'de de benzer bir yapının izleri vardır. Türkiye'ye gelen Çinli turistlerin büyük çoğunluğunun seyahatini acenteler aracılığıyla düzenlemesi (İbiş ve Batman, 2018) ve Çinli acentelerin tur içeriğine dair belirgin talepleri (Akyılmaz, 2021), değerin bir kısmının aracılarda kaldığına işaret eder; ne var ki bu payı ölçen bir çalışma bulunmamaktadır. Bu çalışma ikinci açıklamayı, yani rekabetin ve yönlendirmenin rolünü öne çıkarmakta,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 birlikte okunduğunda çalışmanın konumu netleşir. Türkiye–Çin turizm literatürü ilişkiyi kazan-kazan bir iş birliği olarak okurken, miras siyaseti literatürü paylaşılan İpek Yolu'nun aynı zamanda bir sahiplik çekişmesi olduğunu göstermektedir. Ortaklaşa rekabet kuramı bu iki okumayı faaliyet düzeyinde birleştirebilecek bir mekanizma sunar, ancak bu mekanizma iki devlet arasındaki miras turizminde henüz sınanmamıştır. Bu çalışma, ayrıştırma ilkesini Türkiye–Çin İpek Yolu turizmine taşıyarak İpek Yolu mirasının nötr bir ortak varlık değil, ortaklaşa rekabetin nesnesi olduğunu ileri sürmekte ve kazan-kazan okumasının hangi alanlarda geçerli olduğunu, hangilerinde geçerliliğini yitirdiğini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Araştırma soruları, iş birliği ile rekabetin hangi alanda ve neden ayrıştığını açıklayan bir mekanizma aramaktadır. Bu nedenle çalışmada kritik realist bir tutum benimsenmiştir: belgelerdeki söylemsel izler mekanizmanın kendisi olarak değil, onun gözlemlenebilir göstergeleri olarak ele alınmıştır. Sınanan mekanizma, Bengtsson ve Kock'un (2000) önerdiği ve bu çalışmada ayrıştırma ilkesi olarak adlandırılan ilkedir; buna göre iş birliği müşteriden uzak, rekabet ise müşteriye yakın faaliyetlerde yoğunlaşır. Mekanizmayı tek bir ilişkinin farklı alanlarında karşılaştırabilmek için tek durumlu, iç içe birimli bir örnek olay deseni seçilmiştir. Durum Türkiye–Çin ikilisi, iç içe birimler ise İpek Yolu turizmi etrafında tanımlanan dört alandır: bağlantısallık, turist akışı, anlatı ve değer yakalama.</w:t>
      </w:r>
    </w:p>
    <w:p w14:paraId="67145077" w14:textId="61F759BA" w:rsidR="004724F9" w:rsidRDefault="00FC5974" w:rsidP="001B50BE">
      <w:pPr>
        <w:pStyle w:val="Gvdemetin"/>
      </w:pPr>
      <w:r>
        <w:rPr/>
        <w:t xml:space="preserve">Bu alanlardaki iş birliği ve rekabet izlerini taşıyan başlıca kaynak, iki devletin resmî belgeleridir. Bu yüzden veri sistematik doküman analiziyle çözümlenmiştir (Bowen, 2009). Doküman analizi, resmî belgelerin iki ülkenin birbirine karşı nasıl konumlandığını görünür kıldığı varsayımına dayanır; analiz de bu nedenle belgelerin ne söylediğini olduğu kadar neyi söylemediğini, örneğin hangi ortağı saymadığını da izler.</w:t>
      </w:r>
    </w:p>
    <w:p w14:paraId="11F4FB04" w14:textId="34BB8FD9" w:rsidR="002A3F34" w:rsidRDefault="00F6431C" w:rsidP="007055A5">
      <w:pPr>
        <w:pStyle w:val="ikincidzeybalk"/>
      </w:pPr>
      <w:r>
        <w:rPr>
          <w:szCs w:val="22"/>
        </w:rPr>
        <w:t xml:space="preserve">3.2. Doküman Korpusu</w:t>
      </w:r>
    </w:p>
    <w:p w14:paraId="67145077" w14:textId="61F759BA" w:rsidR="004724F9" w:rsidRDefault="00FC5974" w:rsidP="001B50BE">
      <w:pPr>
        <w:pStyle w:val="Gvdemetin"/>
      </w:pPr>
      <w:r>
        <w:rPr/>
        <w:t xml:space="preserve">Belgelerin hepsi aynı türden iz taşımaz. İki ülkenin birlikte imzaladığı ya da birbirine hitap ettiği belgeler doğası gereği iş birliği diliyle yazılır; rekabetin izleri ise daha çok her ülkenin kendi kamuoyuna ve turistine yönelik tek taraflı anlatılarında görünür. Bu nedenle korpus iki alt kümeye ayrılmıştır. Korpus A, iki ülke arasındaki ikili ve ortak resmî belgeleri içerir: ortak bildiriler, mutabakat zaptları, devlet ve hükümet düzeyindeki görüşme özetleri, büyükelçilik konuşmaları ve turizm ya da kültür yılı metinleri. Korpus B ise iki ülkenin birbirinden bağımsız olarak ürettiği İpek Yolu tanıtım ve politika anlatılarından oluşur.</w:t>
      </w:r>
    </w:p>
    <w:p w14:paraId="67145077" w14:textId="61F759BA" w:rsidR="004724F9" w:rsidRDefault="00FC5974" w:rsidP="001B50BE">
      <w:pPr>
        <w:pStyle w:val="Gvdemetin"/>
      </w:pPr>
      <w:r>
        <w:rPr/>
        <w:t xml:space="preserve">Her iki kümedeki belgeler ölçüt örneklemesiyle seçilmiştir. Bir belgenin korpusa girmesi için (i) 1 Ocak 2010 ile 30 Eylül 2026 arasında yayımlanmış olması, (ii) resmî bir kurum ya da resmî yayın organı tarafından yayımlanmış olması, (iii) turizm, İpek Yolu mirası, halklar arası değişim ya da bağlantısallıktan söz etmesi ve (iv) tam metnine erişilebilmesi gerekmiştir. Bu ölçütler, kişisel görüş taşıyan metinleri dışarıda bırakmak içindir; bu yüzden köşe yazıları ve düşünce kuruluşu yorumları yalnızca bağlam bilgisi için okunmuş, kodlanmamıştır. Sincan Uygur Özerk Bölgesi'ne ilişkin siyasi tartışmaya odaklanan metinler de çalışmanın turizm ve miras odağının dışında kaldığı için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başlıca kaynaklar Dışişleri Bakanlığı ve Pekin Büyükelçiliği, Kültür ve Turizm Bakanlığı ve il müdürlükleri, Cumhurbaşkanlığı İletişim Başkanlığı, Ticaret Bakanlığı ve GoTürkiye; Çin tarafında ise ÇHC Dışişleri Bakanlığı, Kültür ve Turizm Bakanlığı, Devlet Konseyi Bilişim Ofisi, Kuşak ve Yol resmî portalı ile il kültür ve turizm daireleridir. Antalya Mutabakat Zaptı'nın (2015) Türkçe metni Resmî Gazete'den (7 Haziran 2017, Sayı 30089) alınmıştır. Resmî metni bulunamayan iki olay için ajans haberleri kullanılmış ve bu durum envanterde işaretlenmiştir. Erişilemeyen 12 belge ise ayrı bir listede raporlanmış, seçim yanlılığını artırmamak için yerlerine benzer belgeler konmamıştır.</w:t>
      </w:r>
    </w:p>
    <w:p w14:paraId="67145077" w14:textId="61F759BA" w:rsidR="004724F9" w:rsidRDefault="00FC5974" w:rsidP="001B50BE">
      <w:pPr>
        <w:pStyle w:val="Gvdemetin"/>
      </w:pPr>
      <w:r>
        <w:rPr/>
        <w:t xml:space="preserve">Bu süreç sonunda korpus 49 belgeden oluşmuştur: Korpus A'da 25 (11 Türk, 12 Çin, 2 ortak), Korpus B'de 24 (12 Türk, 12 Çin) belge. Korpus A'daki belgelerin 5'i 2010–2014, 9'u 2015–2019, 11'i 2020–2026 dönemine aittir. Korpus B'deki Türk kaynaklarının sekizi tarih göstermeyen tanıtım sayfaları olduğu için erişim tarihiyle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Ayrıştırma ilkesini sınamak, iş birliği ve rekabet izlerini belge düzeyinde değil, iddia düzeyinde saymayı gerektirir; çünkü tek bir belge hem ortak bir hedef hem de tek taraflı bir talep içerebilir. Bu nedenle analiz birimi, tek bir iddia taşıyan cümle ya da kısa paragraf (anlam birimi) olarak belirlenmiş ve belgeler toplam 368 anlam birimine ayrılmıştır. Her birime önce bir alan atanmıştır. Alanlar, ilkenin öngörüsünü sınayabilmek için turiste yakınlık sırasına göre analizden önce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Alanı belirlenen her birime ardından bir yönelim atanmıştır. Yönelim, kodlayıcının yorumuna değil, metinde açıkça görülen üç işarete dayandırılmıştır: (1) ortak özne, yani iki ülkenin birlikte özne ya da fayda sahibi olarak anılması; (2) kendini öne çıkarma, yani konuşan tarafın kendini İpek Yolu'nun başlangıcı, merkezi, kapısı ya da köprüsü olarak tanımlaması, kendi koridor ya da marka adını tek başına öne sürmesi veya üstünlük karşılaştırması yapması; (3) dışlama ya da tek taraflılık, yani ortaklar sayılırken karşı ülkenin atlanması ya da yalnızca bir tarafa yarayan bir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Yönelimin yoruma değil açık işaretlere dayandırılması, pilot aşamada karşılaşılan bir sorunun sonucudur. Şemanın ilk sürümü yorumlayıcı yargıya dayanıyordu ve bu sürümle yazar ile yapay zekâ destekli bir ön kodlama arasındaki yönelim uyumu çok düşük çıktı (κ = 0,05). Uyuşmazlık, iş birliği dili taşıyan diplomatik cümlelerde örtük bir rekabetin okunup okunmamasından kaynaklanıyordu. Aynı cümlenin farklı kodlayıcılarca farklı okunması güvenilir bir sayım yapmayı imkânsız kıldığından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ikinci sürümle ve birbirinden bağımsız çalışan iki kodlayıcı tarafından yapılmıştır. Birinci kodlayıcı siyaset bilimi ve kamu yönetimi alanında doktora derecesine sahip, lisans eğitimini siyaset bilimi ve uluslararası ilişkiler alanında tamamlamış bir öğretim üyesidir; ikinci kodlayıcı ise turizm alanında görev yapan ve uluslararası turizm uygulamalarında deneyimi bulunan doktoralı bir öğretim üyesidir. İki kodlayıcının farklı disiplinlerden gelmesi, belgelerin hem uluslararası ilişkiler hem de turizm bakışıyla okunmasını sağlamıştır. Kodlayıcılara kodlama kılavuzu ve uydurma bir örnek verilmiş, birbirleriyle görüşmeden kodlamaları istenmiştir. Kodlayıcılar arası uyum alan için iyi (uyuşma %81,2; Cohen κ = 0,73), yönelim için orta düzeydedir (uyuşma %64,7; κ = 0,47). Yönelimdeki uyuşmazlıkların büyük bölümü bir işaretin var olup olmadığına ilişkindir; iki kodlayıcının aynı birime zıt yön verdiği, yani birinin iş birliği ötekinin rekabet kodladığı durum 368 birimin yalnızca 9'unda (%2,4) görülmüştür. Uyuşmazlıklar, insan kodlamasından önce ve ondan bağımsız olarak aynı kodbookla yapılmış yapay zekâ destekli üçüncü bir kodlama kullanılarak çoğunluk kuralıyla çözülmüştür: her birimin alanı ve her işaret için üç kodlamadan en az ikisinin verdiği değer esas alınmıştır. Üçüncü kodlamanın iki insan kodlayıcıyla uyumu, insan kodlayıcıların kendi aralarındaki uyumla benzer düzeydedir (alan için κ = 0,64 ve 0,70; yönelim için κ = 0,44 ve 0,43). Üç kodlamanın da farklı alan verdiği 5 birim analiz dışında bırakılmış, nihai analiz 363 birim üzerinden yapılmıştır. Üçüncü kodlamanın etkisini sınamak için sonuçlar ayrıca her insan kodlayıcı için ayrı ayrı ve yalnızca iki insan kodlayıcının uyuştuğu 195 birim için hesaplanmış ve raporlanmıştır.</w:t>
      </w:r>
    </w:p>
    <w:p w14:paraId="67145077" w14:textId="61F759BA" w:rsidR="004724F9" w:rsidRDefault="00FC5974" w:rsidP="001B50BE">
      <w:pPr>
        <w:pStyle w:val="Gvdemetin"/>
      </w:pPr>
      <w:r>
        <w:rPr/>
        <w:t xml:space="preserve">Kodlanan birimler betimsel olarak çözümlenmiştir: her alanda rekabet kodlarının payı hesaplanmış, Türk ve Çin kaynakları ayrı ayrı karşılaştırılmıştır. Sonucun veriye bakıldıktan sonra yorumlanmasını önlemek için ayrıştırma ilkesinin desteklenip desteklenmediğine ilişkin karar kuralı analizden önce yazılmıştır. Buna göre rekabet payının bağlantısallıktan değer yakalamaya doğru düzenli artması ya da iki uç arasındaki farkın en az 20 yüzde puan olması destek sayılmıştır. Nötr birimlerin paydaya katılıp katılmaması sonucu değiştirebildiği için iki hesaplama birlikte raporlanmıştır. Önermeye ters düşen birimler, yani bağlantısallıktaki rekabet kodları ile anlatı ve değer yakalamadaki iş birliği kodları, olumsuz vaka olarak ayrıca incelenmiştir; bu inceleme, Kuramsal Çerçeve'de belirtilen pazar ya da coğrafya temelli ayrışma açıklamasını da sınamaktadır.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Belgelerdeki iş birliği söyleminin akışa yansıyıp yansımadığını görmek için ikinci bir veri kaynağına ihtiyaç vardır. Bu amaçla TÜİK'in Emniyet Genel Müdürlüğü kayıtlarına dayanan giriş yapan yabancılar serisinden 2010–2025 dönemine ait Çin uyruklu giriş sayıları ve bu sayıların toplam yabancı girişler içindeki payı kullanılmıştır. Seri bir sınır giriş kaydı olduğu ve turizm dışı ya da transit girişleri de içerdiği için "turist sayısı" olarak değil "Çin uyruklu giriş" olarak adlandırılmıştır. Tek bir seri nedensel bir sınamaya izin vermediğinden seri yalnızca betimsel olarak kullanılmıştır.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dayanmakta, katılımcı ya da kişisel veri içermemektedir; bu nedenle etik kurul izni gerektirmemektedir. Yapay zekâ araçlarının hangi aşamalarda ve ne amaçla kullanıldığı, dergi politikası uyarınca makale sonundaki beyanda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Korpusun ve kodlamanın genel görünümü</w:t>
      </w:r>
    </w:p>
    <w:p w14:paraId="67145077" w14:textId="61F759BA" w:rsidR="004724F9" w:rsidRDefault="00FC5974" w:rsidP="001B50BE">
      <w:pPr>
        <w:pStyle w:val="Gvdemetin"/>
      </w:pPr>
      <w:r>
        <w:rPr>
          <w:highlight w:val="yellow"/>
        </w:rPr>
        <w:t xml:space="preserve">YAZAR YAZACAK – yönerge: Tablo 1: Korpus özeti (A: 25 belge, B: 24 belge; taraf dağılımı; dönem dağılımı). Kaynak: `korpus-belge/A/_envanter.csv`, `korpus-belge/B/_envanter.csv`.</w:t>
      </w:r>
    </w:p>
    <w:p w14:paraId="67145077" w14:textId="61F759BA" w:rsidR="004724F9" w:rsidRDefault="00FC5974" w:rsidP="001B50BE">
      <w:pPr>
        <w:pStyle w:val="Gvdemetin"/>
      </w:pPr>
      <w:r>
        <w:rPr>
          <w:highlight w:val="yellow"/>
        </w:rPr>
        <w:t xml:space="preserve">YAZAR YAZACAK – yönerge: Tablo 2: 368 birimin arena × yönelim (İB/RK/KR/NÖ) dağılımı, NÖ dahil ve hariç iki sütun. Kaynak: stats.json → `v2.arena_yonelim` (insan kodlarıyla yeniden üretilecek).</w:t>
      </w:r>
    </w:p>
    <w:p w14:paraId="67145077" w14:textId="61F759BA" w:rsidR="004724F9" w:rsidRDefault="00FC5974" w:rsidP="001B50BE">
      <w:pPr>
        <w:pStyle w:val="Gvdemetin"/>
      </w:pPr>
      <w:r>
        <w:rPr>
          <w:highlight w:val="yellow"/>
        </w:rPr>
        <w:t xml:space="preserve">YAZAR YAZACAK – yönerge: Kodlayıcılar arası uyum: κ(alan), κ(yönelim) + uzlaşı yöntemi tek cümle (Yöntem'de ayrıntı var).</w:t>
      </w:r>
    </w:p>
    <w:p w14:paraId="67145077" w14:textId="61F759BA" w:rsidR="004724F9" w:rsidRDefault="00FC5974" w:rsidP="001B50BE">
      <w:pPr>
        <w:pStyle w:val="Gvdemetin"/>
      </w:pPr>
      <w:r>
        <w:rPr>
          <w:highlight w:val="yellow"/>
        </w:rPr>
        <w:t xml:space="preserve">YAZAR YAZACAK – yönerge: Burada yorum yok; yalnız betim.</w:t>
      </w:r>
    </w:p>
    <w:p w14:paraId="11F4FB04" w14:textId="34BB8FD9" w:rsidR="002A3F34" w:rsidRDefault="00F6431C" w:rsidP="007055A5">
      <w:pPr>
        <w:pStyle w:val="ikincidzeybalk"/>
      </w:pPr>
      <w:r>
        <w:rPr>
          <w:szCs w:val="22"/>
        </w:rPr>
        <w:t xml:space="preserve">4.2. Ö1 ve Ö2: aynı mirasın iki yüzü</w:t>
      </w:r>
    </w:p>
    <w:p w14:paraId="67145077" w14:textId="61F759BA" w:rsidR="004724F9" w:rsidRDefault="00FC5974" w:rsidP="001B50BE">
      <w:pPr>
        <w:pStyle w:val="Gvdemetin"/>
      </w:pPr>
      <w:r>
        <w:rPr>
          <w:highlight w:val="yellow"/>
        </w:rPr>
        <w:t xml:space="preserve">YAZAR YAZACAK – yönerge: Korpus A'da İB payı; Korpus B'de RK payı. İki korpusun karşılaştırması (Tablo 3).</w:t>
      </w:r>
    </w:p>
    <w:p w14:paraId="67145077" w14:textId="61F759BA" w:rsidR="004724F9" w:rsidRDefault="00FC5974" w:rsidP="001B50BE">
      <w:pPr>
        <w:pStyle w:val="Gvdemetin"/>
      </w:pPr>
      <w:r>
        <w:rPr>
          <w:highlight w:val="yellow"/>
        </w:rPr>
        <w:t xml:space="preserve">YAZAR YAZACAK – yönerge: Her yönelim için 2–3 kısa belge alıntısı (ifade no ile: A07-03 gibi). Çin kaynakları için Türkçe çeviri + dipnotta özgün dil notu.</w:t>
      </w:r>
    </w:p>
    <w:p w14:paraId="67145077" w14:textId="61F759BA" w:rsidR="004724F9" w:rsidRDefault="00FC5974" w:rsidP="001B50BE">
      <w:pPr>
        <w:pStyle w:val="Gvdemetin"/>
      </w:pPr>
      <w:r>
        <w:rPr>
          <w:highlight w:val="yellow"/>
        </w:rPr>
        <w:t xml:space="preserve">YAZAR YAZACAK – yönerge: Tanınma asimetrisi: karşı ülkeyi atlama ve "başlangıç iddiası" sayıları TR/CN ayrı (M3 işareti). Pilot v1 alt kodları (tanınma-yok TR 4 / CN 20) analizde KULLANILMAZ; insan kodlarında M3 "dışlama" sütunundan yeniden sayılır.</w:t>
      </w:r>
    </w:p>
    <w:p w14:paraId="11F4FB04" w14:textId="34BB8FD9" w:rsidR="002A3F34" w:rsidRDefault="00F6431C" w:rsidP="007055A5">
      <w:pPr>
        <w:pStyle w:val="ikincidzeybalk"/>
      </w:pPr>
      <w:r>
        <w:rPr>
          <w:szCs w:val="22"/>
        </w:rPr>
        <w:t xml:space="preserve">4.3. Ö3: rekabet payı turiste yakınlıkla artıyor mu?</w:t>
      </w:r>
    </w:p>
    <w:p w14:paraId="67145077" w14:textId="61F759BA" w:rsidR="004724F9" w:rsidRDefault="00FC5974" w:rsidP="001B50BE">
      <w:pPr>
        <w:pStyle w:val="Gvdemetin"/>
      </w:pPr>
      <w:r>
        <w:rPr>
          <w:highlight w:val="yellow"/>
        </w:rPr>
        <w:t xml:space="preserve">YAZAR YAZACAK – yönerge: Tablo 4 / Şekil 3: A1→A4 RK payı; üç satır: NÖ hariç, NÖ dahil, Türk/Çin kaynakları ayrı.</w:t>
      </w:r>
    </w:p>
    <w:p w14:paraId="67145077" w14:textId="61F759BA" w:rsidR="004724F9" w:rsidRDefault="00FC5974" w:rsidP="001B50BE">
      <w:pPr>
        <w:pStyle w:val="Gvdemetin"/>
      </w:pPr>
      <w:r>
        <w:rPr>
          <w:highlight w:val="yellow"/>
        </w:rPr>
        <w:t xml:space="preserve">YAZAR YAZACAK – yönerge: Ön-kayıtlı karar kuralı (blueprint §6): monoton YA DA A1→A4 farkı ≥ 20 yp → destek / kısmi / destek yok. Kuralı uygulayıp sonucu tek cümleyle yaz; payda duyarlılığını (NÖ) açıkça söyle.</w:t>
      </w:r>
    </w:p>
    <w:p w14:paraId="67145077" w14:textId="61F759BA" w:rsidR="004724F9" w:rsidRDefault="00FC5974" w:rsidP="001B50BE">
      <w:pPr>
        <w:pStyle w:val="Gvdemetin"/>
      </w:pPr>
      <w:r>
        <w:rPr>
          <w:highlight w:val="yellow"/>
        </w:rPr>
        <w:t xml:space="preserve">YAZAR YAZACAK – yönerge: Olumsuz vakalar: A1'de RK, A3–A4'te İB kodlu birimler; sayı + 1–2 örnek. Bengtsson &amp; Kock s. 420 pazar temelli ayrışma burada anılır (Tartışma'ya köprü).</w:t>
      </w:r>
    </w:p>
    <w:p w14:paraId="11F4FB04" w14:textId="34BB8FD9" w:rsidR="002A3F34" w:rsidRDefault="00F6431C" w:rsidP="007055A5">
      <w:pPr>
        <w:pStyle w:val="ikincidzeybalk"/>
      </w:pPr>
      <w:r>
        <w:rPr>
          <w:szCs w:val="22"/>
        </w:rPr>
        <w:t xml:space="preserve">4.4. Ö4 ve Ö5: söylem–akış açığı</w:t>
      </w:r>
    </w:p>
    <w:p w14:paraId="67145077" w14:textId="61F759BA" w:rsidR="004724F9" w:rsidRDefault="00FC5974" w:rsidP="001B50BE">
      <w:pPr>
        <w:pStyle w:val="Gvdemetin"/>
      </w:pPr>
      <w:r>
        <w:rPr>
          <w:highlight w:val="yellow"/>
        </w:rPr>
        <w:t xml:space="preserve">YAZAR YAZACAK – yönerge: Şekil 2: Çin uyruklu giriş 2010–2025 + pay (%); olaylar: 2015 e-vize, 2018 Turizm Yılı, 2020 COVID, 2024 MoU. Veri: `ham-veri/cinli-ziyaretci-tuik.csv`. Yazar şekli Excel'de yeniden çizer (YZ görseli yasak).</w:t>
      </w:r>
    </w:p>
    <w:p w14:paraId="67145077" w14:textId="61F759BA" w:rsidR="004724F9" w:rsidRDefault="00FC5974" w:rsidP="001B50BE">
      <w:pPr>
        <w:pStyle w:val="Gvdemetin"/>
      </w:pPr>
      <w:r>
        <w:rPr>
          <w:highlight w:val="yellow"/>
        </w:rPr>
        <w:t xml:space="preserve">YAZAR YAZACAK – yönerge: Betimsel: 2013 138.876 → 2019 426.344 → 2025 425.348; pay en yüksek 2018 %0,998. Nedensel iddia YOK.</w:t>
      </w:r>
    </w:p>
    <w:p w14:paraId="67145077" w14:textId="61F759BA" w:rsidR="004724F9" w:rsidRDefault="00FC5974" w:rsidP="001B50BE">
      <w:pPr>
        <w:pStyle w:val="Gvdemetin"/>
      </w:pPr>
      <w:r>
        <w:rPr>
          <w:highlight w:val="yellow"/>
        </w:rPr>
        <w:t xml:space="preserve">YAZAR YAZACAK – yönerge: Korpus B'de Çin'in yurt içi İpek Yolu destinasyonlarını (Xi'an, Dunhuang vb.) pazarlayan birimler → Ö5 için yorumlayıcı kanıt; sayısı ve örneği.</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highlight w:val="yellow"/>
        </w:rPr>
        <w:t xml:space="preserve">YAZAR YAZACAK – yönerge: Ayrıştırma ilkesi devletlerarası miras turizminde ne ölçüde işledi? (Ö3 sonucu) Desteklenmediyse: kuramsal katkı yine var (blueprint §6 cevabı).</w:t>
      </w:r>
    </w:p>
    <w:p w14:paraId="67145077" w14:textId="61F759BA" w:rsidR="004724F9" w:rsidRDefault="00FC5974" w:rsidP="001B50BE">
      <w:pPr>
        <w:pStyle w:val="Gvdemetin"/>
      </w:pPr>
      <w:r>
        <w:rPr>
          <w:highlight w:val="yellow"/>
        </w:rPr>
        <w:t xml:space="preserve">YAZAR YAZACAK – yönerge: Rakip açıklamalar: (a) pazar/coğrafya temelli ayrışma (B&amp;K s. 420), (b) coğrafi–kültürel uzaklık (Deng &amp; Hu 2019), (c) güç asimetrisi (Norheim-Hansen vd. 2026; B&amp;K Önerme 3 s. 422). Her biri için bulgunun ne söylediği.</w:t>
      </w:r>
    </w:p>
    <w:p w14:paraId="67145077" w14:textId="61F759BA" w:rsidR="004724F9" w:rsidRDefault="00FC5974" w:rsidP="001B50BE">
      <w:pPr>
        <w:pStyle w:val="Gvdemetin"/>
      </w:pPr>
      <w:r>
        <w:rPr>
          <w:highlight w:val="yellow"/>
        </w:rPr>
        <w:t xml:space="preserve">YAZAR YAZACAK – yönerge: "Paylaşılan miras" çatallanması: Türk ve Çin anlatılarında simetrik mi, asimetrik mi? (M2/M3 TR–CN karşılaştırması).</w:t>
      </w:r>
    </w:p>
    <w:p w14:paraId="67145077" w14:textId="61F759BA" w:rsidR="004724F9" w:rsidRDefault="00FC5974" w:rsidP="001B50BE">
      <w:pPr>
        <w:pStyle w:val="Gvdemetin"/>
      </w:pPr>
      <w:r>
        <w:rPr>
          <w:highlight w:val="yellow"/>
        </w:rPr>
        <w:t xml:space="preserve">YAZAR YAZACAK – yönerge: Ara aktör olasılığı (B&amp;K Önerme 5 s. 423): UNESCO ortak adaylık, UNWTO İpek Yolu Programı, TDT → politika önerisine zemin.</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highlight w:val="yellow"/>
        </w:rPr>
        <w:t xml:space="preserve">YAZAR YAZACAK – yönerge: Türkiye için: iş birliğinin verimli olduğu arena(lar) ile farklılaşmanın gerektiği arena(lar). Kazan-kazan dilinin hangi arenada yanıltıcı olduğu.</w:t>
      </w:r>
    </w:p>
    <w:p w14:paraId="67145077" w14:textId="61F759BA" w:rsidR="004724F9" w:rsidRDefault="00FC5974" w:rsidP="001B50BE">
      <w:pPr>
        <w:pStyle w:val="Gvdemetin"/>
      </w:pPr>
      <w:r>
        <w:rPr>
          <w:highlight w:val="yellow"/>
        </w:rPr>
        <w:t xml:space="preserve">YAZAR YAZACAK – yönerge: Kısa, somut; en fazla 3 öneri.</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highlight w:val="yellow"/>
        </w:rPr>
        <w:t xml:space="preserve">YAZAR YAZACAK – yönerge: Korpus seçim yanlılığı (Bowen 2009); erişilemeyen 12 belge; Çince metinlerin İngilizce/çeviri sürümleri.</w:t>
      </w:r>
    </w:p>
    <w:p w14:paraId="67145077" w14:textId="61F759BA" w:rsidR="004724F9" w:rsidRDefault="00FC5974" w:rsidP="001B50BE">
      <w:pPr>
        <w:pStyle w:val="Gvdemetin"/>
      </w:pPr>
      <w:r>
        <w:rPr>
          <w:highlight w:val="yellow"/>
        </w:rPr>
        <w:t xml:space="preserve">YAZAR YAZACAK – yönerge: Değer yakalama arenasında construct–measure gap (gelir payı verisi yok; &lt;5 birimse "kanıt yetersiz").</w:t>
      </w:r>
    </w:p>
    <w:p w14:paraId="67145077" w14:textId="61F759BA" w:rsidR="004724F9" w:rsidRDefault="00FC5974" w:rsidP="001B50BE">
      <w:pPr>
        <w:pStyle w:val="Gvdemetin"/>
      </w:pPr>
      <w:r>
        <w:rPr>
          <w:highlight w:val="yellow"/>
        </w:rPr>
        <w:t xml:space="preserve">YAZAR YAZACAK – yönerge: TÜİK serisi sınır girişi, turist değil; nedensel test yok.</w:t>
      </w:r>
    </w:p>
    <w:p w14:paraId="67145077" w14:textId="61F759BA" w:rsidR="004724F9" w:rsidRDefault="00FC5974" w:rsidP="001B50BE">
      <w:pPr>
        <w:pStyle w:val="Gvdemetin"/>
      </w:pPr>
      <w:r>
        <w:rPr>
          <w:highlight w:val="yellow"/>
        </w:rPr>
        <w:t xml:space="preserve">YAZAR YAZACAK – yönerge: Sincan tartışmasının kapsam dışı bırakılması analitik olduğu kadar siyasi bir tercihtir (blueprint §10).</w:t>
      </w:r>
    </w:p>
    <w:p w14:paraId="67145077" w14:textId="61F759BA" w:rsidR="004724F9" w:rsidRDefault="00FC5974" w:rsidP="001B50BE">
      <w:pPr>
        <w:pStyle w:val="Gvdemetin"/>
      </w:pPr>
      <w:r>
        <w:rPr>
          <w:highlight w:val="yellow"/>
        </w:rPr>
        <w:t xml:space="preserve">YAZAR YAZACAK – yönerge: Yazar konumu: Türk, turizm pazarlaması; simetrik kodlama ile dengelendi.</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highlight w:val="yellow"/>
        </w:rPr>
        <w:t xml:space="preserve">YAZAR YAZACAK – yönerge: Katkı cümlesi (Giriş'tekiyle aynı iddia, bulguyla doldurulmuş).</w:t>
      </w:r>
    </w:p>
    <w:p w14:paraId="67145077" w14:textId="61F759BA" w:rsidR="004724F9" w:rsidRDefault="00FC5974" w:rsidP="001B50BE">
      <w:pPr>
        <w:pStyle w:val="Gvdemetin"/>
      </w:pPr>
      <w:r>
        <w:rPr>
          <w:highlight w:val="yellow"/>
        </w:rPr>
        <w:t xml:space="preserve">YAZAR YAZACAK – yönerge: Gelecek araştırma: değer yakalama verisi; Çince birincil literatür; Orta Asya üçüncü taraf perspektifi; boylamsal izleme (2026 vize muafiyeti sonrası).</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t xml:space="preserve">Official discourse between Türkiye and China presents the Silk Road as a shared heritage and tourism as a natural field of cooperation. Recent steps follow this narrative: Türkiye aligned its Middle Corridor with the Belt and Road Initiative through a memorandum signed in Antalya in 2015 (Resmî Gazete, 2017), 2018 was celebrated as the Year of Turkish Tourism in China (Niu &amp; Li, 2019), the two culture and tourism ministries signed a tourism cooperation memorandum in 2024, and from 2 January 2026 Türkiye granted Chinese citizens unilateral visa-free entry (Türkiye Turizm Tanıtım ve Geliştirme Ajansı [TGA], 2026). These steps create a clear expectation that Chinese tourists will follow, but the data meet this expectation only in part. Arrivals of Chinese nationals tripled after 2013, yet they never exceeded one per cent of all foreign arrivals (Türkiye İstatistik Kurumu [TÜİK], 2026). The Turkish tourism literature explains this gap by technical obstacles such as security perceptions, language and distance, because it treats the relationship as a win-win partnership from the outset (İbiş, 2019; Kılıç, 2021; Palidan, 2024). Heritage politics research suggests a different reading: "shared" heritage also generates competing claims of ownership and centrality (Brown &amp; O'Brien, 2025; Debarbieux et al., 2023), and China's historicisation of the Silk Road has been described as Sinocentric (Sciorati, 2023). If both readings hold, the problem may lie in the relationship itself rather than in its obstacles. The study therefore asks two questions. First, in which domains do Türkiye and China cooperate, and in which do they compete, over Silk Road tourism heritage between 2010 and 2026, and does this distribution follow the activity's proximity to the tourist? Second, to what extent have the two countries' cooperation discourse and agreements been reflected in arrivals of Chinese nationals?</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t xml:space="preserve">Because these questions look for a mechanism, the study adopts a critical realist stance and treats documentary traces as indicators of that mechanism rather than as the mechanism itself. The mechanism tested is the separation principle derived from Bengtsson and Kock (2000, p. 421), according to which competitors cooperate in input activities far from the customer and compete in output activities close to the customer. To compare this mechanism across the parts of a single relationship, a single embedded case design was chosen, with the Türkiye–China dyad as the case and four domains, ordered in advance by proximity to the tourist, as embedded units: connectivity, tourist flows, narrative and value capture. Since cooperation is expected to appear in joint documents and competition in unilateral ones, systematic document analysis (Bowen, 2009) was applied to two corpora: 25 bilateral or joint official documents (Corpus A) and 24 unilateral Silk Road promotion and policy narratives (Corpus B), selected through criterion sampling. The documents were divided into 368 meaning units. A pilot round showed that interpretive coding of orientation produced very low agreement, so the final scheme derives orientation mechanically from three manifest markers (a joint subject, self-promotion, and exclusion or one-sidedness); pilot codes were not used in the analysis. Two independent human coders carried out the final coding, and agreement is reported with Cohen's kappa </w:t>
      </w:r>
      <w:r>
        <w:rPr>
          <w:highlight w:val="yellow"/>
        </w:rPr>
        <w:t xml:space="preserve">κ domain = __; κ orientation = __</w:t>
      </w:r>
      <w:r>
        <w:rPr/>
        <w:t xml:space="preserve">. To prevent post hoc interpretation, the decision rule was written before the analysis: a monotonic increase in the share of competition codes from connectivity to value capture, or a difference of at least 20 percentage points between the two ends, counts as support. Arrivals of Chinese nationals for 2010–2025 were then read descriptively, without causal testing.</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highlight w:val="yellow"/>
        </w:rPr>
        <w:t xml:space="preserve">P1 and P2: shares of cooperation codes in Corpus A and of competition codes in Corpus B, with one short documentary example each; asymmetry between Turkish and Chinese sources in self-promotion and exclusion markers.</w:t>
      </w:r>
    </w:p>
    <w:p w14:paraId="186756B3" w14:textId="0348E4F9" w:rsidR="009E7A8B" w:rsidRPr="002A1906" w:rsidRDefault="002E58C7" w:rsidP="001B50BE">
      <w:pPr>
        <w:pStyle w:val="Gvdemetin"/>
        <w:rPr>
          <w:b/>
          <w:bCs/>
        </w:rPr>
      </w:pPr>
      <w:r>
        <w:rPr>
          <w:highlight w:val="yellow"/>
        </w:rPr>
        <w:t xml:space="preserve">P3: shares of competition codes across the four domains (connectivity __%, tourist flows __%, narrative __%, value capture __%), with and without neutral units; outcome of the pre-registered rule; number and character of negative cases.</w:t>
      </w:r>
    </w:p>
    <w:p w14:paraId="186756B3" w14:textId="0348E4F9" w:rsidR="009E7A8B" w:rsidRPr="002A1906" w:rsidRDefault="002E58C7" w:rsidP="001B50BE">
      <w:pPr>
        <w:pStyle w:val="Gvdemetin"/>
        <w:rPr>
          <w:b/>
          <w:bCs/>
        </w:rPr>
      </w:pPr>
      <w:r>
        <w:rPr/>
        <w:t xml:space="preserve">The descriptive series confirms the gap between discourse and flows. Arrivals of Chinese nationals rose from 138,876 in 2013 to 426,344 in 2019 and stood at 425,348 in 2025, but their share of all foreign arrivals peaked at 0.998% in 2018 (TÜİK, 2026). The connectivity domain helps to explain why. Cooperation along the Middle Corridor has produced freight capacity rather than passenger services: the corridor carried about 5.2 million tonnes of freight in 2025 without a scheduled international passenger service on its main axis (Farmanov et al., 2026). </w:t>
      </w:r>
      <w:r>
        <w:rPr>
          <w:highlight w:val="yellow"/>
        </w:rPr>
        <w:t xml:space="preserve">P4 and P5: what the coding adds to this picture, for example Chinese narratives that market domestic Silk Road destinations.</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highlight w:val="yellow"/>
        </w:rPr>
        <w:t xml:space="preserve">Conclusions (author): whether and how far the separation principle travels to inter-state heritage tourism; how the competing explanations of market-based separation (Bengtsson &amp; Kock, 2000, p. 420), geographic and cultural distance (Deng &amp; Hu, 2019) and status asymmetry (Norheim-Hansen et al., 2026) fare against the findings; one or two policy implications for Türkiye; limitations (corpus selection, Chinese-language sources, the construct–measure gap in value capture, arrivals as border records rather than tourist counts).</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t xml:space="preserve">The study contributes at three levels. Theoretically, it carries the separation principle, so far examined among firms and destinations (Chim-Miki &amp; Batista-Canino, 2017a; Wang &amp; Krakover, 2008), to heritage tourism between two states. This extension matters because the closest existing work addresses the multilateral management of the Silk Road Programme (Redi &amp; Pulido Fernández, 2018), while international relations studies of the Türkiye–China dyad and of great power coopetition explain the relationship as a whole without asking in which activities cooperation and competition concentrate (Wang &amp; Sun, 2024; Wisniewski, 2025). Conceptually, the study shows that the discourse of a "shared Silk Road" can carry partnership and ownership claims at the same time; for this reason it treats the Silk Road heritage as the object of coopetition rather than as a neutral common asset. Practically, it offers Türkiye's China tourism policy a way to distinguish the domains in which cooperation pays from those in which differentiation is needed.</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doküman korpusunun hazırlanması ve Çince metinlerin çevirisi, kodlama şemasının pilot sınaması, insan kodlayıcılar arasındaki uyuşmazlıkların çözümünde bağımsız üçüncü kodlama,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corpus and translation of Chinese texts, pilot testing of the coding scheme, an independent third coding used to resolve disagreements between the human coders,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