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w:t>
            </w:r>
            <w:r>
              <w:rPr>
                <w:highlight w:val="yellow"/>
              </w:rPr>
              <w:t xml:space="preserve">BULGU: Rekabet kodlarının payı bağlantısallıkta %__ iken değer yakalamada %__'dir; dolayısıyla ayrıştırma ilkesi desteklenmektedir / kısmen desteklenmektedir / desteklenmemektedir.</w:t>
            </w:r>
            <w:r>
              <w:rPr/>
              <w:t xml:space="preserve"> </w:t>
            </w:r>
            <w:r>
              <w:rPr>
                <w:highlight w:val="yellow"/>
              </w:rPr>
              <w:t xml:space="preserve">SONUÇ: tek cümle, Tartışma ve Sonuç bölümündeki ana iddiayla aynı.</w:t>
            </w:r>
            <w:r>
              <w:rPr/>
              <w:t xml:space="preserve"> Bu sonuç,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While the literature explains this gap by obstacles to cooperation, this study looks at the relationship itself and uses coopetition theory to ask whether the two countries also compete over the heritage they share. According to the separation principle of the theory, cooperation concentrates in activities far from the customer and competition in activities close to the customer. To test this prediction, 49 official documents from 2010–2026 were divided into 368 meaning units, which two independent coders coded across the domains of connectivity, tourist flows, narrative and value capture using a scheme based on manifest markers. </w:t>
            </w:r>
            <w:r>
              <w:rPr>
                <w:lang w:val="en-US"/>
                <w:highlight w:val="yellow"/>
              </w:rPr>
              <w:t xml:space="preserve">FINDING: The share of competition codes is __% in connectivity and __% in value capture; the separation principle is therefore supported / partially supported / not supported.</w:t>
            </w:r>
            <w:r>
              <w:rPr>
                <w:lang w:val="en-US"/>
              </w:rPr>
              <w:t xml:space="preserve"> </w:t>
            </w:r>
            <w:r>
              <w:rPr>
                <w:lang w:val="en-US"/>
                <w:highlight w:val="yellow"/>
              </w:rPr>
              <w:t xml:space="preserve">CONCLUSION: one sentence, mirroring the Turkish Öz.</w:t>
            </w:r>
            <w:r>
              <w:rPr>
                <w:lang w:val="en-US"/>
              </w:rPr>
              <w:t xml:space="preserve"> This suggests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belgelik bir korpusun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korpusu,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Doküman Korpusu</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korpus iki alt kümeye ayrılmıştır. Korpus A, iki ülke arasındaki ikili ve ortak resmî belgeleri içerir: ortak bildiriler, mutabakat zaptları, devlet ve hükümet düzeyindeki görüşme özetleri, büyükelçilik konuşmaları ve turizm ya da kültür yılı metinleri. Korpus B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kümedeki belgeler ölçüt örneklemesiyle seçilmiştir. Bir belgenin korpusa girmesi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korpus 49 belgeden oluşmuştur: Korpus A'da 25 (11 Türk, 12 Çin, 2 ortak), Korpus B'de 24 (12 Türk, 12 Çin) belge. Korpus A'daki belgelerin 5'i 2010–2014, 9'u 2015–2019, 11'i 2020–2026 dönemine aittir. Korpus B'deki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Birinci kodlayıcı siyaset bilimi ve kamu yönetimi alanında doktora derecesine sahip, lisans eğitimini siyaset bilimi ve uluslararası ilişkiler alanında tamamlamış bir öğretim üyesidir; ikinci kodlayıcı ise turizm alanında görev yapan ve uluslararası turizm uygulamalarında deneyimi bulunan doktoralı bir öğretim üyesidir. İki kodlayıcının farklı disiplinlerden gelmesi, belgelerin hem uluslararası ilişkiler hem de turizm bakışıyla okunmasını sağlamıştır. Kodlayıcılara kodlama kılavuzu ve uydurma bir örnek verilmiş, birbirleriyle görüşmeden kodlamaları istenmiştir. Kodlayıcılar arası uyum alan için iyi (uyuşma %81,2; Cohen κ = 0,73), yönelim için orta düzeydedir (uyuşma %64,7; κ = 0,47). Yönelimdeki uyuşmazlıkların büyük bölümü bir işaretin var olup olmadığına ilişkindir; iki kodlayıcının aynı birime zıt yön verdiği, yani birinin iş birliği ötekinin rekabet kodladığı durum 368 birimin yalnızca 9'unda (%2,4) görülmüştür. Uyuşmazlıklar, insan kodlamasından önce ve ondan bağımsız olarak aynı kodbookla yapılmış yapay zekâ destekli üçüncü bir kodlama kullanılarak çoğunluk kuralıyla çözülmüştür: her birimin alanı ve her işaret için üç kodlamadan en az ikisinin verdiği değer esas alınmıştır. Üçüncü kodlamanın iki insan kodlayıcıyla uyumu, insan kodlayıcıların kendi aralarındaki uyumla benzer düzeydedir (alan için κ = 0,64 ve 0,70; yönelim için κ = 0,44 ve 0,43). Üç kodlamanın da farklı alan verdiği 5 birim analiz dışında bırakılmış, nihai analiz 363 birim üzerinden yapılmıştır. Üçüncü kodlamanın etkisini sınamak için sonuçlar ayrıca her insan kodlayıcı için ayrı ayrı ve yalnızca iki insan kodlayıcının uyuştuğu 195 birim için hesaplanmış ve raporlanmıştır.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Korpusun ve kodlamanın genel görünümü</w:t>
      </w:r>
    </w:p>
    <w:p w14:paraId="67145077" w14:textId="61F759BA" w:rsidR="004724F9" w:rsidRDefault="00FC5974" w:rsidP="001B50BE">
      <w:pPr>
        <w:pStyle w:val="Gvdemetin"/>
      </w:pPr>
      <w:r>
        <w:rPr>
          <w:highlight w:val="yellow"/>
        </w:rPr>
        <w:t xml:space="preserve">YAZAR YAZACAK – yönerge: Tablo 1: Korpus özeti (A: 25 belge, B: 24 belge; taraf dağılımı; dönem dağılımı). Kaynak: `korpus-belge/A/_envanter.csv`, `korpus-belge/B/_envanter.csv`.</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Korpus A'da İB payı; Korpus B'de RK payı. İki korpusun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Korpus B'de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Korpus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literatür;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Recent steps follow this narrative: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These steps create a clear expectation that Chinese tourists will follow, but the data meet this expectation only in part. Arrivals of Chinese nationals tripled after 2013, yet they never exceeded one per cent of all foreign arrivals (Türkiye İstatistik Kurumu [TÜİK], 2026). The Turkish tourism literature explains this gap by technical obstacles such as security perceptions, language and distance, because it treats the relationship as a win-win partnership from the outset (İbiş, 2019; Kılıç, 2021; Palidan, 2024). Heritage politics research suggests a different reading: "shared" heritage also generates competing claims of ownership and centrality (Brown &amp; O'Brien, 2025; Debarbieux et al., 2023), and China's historicisation of the Silk Road has been described as Sinocentric (Sciorati, 2023). If both readings hold, the problem may lie in the relationship itself rather than in its obstacles. The study therefore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Because these questions look for a mechanism, the study adopts a critical realist stance and treats documentary traces as indicators of that mechanism rather than as the mechanism itself. The mechanism tested is the separation principle derived from Bengtsson and Kock (2000, p. 421), according to which competitors cooperate in input activities far from the customer and compete in output activities close to the customer. To compare this mechanism across the parts of a single relationship, a single embedded case design was chosen, with the Türkiye–China dyad as the case and four domains, ordered in advance by proximity to the tourist, as embedded units: connectivity, tourist flows, narrative and value capture. Since cooperation is expected to appear in joint documents and competition in unilateral ones, systematic document analysis (Bowen, 2009) was applied to two corpora: 25 bilateral or joint official documents (Corpus A) and 24 unilateral Silk Road promotion and policy narratives (Corpus B), selected through criterion sampling. The documents were divided into 368 meaning units. A pilot round showed that interpretive coding of orientation produced very low agreement, so the final scheme derives orientation mechanically from three manifest markers (a joint subject, self-promotion, and exclusion or one-sidedness); pilot codes were not used in the analysis. Two independent human coders carried out the final coding, and agreement is reported with Cohen's kappa </w:t>
      </w:r>
      <w:r>
        <w:rPr>
          <w:highlight w:val="yellow"/>
        </w:rPr>
        <w:t xml:space="preserve">κ domain = __; κ orientation = __</w:t>
      </w:r>
      <w:r>
        <w:rPr/>
        <w:t xml:space="preserve">. To prevent post hoc interpretation, the decision rule was written before the analysis: a monotonic increase in the share of competition codes from connectivity to value capture, or a difference of at least 20 percentage points between the two ends, counts as support. Arrivals of Chinese nationals for 2010–2025 were then read descriptively, without causal testing.</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Corpus A and of competition codes in Corpus B,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confirms the gap between discourse and flows. Arrivals of Chinese nationals rose from 138,876 in 2013 to 426,344 in 2019 and stood at 425,348 in 2025, but their share of all foreign arrivals peaked at 0.998% in 2018 (TÜİK, 2026). The connectivity domain helps to explain why.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(corpus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contributes at three levels. Theoretically, it carries the separation principle, so far examined among firms and destinations (Chim-Miki &amp; Batista-Canino, 2017a; Wang &amp; Krakover, 2008), to heritage tourism between two states. This extension matters because the closest existing work addresses the multilateral management of the Silk Road Programme (Redi &amp; Pulido Fernández, 2018), while international relations studies of the Türkiye–China dyad and of great power coopetition explain the relationship as a whole without asking in which activities cooperation and competition concentrate (Wang &amp; Sun, 2024; Wisniewski, 2025). Conceptually, the study shows that the discourse of a "shared Silk Road" can carry partnership and ownership claims at the same time; for this reason it treats the Silk Road heritage as the object of coopetition rather than as a neutral common asset. Practically, it offers Türkiye's China tourism policy a way to distinguish the domains in which cooperation pays from those in which differentiation is needed.</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doküman korpusunun hazırlanması ve Çince metinlerin çevirisi, kodlama şemasının pilot sınaması,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corpus and translation of Chinese texts, pilot testing of the coding scheme,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