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İkili belgelerde iş birliği dili baskındır; ancak rekabet payı turiste yaklaştıkça düzenli olarak artmamakta ve ayrıştırma ilkesi desteklenmemektedir. Var olan rekabet büyük ölçüde Türkiye'nin kendini İpek Yolu'nun merkezi ve kavşağı olarak sunmasından kaynaklanmakta, Çin kaynakları ise ortaklık dilini korumaktadır. Sonuç olarak İpek Yolu mirası ortaklaşa rekabetin nesnesidir, ancak bu rekabet tek taraflıdır; iki ülke arasındaki uzaklık ise hem iş birliğinin baskınlığını hem de söylemin turiste dönüşmemesini açıklamaktadır.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Rather than explaining this gap by obstacles to cooperation, this study asks, through coopetition theory, whether the two countries also compete over the heritage they share. The theory's separation principle predicts cooperation in activities far from the customer and competition in activities close to it. To test this, 49 official documents from 2010–2026 were divided into 368 meaning units, which two independent coders coded across connectivity, tourist flows, narrative and value capture. Cooperation dominates bilateral documents, but competition does not rise steadily with proximity to the tourist, so the separation principle is not supported. The competition that does appear stems largely from Türkiye presenting itself as the centre and crossroads of the Silk Road, while Chinese sources keep a language of partnership. The Silk Road heritage is thus the object of a one-sided coopetition, and distance explains both the dominance of cooperation and its failure to generate tourist flows.</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resmî belgenin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incelenen belgeleri,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İncelenen Belgeler</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belgeler iki gruba ayrılmıştır. Birinci grup (ikili belgeler), iki ülke arasındaki ikili ve ortak resmî belgeleri içerir: ortak bildiriler, mutabakat zaptları, devlet ve hükümet düzeyindeki görüşme özetleri, büyükelçilik konuşmaları ve turizm ya da kültür yılı metinleri. İkinci grup (tek taraflı belgeler)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gruptaki belgeler ölçüt örneklemesiyle seçilmiştir. Bir belgenin çalışmaya alınması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49 belge incelemeye alınmıştır: ikili belgeler grubunda 25 (11 Türk, 12 Çin, 2 ortak), tek taraflı belgeler grubunda 24 (12 Türk, 12 Çin) belge. İkili belgelerin 5'i 2010–2014, 9'u 2015–2019, 11'i 2020–2026 dönemine aittir. Tek taraflı belgelerdeki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insan kodlamasından önce ve ondan bağımsız olarak aynı kodbookla yapılmış yapay zekâ destekli üçüncü bir kodlama kullanılarak çoğunluk kuralıyla çözülmüştür: her birimin alanı ve her işaret için üç kodlamadan en az ikisinin verdiği değer esas alınmıştır. Üçüncü kodlamanın iki insan kodlayıcıyla uyumu, insan kodlayıcıların kendi aralarındaki uyumla benzer düzeydedir (alan için κ = 0,64 ve 0,70; yönelim için κ = 0,44 ve 0,43). Üç kodlamanın da farklı alan verdiği 5 birim analiz dışında bırakılmış, nihai analiz 363 birim üzerinden yapılmıştır. Üçüncü kodlamanın etkisini sınamak için sonuçlar ayrıca her insan kodlayıcı için ayrı ayrı ve yalnızca iki insan kodlayıcının uyuştuğu 195 birim için hesaplanmış ve raporlanmıştır.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Belgelerin ve Kodlamanın Genel Görünümü</w:t>
      </w:r>
    </w:p>
    <w:p w14:paraId="67145077" w14:textId="61F759BA" w:rsidR="004724F9" w:rsidRDefault="00FC5974" w:rsidP="001B50BE">
      <w:pPr>
        <w:pStyle w:val="Gvdemetin"/>
      </w:pPr>
      <w:r>
        <w:rPr/>
        <w:t xml:space="preserve">İncelenen 49 belgenin 25'i ikili, 24'ü tek taraflı belgedir ve iki ülkenin kaynakları her iki grupta da dengeli biçimde temsil edilmektedir (Tablo 1). Belgelerden çıkarılan 368 anlam biriminden, üç kodlamanın da farklı alan verdiği 5 birim dışarıda bırakıldığı için analiz 363 birim üzerinden yapılmıştır. Bu birimlerin alanlara dağılımı dengesizdir: bağlantısallık 98, turist akışı 123 ve anlatı 122 birim içerirken değer yakalama alanında yalnızca 20 birim bulunmaktadır. Yönelim bakımından birimlerin 139'u iş birliği, 76'sı rekabet, 6'sı karma kodu almış; 142'si ise açık bir işaret taşımadığı için nötr olarak kodlanmıştır. Başka bir deyişle resmî belgelerdeki ifadelerin yaklaşık %39'u ne iş birliğini ne de rekabeti açıkça dile getirmektedir. Aşağıdaki alt bölümlerde iş birliği ve rekabet payları, bu nötr birimler hem dahil hem hariç tutularak raporlanmaktadır.</w:t>
      </w:r>
    </w:p>
    <w:p>
      <w:pPr>
        <w:keepNext/>
        <w:spacing w:before="120" w:after="120"/>
        <w:jc w:val="center"/>
      </w:pPr>
      <w:r>
        <w:rPr>
          <w:b/>
          <w:sz w:val="20"/>
          <w:szCs w:val="20"/>
        </w:rPr>
        <w:t xml:space="preserve">Tablo 1. </w:t>
      </w:r>
      <w:r>
        <w:rPr>
          <w:sz w:val="20"/>
          <w:szCs w:val="20"/>
        </w:rPr>
        <w:t xml:space="preserve">İncelenen Belgelerin Bileşimi</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600"/>
        <w:gridCol w:w="1350"/>
        <w:gridCol w:w="1350"/>
        <w:gridCol w:w="1350"/>
        <w:gridCol w:w="1350"/>
        <w:gridCol w:w="1350"/>
      </w:tblGrid>
      <w:tr>
        <w:trPr>
          <w:tblHeader/>
        </w:trPr>
        <w:tc>
          <w:tcPr>
            <w:tcW w:w="2600" w:type="dxa"/>
            <w:tcBorders>
              <w:bottom w:val="single" w:sz="6" w:space="0" w:color="auto"/>
            </w:tcBorders>
          </w:tcPr>
          <w:p>
            <w:pPr>
              <w:spacing w:before="20" w:after="20"/>
              <w:jc w:val="left"/>
            </w:pPr>
            <w:r>
              <w:rPr>
                <w:b/>
                <w:sz w:val="18"/>
                <w:szCs w:val="18"/>
              </w:rPr>
              <w:t xml:space="preserve">Belge grubu</w:t>
            </w:r>
          </w:p>
        </w:tc>
        <w:tc>
          <w:tcPr>
            <w:tcW w:w="1350" w:type="dxa"/>
            <w:tcBorders>
              <w:bottom w:val="single" w:sz="6" w:space="0" w:color="auto"/>
            </w:tcBorders>
          </w:tcPr>
          <w:p>
            <w:pPr>
              <w:spacing w:before="20" w:after="20"/>
              <w:jc w:val="center"/>
            </w:pPr>
            <w:r>
              <w:rPr>
                <w:b/>
                <w:sz w:val="18"/>
                <w:szCs w:val="18"/>
              </w:rPr>
              <w:t xml:space="preserve">Türk</w:t>
            </w:r>
          </w:p>
        </w:tc>
        <w:tc>
          <w:tcPr>
            <w:tcW w:w="1350" w:type="dxa"/>
            <w:tcBorders>
              <w:bottom w:val="single" w:sz="6" w:space="0" w:color="auto"/>
            </w:tcBorders>
          </w:tcPr>
          <w:p>
            <w:pPr>
              <w:spacing w:before="20" w:after="20"/>
              <w:jc w:val="center"/>
            </w:pPr>
            <w:r>
              <w:rPr>
                <w:b/>
                <w:sz w:val="18"/>
                <w:szCs w:val="18"/>
              </w:rPr>
              <w:t xml:space="preserve">Çin</w:t>
            </w:r>
          </w:p>
        </w:tc>
        <w:tc>
          <w:tcPr>
            <w:tcW w:w="1350" w:type="dxa"/>
            <w:tcBorders>
              <w:bottom w:val="single" w:sz="6" w:space="0" w:color="auto"/>
            </w:tcBorders>
          </w:tcPr>
          <w:p>
            <w:pPr>
              <w:spacing w:before="20" w:after="20"/>
              <w:jc w:val="center"/>
            </w:pPr>
            <w:r>
              <w:rPr>
                <w:b/>
                <w:sz w:val="18"/>
                <w:szCs w:val="18"/>
              </w:rPr>
              <w:t xml:space="preserve">Ortak</w:t>
            </w:r>
          </w:p>
        </w:tc>
        <w:tc>
          <w:tcPr>
            <w:tcW w:w="1350" w:type="dxa"/>
            <w:tcBorders>
              <w:bottom w:val="single" w:sz="6" w:space="0" w:color="auto"/>
            </w:tcBorders>
          </w:tcPr>
          <w:p>
            <w:pPr>
              <w:spacing w:before="20" w:after="20"/>
              <w:jc w:val="center"/>
            </w:pPr>
            <w:r>
              <w:rPr>
                <w:b/>
                <w:sz w:val="18"/>
                <w:szCs w:val="18"/>
              </w:rPr>
              <w:t xml:space="preserve">Belge</w:t>
            </w:r>
          </w:p>
        </w:tc>
        <w:tc>
          <w:tcPr>
            <w:tcW w:w="1350" w:type="dxa"/>
            <w:tcBorders>
              <w:bottom w:val="single" w:sz="6" w:space="0" w:color="auto"/>
            </w:tcBorders>
          </w:tcPr>
          <w:p>
            <w:pPr>
              <w:spacing w:before="20" w:after="20"/>
              <w:jc w:val="center"/>
            </w:pPr>
            <w:r>
              <w:rPr>
                <w:b/>
                <w:sz w:val="18"/>
                <w:szCs w:val="18"/>
              </w:rPr>
              <w:t xml:space="preserve">Anlam birimi</w:t>
            </w:r>
          </w:p>
        </w:tc>
      </w:tr>
      <w:tr>
        <w:tc>
          <w:tcPr>
            <w:tcW w:w="2600" w:type="dxa"/>
          </w:tcPr>
          <w:p>
            <w:pPr>
              <w:spacing w:before="20" w:after="20"/>
              <w:jc w:val="left"/>
            </w:pPr>
            <w:r>
              <w:rPr>
                <w:sz w:val="18"/>
                <w:szCs w:val="18"/>
              </w:rPr>
              <w:t xml:space="preserve">İkili belgeler</w:t>
            </w:r>
          </w:p>
        </w:tc>
        <w:tc>
          <w:tcPr>
            <w:tcW w:w="1350" w:type="dxa"/>
          </w:tcPr>
          <w:p>
            <w:pPr>
              <w:spacing w:before="20" w:after="20"/>
              <w:jc w:val="center"/>
            </w:pPr>
            <w:r>
              <w:rPr>
                <w:sz w:val="18"/>
                <w:szCs w:val="18"/>
              </w:rPr>
              <w:t xml:space="preserve">11</w:t>
            </w:r>
          </w:p>
        </w:tc>
        <w:tc>
          <w:tcPr>
            <w:tcW w:w="1350" w:type="dxa"/>
          </w:tcPr>
          <w:p>
            <w:pPr>
              <w:spacing w:before="20" w:after="20"/>
              <w:jc w:val="center"/>
            </w:pPr>
            <w:r>
              <w:rPr>
                <w:sz w:val="18"/>
                <w:szCs w:val="18"/>
              </w:rPr>
              <w:t xml:space="preserve">12</w:t>
            </w:r>
          </w:p>
        </w:tc>
        <w:tc>
          <w:tcPr>
            <w:tcW w:w="1350" w:type="dxa"/>
          </w:tcPr>
          <w:p>
            <w:pPr>
              <w:spacing w:before="20" w:after="20"/>
              <w:jc w:val="center"/>
            </w:pPr>
            <w:r>
              <w:rPr>
                <w:sz w:val="18"/>
                <w:szCs w:val="18"/>
              </w:rPr>
              <w:t xml:space="preserve">2</w:t>
            </w:r>
          </w:p>
        </w:tc>
        <w:tc>
          <w:tcPr>
            <w:tcW w:w="1350" w:type="dxa"/>
          </w:tcPr>
          <w:p>
            <w:pPr>
              <w:spacing w:before="20" w:after="20"/>
              <w:jc w:val="center"/>
            </w:pPr>
            <w:r>
              <w:rPr>
                <w:sz w:val="18"/>
                <w:szCs w:val="18"/>
              </w:rPr>
              <w:t xml:space="preserve">25</w:t>
            </w:r>
          </w:p>
        </w:tc>
        <w:tc>
          <w:tcPr>
            <w:tcW w:w="1350" w:type="dxa"/>
          </w:tcPr>
          <w:p>
            <w:pPr>
              <w:spacing w:before="20" w:after="20"/>
              <w:jc w:val="center"/>
            </w:pPr>
            <w:r>
              <w:rPr>
                <w:sz w:val="18"/>
                <w:szCs w:val="18"/>
              </w:rPr>
              <w:t xml:space="preserve">179</w:t>
            </w:r>
          </w:p>
        </w:tc>
      </w:tr>
      <w:tr>
        <w:tc>
          <w:tcPr>
            <w:tcW w:w="2600" w:type="dxa"/>
          </w:tcPr>
          <w:p>
            <w:pPr>
              <w:spacing w:before="20" w:after="20"/>
              <w:jc w:val="left"/>
            </w:pPr>
            <w:r>
              <w:rPr>
                <w:sz w:val="18"/>
                <w:szCs w:val="18"/>
              </w:rPr>
              <w:t xml:space="preserve">Tek taraflı belgeler</w:t>
            </w:r>
          </w:p>
        </w:tc>
        <w:tc>
          <w:tcPr>
            <w:tcW w:w="1350" w:type="dxa"/>
          </w:tcPr>
          <w:p>
            <w:pPr>
              <w:spacing w:before="20" w:after="20"/>
              <w:jc w:val="center"/>
            </w:pPr>
            <w:r>
              <w:rPr>
                <w:sz w:val="18"/>
                <w:szCs w:val="18"/>
              </w:rPr>
              <w:t xml:space="preserve">12</w:t>
            </w:r>
          </w:p>
        </w:tc>
        <w:tc>
          <w:tcPr>
            <w:tcW w:w="1350" w:type="dxa"/>
          </w:tcPr>
          <w:p>
            <w:pPr>
              <w:spacing w:before="20" w:after="20"/>
              <w:jc w:val="center"/>
            </w:pPr>
            <w:r>
              <w:rPr>
                <w:sz w:val="18"/>
                <w:szCs w:val="18"/>
              </w:rPr>
              <w:t xml:space="preserve">12</w:t>
            </w:r>
          </w:p>
        </w:tc>
        <w:tc>
          <w:tcPr>
            <w:tcW w:w="1350" w:type="dxa"/>
          </w:tcPr>
          <w:p>
            <w:pPr>
              <w:spacing w:before="20" w:after="20"/>
              <w:jc w:val="center"/>
            </w:pPr>
            <w:r>
              <w:rPr>
                <w:sz w:val="18"/>
                <w:szCs w:val="18"/>
              </w:rPr>
              <w:t xml:space="preserve">0</w:t>
            </w:r>
          </w:p>
        </w:tc>
        <w:tc>
          <w:tcPr>
            <w:tcW w:w="1350" w:type="dxa"/>
          </w:tcPr>
          <w:p>
            <w:pPr>
              <w:spacing w:before="20" w:after="20"/>
              <w:jc w:val="center"/>
            </w:pPr>
            <w:r>
              <w:rPr>
                <w:sz w:val="18"/>
                <w:szCs w:val="18"/>
              </w:rPr>
              <w:t xml:space="preserve">24</w:t>
            </w:r>
          </w:p>
        </w:tc>
        <w:tc>
          <w:tcPr>
            <w:tcW w:w="1350" w:type="dxa"/>
          </w:tcPr>
          <w:p>
            <w:pPr>
              <w:spacing w:before="20" w:after="20"/>
              <w:jc w:val="center"/>
            </w:pPr>
            <w:r>
              <w:rPr>
                <w:sz w:val="18"/>
                <w:szCs w:val="18"/>
              </w:rPr>
              <w:t xml:space="preserve">189</w:t>
            </w:r>
          </w:p>
        </w:tc>
      </w:tr>
      <w:tr>
        <w:tc>
          <w:tcPr>
            <w:tcW w:w="2600" w:type="dxa"/>
          </w:tcPr>
          <w:p>
            <w:pPr>
              <w:spacing w:before="20" w:after="20"/>
              <w:jc w:val="left"/>
            </w:pPr>
            <w:r>
              <w:rPr>
                <w:sz w:val="18"/>
                <w:szCs w:val="18"/>
              </w:rPr>
              <w:t xml:space="preserve">Toplam</w:t>
            </w:r>
          </w:p>
        </w:tc>
        <w:tc>
          <w:tcPr>
            <w:tcW w:w="1350" w:type="dxa"/>
          </w:tcPr>
          <w:p>
            <w:pPr>
              <w:spacing w:before="20" w:after="20"/>
              <w:jc w:val="center"/>
            </w:pPr>
            <w:r>
              <w:rPr>
                <w:sz w:val="18"/>
                <w:szCs w:val="18"/>
              </w:rPr>
              <w:t xml:space="preserve">23</w:t>
            </w:r>
          </w:p>
        </w:tc>
        <w:tc>
          <w:tcPr>
            <w:tcW w:w="1350" w:type="dxa"/>
          </w:tcPr>
          <w:p>
            <w:pPr>
              <w:spacing w:before="20" w:after="20"/>
              <w:jc w:val="center"/>
            </w:pPr>
            <w:r>
              <w:rPr>
                <w:sz w:val="18"/>
                <w:szCs w:val="18"/>
              </w:rPr>
              <w:t xml:space="preserve">24</w:t>
            </w:r>
          </w:p>
        </w:tc>
        <w:tc>
          <w:tcPr>
            <w:tcW w:w="1350" w:type="dxa"/>
          </w:tcPr>
          <w:p>
            <w:pPr>
              <w:spacing w:before="20" w:after="20"/>
              <w:jc w:val="center"/>
            </w:pPr>
            <w:r>
              <w:rPr>
                <w:sz w:val="18"/>
                <w:szCs w:val="18"/>
              </w:rPr>
              <w:t xml:space="preserve">2</w:t>
            </w:r>
          </w:p>
        </w:tc>
        <w:tc>
          <w:tcPr>
            <w:tcW w:w="1350" w:type="dxa"/>
          </w:tcPr>
          <w:p>
            <w:pPr>
              <w:spacing w:before="20" w:after="20"/>
              <w:jc w:val="center"/>
            </w:pPr>
            <w:r>
              <w:rPr>
                <w:sz w:val="18"/>
                <w:szCs w:val="18"/>
              </w:rPr>
              <w:t xml:space="preserve">49</w:t>
            </w:r>
          </w:p>
        </w:tc>
        <w:tc>
          <w:tcPr>
            <w:tcW w:w="1350" w:type="dxa"/>
          </w:tcPr>
          <w:p>
            <w:pPr>
              <w:spacing w:before="20" w:after="20"/>
              <w:jc w:val="center"/>
            </w:pPr>
            <w:r>
              <w:rPr>
                <w:sz w:val="18"/>
                <w:szCs w:val="18"/>
              </w:rPr>
              <w:t xml:space="preserve">368</w:t>
            </w:r>
          </w:p>
        </w:tc>
      </w:tr>
    </w:tbl>
    <w:p>
      <w:pPr>
        <w:spacing w:before="60" w:after="120"/>
      </w:pPr>
      <w:r>
        <w:rPr>
          <w:b/>
          <w:sz w:val="18"/>
          <w:szCs w:val="18"/>
        </w:rPr>
        <w:t xml:space="preserve">Not: </w:t>
      </w:r>
      <w:r>
        <w:rPr>
          <w:sz w:val="18"/>
          <w:szCs w:val="18"/>
        </w:rPr>
        <w:t xml:space="preserve">Analiz, üç kodlamanın da farklı alan verdiği 5 birim çıkarıldıktan sonra 363 birim üzerinden yapılmıştır.</w:t>
      </w:r>
    </w:p>
    <w:p w14:paraId="11F4FB04" w14:textId="34BB8FD9" w:rsidR="002A3F34" w:rsidRDefault="00F6431C" w:rsidP="007055A5">
      <w:pPr>
        <w:pStyle w:val="ikincidzeybalk"/>
      </w:pPr>
      <w:r>
        <w:rPr>
          <w:szCs w:val="22"/>
        </w:rPr>
        <w:t xml:space="preserve">4.2. İkili ve Tek Taraflı Belgelerde Yönelim</w:t>
      </w:r>
    </w:p>
    <w:p w14:paraId="67145077" w14:textId="61F759BA" w:rsidR="004724F9" w:rsidRDefault="00FC5974" w:rsidP="001B50BE">
      <w:pPr>
        <w:pStyle w:val="Gvdemetin"/>
      </w:pPr>
      <w:r>
        <w:rPr/>
        <w:t xml:space="preserve">Beklendiği gibi, iki ülkenin birlikte ürettiği ya da birbirine hitap ettiği belgelerde iş birliği dili açıkça baskındır. İkili belgelerdeki 177 birimin %49,7'si iş birliği, %20,3'ü rekabet kodu almıştır; başka bir deyişle ikili belgelerde iş birliği işaretleri rekabet işaretlerinin yaklaşık iki buçuk katıdır (Tablo 2). Bu üstünlük, sonuçlar her kodlayıcı için ayrı ayrı ve yalnızca iki kodlayıcının uyuştuğu birimler için hesaplandığında da korunmaktadır. Dolayısıyla Ö1 desteklenmektedir.</w:t>
      </w:r>
    </w:p>
    <w:p>
      <w:pPr>
        <w:keepNext/>
        <w:spacing w:before="120" w:after="120"/>
        <w:jc w:val="center"/>
      </w:pPr>
      <w:r>
        <w:rPr>
          <w:b/>
          <w:sz w:val="20"/>
          <w:szCs w:val="20"/>
        </w:rPr>
        <w:t xml:space="preserve">Tablo 2. </w:t>
      </w:r>
      <w:r>
        <w:rPr>
          <w:sz w:val="20"/>
          <w:szCs w:val="20"/>
        </w:rPr>
        <w:t xml:space="preserve">Belge Gruplarına Göre Yönelim</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050"/>
        <w:gridCol w:w="1050"/>
        <w:gridCol w:w="1050"/>
        <w:gridCol w:w="1050"/>
        <w:gridCol w:w="1050"/>
        <w:gridCol w:w="1050"/>
        <w:gridCol w:w="1050"/>
      </w:tblGrid>
      <w:tr>
        <w:trPr>
          <w:tblHeader/>
        </w:trPr>
        <w:tc>
          <w:tcPr>
            <w:tcW w:w="2000" w:type="dxa"/>
            <w:tcBorders>
              <w:bottom w:val="single" w:sz="6" w:space="0" w:color="auto"/>
            </w:tcBorders>
          </w:tcPr>
          <w:p>
            <w:pPr>
              <w:spacing w:before="20" w:after="20"/>
              <w:jc w:val="left"/>
            </w:pPr>
            <w:r>
              <w:rPr>
                <w:b/>
                <w:sz w:val="18"/>
                <w:szCs w:val="18"/>
              </w:rPr>
              <w:t xml:space="preserve">Belge grubu</w:t>
            </w:r>
          </w:p>
        </w:tc>
        <w:tc>
          <w:tcPr>
            <w:tcW w:w="1050" w:type="dxa"/>
            <w:tcBorders>
              <w:bottom w:val="single" w:sz="6" w:space="0" w:color="auto"/>
            </w:tcBorders>
          </w:tcPr>
          <w:p>
            <w:pPr>
              <w:spacing w:before="20" w:after="20"/>
              <w:jc w:val="center"/>
            </w:pPr>
            <w:r>
              <w:rPr>
                <w:b/>
                <w:sz w:val="18"/>
                <w:szCs w:val="18"/>
              </w:rPr>
              <w:t xml:space="preserve">n</w:t>
            </w:r>
          </w:p>
        </w:tc>
        <w:tc>
          <w:tcPr>
            <w:tcW w:w="1050" w:type="dxa"/>
            <w:tcBorders>
              <w:bottom w:val="single" w:sz="6" w:space="0" w:color="auto"/>
            </w:tcBorders>
          </w:tcPr>
          <w:p>
            <w:pPr>
              <w:spacing w:before="20" w:after="20"/>
              <w:jc w:val="center"/>
            </w:pPr>
            <w:r>
              <w:rPr>
                <w:b/>
                <w:sz w:val="18"/>
                <w:szCs w:val="18"/>
              </w:rPr>
              <w:t xml:space="preserve">İş birliği</w:t>
            </w:r>
          </w:p>
        </w:tc>
        <w:tc>
          <w:tcPr>
            <w:tcW w:w="1050" w:type="dxa"/>
            <w:tcBorders>
              <w:bottom w:val="single" w:sz="6" w:space="0" w:color="auto"/>
            </w:tcBorders>
          </w:tcPr>
          <w:p>
            <w:pPr>
              <w:spacing w:before="20" w:after="20"/>
              <w:jc w:val="center"/>
            </w:pPr>
            <w:r>
              <w:rPr>
                <w:b/>
                <w:sz w:val="18"/>
                <w:szCs w:val="18"/>
              </w:rPr>
              <w:t xml:space="preserve">Rekabet</w:t>
            </w:r>
          </w:p>
        </w:tc>
        <w:tc>
          <w:tcPr>
            <w:tcW w:w="1050" w:type="dxa"/>
            <w:tcBorders>
              <w:bottom w:val="single" w:sz="6" w:space="0" w:color="auto"/>
            </w:tcBorders>
          </w:tcPr>
          <w:p>
            <w:pPr>
              <w:spacing w:before="20" w:after="20"/>
              <w:jc w:val="center"/>
            </w:pPr>
            <w:r>
              <w:rPr>
                <w:b/>
                <w:sz w:val="18"/>
                <w:szCs w:val="18"/>
              </w:rPr>
              <w:t xml:space="preserve">Karma</w:t>
            </w:r>
          </w:p>
        </w:tc>
        <w:tc>
          <w:tcPr>
            <w:tcW w:w="1050" w:type="dxa"/>
            <w:tcBorders>
              <w:bottom w:val="single" w:sz="6" w:space="0" w:color="auto"/>
            </w:tcBorders>
          </w:tcPr>
          <w:p>
            <w:pPr>
              <w:spacing w:before="20" w:after="20"/>
              <w:jc w:val="center"/>
            </w:pPr>
            <w:r>
              <w:rPr>
                <w:b/>
                <w:sz w:val="18"/>
                <w:szCs w:val="18"/>
              </w:rPr>
              <w:t xml:space="preserve">Nötr</w:t>
            </w:r>
          </w:p>
        </w:tc>
        <w:tc>
          <w:tcPr>
            <w:tcW w:w="1050" w:type="dxa"/>
            <w:tcBorders>
              <w:bottom w:val="single" w:sz="6" w:space="0" w:color="auto"/>
            </w:tcBorders>
          </w:tcPr>
          <w:p>
            <w:pPr>
              <w:spacing w:before="20" w:after="20"/>
              <w:jc w:val="center"/>
            </w:pPr>
            <w:r>
              <w:rPr>
                <w:b/>
                <w:sz w:val="18"/>
                <w:szCs w:val="18"/>
              </w:rPr>
              <w:t xml:space="preserve">İş birliği %</w:t>
            </w:r>
          </w:p>
        </w:tc>
        <w:tc>
          <w:tcPr>
            <w:tcW w:w="1050" w:type="dxa"/>
            <w:tcBorders>
              <w:bottom w:val="single" w:sz="6" w:space="0" w:color="auto"/>
            </w:tcBorders>
          </w:tcPr>
          <w:p>
            <w:pPr>
              <w:spacing w:before="20" w:after="20"/>
              <w:jc w:val="center"/>
            </w:pPr>
            <w:r>
              <w:rPr>
                <w:b/>
                <w:sz w:val="18"/>
                <w:szCs w:val="18"/>
              </w:rPr>
              <w:t xml:space="preserve">Rekabet %</w:t>
            </w:r>
          </w:p>
        </w:tc>
      </w:tr>
      <w:tr>
        <w:tc>
          <w:tcPr>
            <w:tcW w:w="2000" w:type="dxa"/>
          </w:tcPr>
          <w:p>
            <w:pPr>
              <w:spacing w:before="20" w:after="20"/>
              <w:jc w:val="left"/>
            </w:pPr>
            <w:r>
              <w:rPr>
                <w:sz w:val="18"/>
                <w:szCs w:val="18"/>
              </w:rPr>
              <w:t xml:space="preserve">İkili belgeler</w:t>
            </w:r>
          </w:p>
        </w:tc>
        <w:tc>
          <w:tcPr>
            <w:tcW w:w="1050" w:type="dxa"/>
          </w:tcPr>
          <w:p>
            <w:pPr>
              <w:spacing w:before="20" w:after="20"/>
              <w:jc w:val="center"/>
            </w:pPr>
            <w:r>
              <w:rPr>
                <w:sz w:val="18"/>
                <w:szCs w:val="18"/>
              </w:rPr>
              <w:t xml:space="preserve">177</w:t>
            </w:r>
          </w:p>
        </w:tc>
        <w:tc>
          <w:tcPr>
            <w:tcW w:w="1050" w:type="dxa"/>
          </w:tcPr>
          <w:p>
            <w:pPr>
              <w:spacing w:before="20" w:after="20"/>
              <w:jc w:val="center"/>
            </w:pPr>
            <w:r>
              <w:rPr>
                <w:sz w:val="18"/>
                <w:szCs w:val="18"/>
              </w:rPr>
              <w:t xml:space="preserve">88</w:t>
            </w:r>
          </w:p>
        </w:tc>
        <w:tc>
          <w:tcPr>
            <w:tcW w:w="1050" w:type="dxa"/>
          </w:tcPr>
          <w:p>
            <w:pPr>
              <w:spacing w:before="20" w:after="20"/>
              <w:jc w:val="center"/>
            </w:pPr>
            <w:r>
              <w:rPr>
                <w:sz w:val="18"/>
                <w:szCs w:val="18"/>
              </w:rPr>
              <w:t xml:space="preserve">36</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50</w:t>
            </w:r>
          </w:p>
        </w:tc>
        <w:tc>
          <w:tcPr>
            <w:tcW w:w="1050" w:type="dxa"/>
          </w:tcPr>
          <w:p>
            <w:pPr>
              <w:spacing w:before="20" w:after="20"/>
              <w:jc w:val="center"/>
            </w:pPr>
            <w:r>
              <w:rPr>
                <w:sz w:val="18"/>
                <w:szCs w:val="18"/>
              </w:rPr>
              <w:t xml:space="preserve">49,7</w:t>
            </w:r>
          </w:p>
        </w:tc>
        <w:tc>
          <w:tcPr>
            <w:tcW w:w="1050" w:type="dxa"/>
          </w:tcPr>
          <w:p>
            <w:pPr>
              <w:spacing w:before="20" w:after="20"/>
              <w:jc w:val="center"/>
            </w:pPr>
            <w:r>
              <w:rPr>
                <w:sz w:val="18"/>
                <w:szCs w:val="18"/>
              </w:rPr>
              <w:t xml:space="preserve">20,3</w:t>
            </w:r>
          </w:p>
        </w:tc>
      </w:tr>
      <w:tr>
        <w:tc>
          <w:tcPr>
            <w:tcW w:w="2000" w:type="dxa"/>
          </w:tcPr>
          <w:p>
            <w:pPr>
              <w:spacing w:before="20" w:after="20"/>
              <w:jc w:val="left"/>
            </w:pPr>
            <w:r>
              <w:rPr>
                <w:sz w:val="18"/>
                <w:szCs w:val="18"/>
              </w:rPr>
              <w:t xml:space="preserve">Tek taraflı belgeler</w:t>
            </w:r>
          </w:p>
        </w:tc>
        <w:tc>
          <w:tcPr>
            <w:tcW w:w="1050" w:type="dxa"/>
          </w:tcPr>
          <w:p>
            <w:pPr>
              <w:spacing w:before="20" w:after="20"/>
              <w:jc w:val="center"/>
            </w:pPr>
            <w:r>
              <w:rPr>
                <w:sz w:val="18"/>
                <w:szCs w:val="18"/>
              </w:rPr>
              <w:t xml:space="preserve">186</w:t>
            </w:r>
          </w:p>
        </w:tc>
        <w:tc>
          <w:tcPr>
            <w:tcW w:w="1050" w:type="dxa"/>
          </w:tcPr>
          <w:p>
            <w:pPr>
              <w:spacing w:before="20" w:after="20"/>
              <w:jc w:val="center"/>
            </w:pPr>
            <w:r>
              <w:rPr>
                <w:sz w:val="18"/>
                <w:szCs w:val="18"/>
              </w:rPr>
              <w:t xml:space="preserve">51</w:t>
            </w:r>
          </w:p>
        </w:tc>
        <w:tc>
          <w:tcPr>
            <w:tcW w:w="1050" w:type="dxa"/>
          </w:tcPr>
          <w:p>
            <w:pPr>
              <w:spacing w:before="20" w:after="20"/>
              <w:jc w:val="center"/>
            </w:pPr>
            <w:r>
              <w:rPr>
                <w:sz w:val="18"/>
                <w:szCs w:val="18"/>
              </w:rPr>
              <w:t xml:space="preserve">40</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92</w:t>
            </w:r>
          </w:p>
        </w:tc>
        <w:tc>
          <w:tcPr>
            <w:tcW w:w="1050" w:type="dxa"/>
          </w:tcPr>
          <w:p>
            <w:pPr>
              <w:spacing w:before="20" w:after="20"/>
              <w:jc w:val="center"/>
            </w:pPr>
            <w:r>
              <w:rPr>
                <w:sz w:val="18"/>
                <w:szCs w:val="18"/>
              </w:rPr>
              <w:t xml:space="preserve">27,4</w:t>
            </w:r>
          </w:p>
        </w:tc>
        <w:tc>
          <w:tcPr>
            <w:tcW w:w="1050" w:type="dxa"/>
          </w:tcPr>
          <w:p>
            <w:pPr>
              <w:spacing w:before="20" w:after="20"/>
              <w:jc w:val="center"/>
            </w:pPr>
            <w:r>
              <w:rPr>
                <w:sz w:val="18"/>
                <w:szCs w:val="18"/>
              </w:rPr>
              <w:t xml:space="preserve">21,5</w:t>
            </w:r>
          </w:p>
        </w:tc>
      </w:tr>
    </w:tbl>
    <w:p>
      <w:pPr>
        <w:spacing w:before="60" w:after="120"/>
      </w:pPr>
      <w:r>
        <w:rPr>
          <w:b/>
          <w:sz w:val="18"/>
          <w:szCs w:val="18"/>
        </w:rPr>
        <w:t xml:space="preserve">Not: </w:t>
      </w:r>
      <w:r>
        <w:rPr>
          <w:sz w:val="18"/>
          <w:szCs w:val="18"/>
        </w:rPr>
        <w:t xml:space="preserve">Yüzdeler tüm birimler üzerinden hesaplanmıştır. Duyarlılık (iş birliği % / rekabet %): birinci kodlayıcı ikili 46,9/17,9, tek taraflı 17,5/27,0; ikinci kodlayıcı ikili 45,3/21,2, tek taraflı 35,4/16,9; iki kodlayıcının uyuştuğu birimler (n = 195) ikili 54,7/17,9, tek taraflı 29,2/20,2.</w:t>
      </w:r>
    </w:p>
    <w:p w14:paraId="67145077" w14:textId="61F759BA" w:rsidR="004724F9" w:rsidRDefault="00FC5974" w:rsidP="001B50BE">
      <w:pPr>
        <w:pStyle w:val="Gvdemetin"/>
      </w:pPr>
      <w:r>
        <w:rPr/>
        <w:t xml:space="preserve">İş birliği dilinin nasıl kurulduğunu iki örnek göstermektedir. İkili belgelerde iki ülke çoğunlukla aynı hedefin ortak öznesi olarak anılır. 2010'da stratejik iş birliği ilişkisinin kurulmasına ilişkin ortak bildiri, "2012'de Türkiye'de düzenlenecek 'Çin Kültür Yılı' ve 2013'te Çin'de düzenlenecek 'Türkiye Kültür Yılı' etkinliklerini en iyi şekilde gerçekleştirmek için tüm gücün seferber edilmesi" hedefini koymaktadır. Çin kaynakları ise İpek Yolu'nu iki ülkeyi birleştiren bir geçmiş olarak anlatır. 2012'deki bir üst düzey görüşmenin özetinde şu ifade yer almaktadır: "Çin ve Türkiye binlerce dağ ve nehirle birbirinden uzak olsa da, kadim İpek Yolu iki köklü halkımızı birbirine bağlamış; el ele insan medeniyetinin dostane mübadelesi ve ortak ilerlemesinin güzel bir sayfasını yazmıştır." Bu ifadede iki ülke arasındaki büyük coğrafi uzaklık bir engel olarak değil, İpek Yolu'nun aştığı bir mesafe olarak sunulmaktadır.</w:t>
      </w:r>
    </w:p>
    <w:p w14:paraId="67145077" w14:textId="61F759BA" w:rsidR="004724F9" w:rsidRDefault="00FC5974" w:rsidP="001B50BE">
      <w:pPr>
        <w:pStyle w:val="Gvdemetin"/>
      </w:pPr>
      <w:r>
        <w:rPr/>
        <w:t xml:space="preserve">Tek taraflı belgelere geçildiğinde tablo değişir, ancak Ö2'nin öngördüğü yönde değil. Tek taraflı belgelerde iş birliği payı %27,4'e düşerken rekabet payı %21,5 ile ikili belgelerdeki düzeyinde kalmaktadır. Azalan iş birliği dilinin yerini rekabet değil, nötr ifadeler almıştır: ikili belgelerde 50 olan nötr birim sayısı tek taraflı belgelerde 92'ye çıkmaktadır. Bu da iki ülkenin kendi kamuoyuna ve turistine seslendiğinde karşı tarafı daha az andığını, ama onu açıkça bir rakip olarak da konumlamadığını göstermektedir. Bu nedenle Ö2 yalnızca kısmen desteklenmektedir. Sonuç kodlayıcıya da duyarlıdır: tek taraflı belgelerdeki rekabet payı birinci kodlayıcının kodlarında %27,0 iken ikinci kodlayıcının kodlarında %16,9'dur.</w:t>
      </w:r>
    </w:p>
    <w:p w14:paraId="67145077" w14:textId="61F759BA" w:rsidR="004724F9" w:rsidRDefault="00FC5974" w:rsidP="001B50BE">
      <w:pPr>
        <w:pStyle w:val="Gvdemetin"/>
      </w:pPr>
      <w:r>
        <w:rPr/>
        <w:t xml:space="preserve">Bu bulgular, turizm açısından iki ülke arasında henüz güçlü bir rekabet zemini oluşmadığını düşündürmektedir. Türkiye ile Çin birbirine çok uzaktır ve aynı turist için doğrudan yarışan iki komşu destinasyon konumunda değildir. Konu İpek Yolu olduğunda ise ortak geçmiş vurgusu öne çıkmakta ve iş birliği dili ağır basmaktadır.</w:t>
      </w:r>
    </w:p>
    <w:p w14:paraId="11F4FB04" w14:textId="34BB8FD9" w:rsidR="002A3F34" w:rsidRDefault="00F6431C" w:rsidP="007055A5">
      <w:pPr>
        <w:pStyle w:val="ikincidzeybalk"/>
      </w:pPr>
      <w:r>
        <w:rPr>
          <w:szCs w:val="22"/>
        </w:rPr>
        <w:t xml:space="preserve">4.3. Alanlara Göre Rekabet Payı</w:t>
      </w:r>
    </w:p>
    <w:p w14:paraId="67145077" w14:textId="61F759BA" w:rsidR="004724F9" w:rsidRDefault="00FC5974" w:rsidP="001B50BE">
      <w:pPr>
        <w:pStyle w:val="Gvdemetin"/>
      </w:pPr>
      <w:r>
        <w:rPr/>
        <w:t xml:space="preserve">Ö3, faaliyet turiste yaklaştıkça rekabet payının artacağını öngörüyordu. Analizden önce belirlenen karar kuralına göre bu öngörü desteklenmemiştir. Nötr birimler paydadan çıkarıldığında rekabet payı bağlantısallıkta %31,8, turist akışında %36,6, anlatıda %32,8 ve değer yakalamada %44,4'tür (Tablo 3). Bu dizi düzenli bir artış göstermediği gibi iki uç arasındaki fark da (12,6 yüzde puan) destek eşiği olan 20 yüzde puanın altında kalmaktadır; sonuç bu nedenle "kısmi" olarak değerlendirilmiştir. Nötr birimler paydaya dahil edildiğinde ise fark ortadan kalkmakta ve sonuç "destek yok"a dönmektedir. Aynı hesap her kodlayıcı için ayrı ayrı ve yalnızca iki kodlayıcının uyuştuğu birimler için yapıldığında da hiçbir sette destek eşiğine ulaşılmamaktadır (Tablo 4). Dolayısıyla bu sonuç, uyuşmazlıkların nasıl çözüldüğünden bağımsızdır.</w:t>
      </w:r>
    </w:p>
    <w:p>
      <w:pPr>
        <w:keepNext/>
        <w:spacing w:before="120" w:after="120"/>
        <w:jc w:val="center"/>
      </w:pPr>
      <w:r>
        <w:rPr>
          <w:b/>
          <w:sz w:val="20"/>
          <w:szCs w:val="20"/>
        </w:rPr>
        <w:t xml:space="preserve">Tablo 3. </w:t>
      </w:r>
      <w:r>
        <w:rPr>
          <w:sz w:val="20"/>
          <w:szCs w:val="20"/>
        </w:rPr>
        <w:t xml:space="preserve">Alanlara Göre Yönelim ve Rekabet Payı</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050"/>
        <w:gridCol w:w="1050"/>
        <w:gridCol w:w="1050"/>
        <w:gridCol w:w="1050"/>
        <w:gridCol w:w="1050"/>
        <w:gridCol w:w="1050"/>
        <w:gridCol w:w="1050"/>
      </w:tblGrid>
      <w:tr>
        <w:trPr>
          <w:tblHeader/>
        </w:trPr>
        <w:tc>
          <w:tcPr>
            <w:tcW w:w="2000" w:type="dxa"/>
            <w:tcBorders>
              <w:bottom w:val="single" w:sz="6" w:space="0" w:color="auto"/>
            </w:tcBorders>
          </w:tcPr>
          <w:p>
            <w:pPr>
              <w:spacing w:before="20" w:after="20"/>
              <w:jc w:val="left"/>
            </w:pPr>
            <w:r>
              <w:rPr>
                <w:b/>
                <w:sz w:val="18"/>
                <w:szCs w:val="18"/>
              </w:rPr>
              <w:t xml:space="preserve">Alan</w:t>
            </w:r>
          </w:p>
        </w:tc>
        <w:tc>
          <w:tcPr>
            <w:tcW w:w="1050" w:type="dxa"/>
            <w:tcBorders>
              <w:bottom w:val="single" w:sz="6" w:space="0" w:color="auto"/>
            </w:tcBorders>
          </w:tcPr>
          <w:p>
            <w:pPr>
              <w:spacing w:before="20" w:after="20"/>
              <w:jc w:val="center"/>
            </w:pPr>
            <w:r>
              <w:rPr>
                <w:b/>
                <w:sz w:val="18"/>
                <w:szCs w:val="18"/>
              </w:rPr>
              <w:t xml:space="preserve">n</w:t>
            </w:r>
          </w:p>
        </w:tc>
        <w:tc>
          <w:tcPr>
            <w:tcW w:w="1050" w:type="dxa"/>
            <w:tcBorders>
              <w:bottom w:val="single" w:sz="6" w:space="0" w:color="auto"/>
            </w:tcBorders>
          </w:tcPr>
          <w:p>
            <w:pPr>
              <w:spacing w:before="20" w:after="20"/>
              <w:jc w:val="center"/>
            </w:pPr>
            <w:r>
              <w:rPr>
                <w:b/>
                <w:sz w:val="18"/>
                <w:szCs w:val="18"/>
              </w:rPr>
              <w:t xml:space="preserve">İş birliği</w:t>
            </w:r>
          </w:p>
        </w:tc>
        <w:tc>
          <w:tcPr>
            <w:tcW w:w="1050" w:type="dxa"/>
            <w:tcBorders>
              <w:bottom w:val="single" w:sz="6" w:space="0" w:color="auto"/>
            </w:tcBorders>
          </w:tcPr>
          <w:p>
            <w:pPr>
              <w:spacing w:before="20" w:after="20"/>
              <w:jc w:val="center"/>
            </w:pPr>
            <w:r>
              <w:rPr>
                <w:b/>
                <w:sz w:val="18"/>
                <w:szCs w:val="18"/>
              </w:rPr>
              <w:t xml:space="preserve">Rekabet</w:t>
            </w:r>
          </w:p>
        </w:tc>
        <w:tc>
          <w:tcPr>
            <w:tcW w:w="1050" w:type="dxa"/>
            <w:tcBorders>
              <w:bottom w:val="single" w:sz="6" w:space="0" w:color="auto"/>
            </w:tcBorders>
          </w:tcPr>
          <w:p>
            <w:pPr>
              <w:spacing w:before="20" w:after="20"/>
              <w:jc w:val="center"/>
            </w:pPr>
            <w:r>
              <w:rPr>
                <w:b/>
                <w:sz w:val="18"/>
                <w:szCs w:val="18"/>
              </w:rPr>
              <w:t xml:space="preserve">Karma</w:t>
            </w:r>
          </w:p>
        </w:tc>
        <w:tc>
          <w:tcPr>
            <w:tcW w:w="1050" w:type="dxa"/>
            <w:tcBorders>
              <w:bottom w:val="single" w:sz="6" w:space="0" w:color="auto"/>
            </w:tcBorders>
          </w:tcPr>
          <w:p>
            <w:pPr>
              <w:spacing w:before="20" w:after="20"/>
              <w:jc w:val="center"/>
            </w:pPr>
            <w:r>
              <w:rPr>
                <w:b/>
                <w:sz w:val="18"/>
                <w:szCs w:val="18"/>
              </w:rPr>
              <w:t xml:space="preserve">Nötr</w:t>
            </w:r>
          </w:p>
        </w:tc>
        <w:tc>
          <w:tcPr>
            <w:tcW w:w="1050" w:type="dxa"/>
            <w:tcBorders>
              <w:bottom w:val="single" w:sz="6" w:space="0" w:color="auto"/>
            </w:tcBorders>
          </w:tcPr>
          <w:p>
            <w:pPr>
              <w:spacing w:before="20" w:after="20"/>
              <w:jc w:val="center"/>
            </w:pPr>
            <w:r>
              <w:rPr>
                <w:b/>
                <w:sz w:val="18"/>
                <w:szCs w:val="18"/>
              </w:rPr>
              <w:t xml:space="preserve">Rekabet % (nötr hariç)</w:t>
            </w:r>
          </w:p>
        </w:tc>
        <w:tc>
          <w:tcPr>
            <w:tcW w:w="1050" w:type="dxa"/>
            <w:tcBorders>
              <w:bottom w:val="single" w:sz="6" w:space="0" w:color="auto"/>
            </w:tcBorders>
          </w:tcPr>
          <w:p>
            <w:pPr>
              <w:spacing w:before="20" w:after="20"/>
              <w:jc w:val="center"/>
            </w:pPr>
            <w:r>
              <w:rPr>
                <w:b/>
                <w:sz w:val="18"/>
                <w:szCs w:val="18"/>
              </w:rPr>
              <w:t xml:space="preserve">Rekabet % (nötr dahil)</w:t>
            </w:r>
          </w:p>
        </w:tc>
      </w:tr>
      <w:tr>
        <w:tc>
          <w:tcPr>
            <w:tcW w:w="2000" w:type="dxa"/>
          </w:tcPr>
          <w:p>
            <w:pPr>
              <w:spacing w:before="20" w:after="20"/>
              <w:jc w:val="left"/>
            </w:pPr>
            <w:r>
              <w:rPr>
                <w:sz w:val="18"/>
                <w:szCs w:val="18"/>
              </w:rPr>
              <w:t xml:space="preserve">Bağlantısallık</w:t>
            </w:r>
          </w:p>
        </w:tc>
        <w:tc>
          <w:tcPr>
            <w:tcW w:w="1050" w:type="dxa"/>
          </w:tcPr>
          <w:p>
            <w:pPr>
              <w:spacing w:before="20" w:after="20"/>
              <w:jc w:val="center"/>
            </w:pPr>
            <w:r>
              <w:rPr>
                <w:sz w:val="18"/>
                <w:szCs w:val="18"/>
              </w:rPr>
              <w:t xml:space="preserve">98</w:t>
            </w:r>
          </w:p>
        </w:tc>
        <w:tc>
          <w:tcPr>
            <w:tcW w:w="1050" w:type="dxa"/>
          </w:tcPr>
          <w:p>
            <w:pPr>
              <w:spacing w:before="20" w:after="20"/>
              <w:jc w:val="center"/>
            </w:pPr>
            <w:r>
              <w:rPr>
                <w:sz w:val="18"/>
                <w:szCs w:val="18"/>
              </w:rPr>
              <w:t xml:space="preserve">45</w:t>
            </w:r>
          </w:p>
        </w:tc>
        <w:tc>
          <w:tcPr>
            <w:tcW w:w="1050" w:type="dxa"/>
          </w:tcPr>
          <w:p>
            <w:pPr>
              <w:spacing w:before="20" w:after="20"/>
              <w:jc w:val="center"/>
            </w:pPr>
            <w:r>
              <w:rPr>
                <w:sz w:val="18"/>
                <w:szCs w:val="18"/>
              </w:rPr>
              <w:t xml:space="preserve">21</w:t>
            </w:r>
          </w:p>
        </w:tc>
        <w:tc>
          <w:tcPr>
            <w:tcW w:w="1050" w:type="dxa"/>
          </w:tcPr>
          <w:p>
            <w:pPr>
              <w:spacing w:before="20" w:after="20"/>
              <w:jc w:val="center"/>
            </w:pPr>
            <w:r>
              <w:rPr>
                <w:sz w:val="18"/>
                <w:szCs w:val="18"/>
              </w:rPr>
              <w:t xml:space="preserve">0</w:t>
            </w:r>
          </w:p>
        </w:tc>
        <w:tc>
          <w:tcPr>
            <w:tcW w:w="1050" w:type="dxa"/>
          </w:tcPr>
          <w:p>
            <w:pPr>
              <w:spacing w:before="20" w:after="20"/>
              <w:jc w:val="center"/>
            </w:pPr>
            <w:r>
              <w:rPr>
                <w:sz w:val="18"/>
                <w:szCs w:val="18"/>
              </w:rPr>
              <w:t xml:space="preserve">32</w:t>
            </w:r>
          </w:p>
        </w:tc>
        <w:tc>
          <w:tcPr>
            <w:tcW w:w="1050" w:type="dxa"/>
          </w:tcPr>
          <w:p>
            <w:pPr>
              <w:spacing w:before="20" w:after="20"/>
              <w:jc w:val="center"/>
            </w:pPr>
            <w:r>
              <w:rPr>
                <w:sz w:val="18"/>
                <w:szCs w:val="18"/>
              </w:rPr>
              <w:t xml:space="preserve">31,8</w:t>
            </w:r>
          </w:p>
        </w:tc>
        <w:tc>
          <w:tcPr>
            <w:tcW w:w="1050" w:type="dxa"/>
          </w:tcPr>
          <w:p>
            <w:pPr>
              <w:spacing w:before="20" w:after="20"/>
              <w:jc w:val="center"/>
            </w:pPr>
            <w:r>
              <w:rPr>
                <w:sz w:val="18"/>
                <w:szCs w:val="18"/>
              </w:rPr>
              <w:t xml:space="preserve">21,4</w:t>
            </w:r>
          </w:p>
        </w:tc>
      </w:tr>
      <w:tr>
        <w:tc>
          <w:tcPr>
            <w:tcW w:w="2000" w:type="dxa"/>
          </w:tcPr>
          <w:p>
            <w:pPr>
              <w:spacing w:before="20" w:after="20"/>
              <w:jc w:val="left"/>
            </w:pPr>
            <w:r>
              <w:rPr>
                <w:sz w:val="18"/>
                <w:szCs w:val="18"/>
              </w:rPr>
              <w:t xml:space="preserve">Turist akışı</w:t>
            </w:r>
          </w:p>
        </w:tc>
        <w:tc>
          <w:tcPr>
            <w:tcW w:w="1050" w:type="dxa"/>
          </w:tcPr>
          <w:p>
            <w:pPr>
              <w:spacing w:before="20" w:after="20"/>
              <w:jc w:val="center"/>
            </w:pPr>
            <w:r>
              <w:rPr>
                <w:sz w:val="18"/>
                <w:szCs w:val="18"/>
              </w:rPr>
              <w:t xml:space="preserve">123</w:t>
            </w:r>
          </w:p>
        </w:tc>
        <w:tc>
          <w:tcPr>
            <w:tcW w:w="1050" w:type="dxa"/>
          </w:tcPr>
          <w:p>
            <w:pPr>
              <w:spacing w:before="20" w:after="20"/>
              <w:jc w:val="center"/>
            </w:pPr>
            <w:r>
              <w:rPr>
                <w:sz w:val="18"/>
                <w:szCs w:val="18"/>
              </w:rPr>
              <w:t xml:space="preserve">49</w:t>
            </w:r>
          </w:p>
        </w:tc>
        <w:tc>
          <w:tcPr>
            <w:tcW w:w="1050" w:type="dxa"/>
          </w:tcPr>
          <w:p>
            <w:pPr>
              <w:spacing w:before="20" w:after="20"/>
              <w:jc w:val="center"/>
            </w:pPr>
            <w:r>
              <w:rPr>
                <w:sz w:val="18"/>
                <w:szCs w:val="18"/>
              </w:rPr>
              <w:t xml:space="preserve">30</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41</w:t>
            </w:r>
          </w:p>
        </w:tc>
        <w:tc>
          <w:tcPr>
            <w:tcW w:w="1050" w:type="dxa"/>
          </w:tcPr>
          <w:p>
            <w:pPr>
              <w:spacing w:before="20" w:after="20"/>
              <w:jc w:val="center"/>
            </w:pPr>
            <w:r>
              <w:rPr>
                <w:sz w:val="18"/>
                <w:szCs w:val="18"/>
              </w:rPr>
              <w:t xml:space="preserve">36,6</w:t>
            </w:r>
          </w:p>
        </w:tc>
        <w:tc>
          <w:tcPr>
            <w:tcW w:w="1050" w:type="dxa"/>
          </w:tcPr>
          <w:p>
            <w:pPr>
              <w:spacing w:before="20" w:after="20"/>
              <w:jc w:val="center"/>
            </w:pPr>
            <w:r>
              <w:rPr>
                <w:sz w:val="18"/>
                <w:szCs w:val="18"/>
              </w:rPr>
              <w:t xml:space="preserve">24,4</w:t>
            </w:r>
          </w:p>
        </w:tc>
      </w:tr>
      <w:tr>
        <w:tc>
          <w:tcPr>
            <w:tcW w:w="2000" w:type="dxa"/>
          </w:tcPr>
          <w:p>
            <w:pPr>
              <w:spacing w:before="20" w:after="20"/>
              <w:jc w:val="left"/>
            </w:pPr>
            <w:r>
              <w:rPr>
                <w:sz w:val="18"/>
                <w:szCs w:val="18"/>
              </w:rPr>
              <w:t xml:space="preserve">Anlatı</w:t>
            </w:r>
          </w:p>
        </w:tc>
        <w:tc>
          <w:tcPr>
            <w:tcW w:w="1050" w:type="dxa"/>
          </w:tcPr>
          <w:p>
            <w:pPr>
              <w:spacing w:before="20" w:after="20"/>
              <w:jc w:val="center"/>
            </w:pPr>
            <w:r>
              <w:rPr>
                <w:sz w:val="18"/>
                <w:szCs w:val="18"/>
              </w:rPr>
              <w:t xml:space="preserve">122</w:t>
            </w:r>
          </w:p>
        </w:tc>
        <w:tc>
          <w:tcPr>
            <w:tcW w:w="1050" w:type="dxa"/>
          </w:tcPr>
          <w:p>
            <w:pPr>
              <w:spacing w:before="20" w:after="20"/>
              <w:jc w:val="center"/>
            </w:pPr>
            <w:r>
              <w:rPr>
                <w:sz w:val="18"/>
                <w:szCs w:val="18"/>
              </w:rPr>
              <w:t xml:space="preserve">40</w:t>
            </w:r>
          </w:p>
        </w:tc>
        <w:tc>
          <w:tcPr>
            <w:tcW w:w="1050" w:type="dxa"/>
          </w:tcPr>
          <w:p>
            <w:pPr>
              <w:spacing w:before="20" w:after="20"/>
              <w:jc w:val="center"/>
            </w:pPr>
            <w:r>
              <w:rPr>
                <w:sz w:val="18"/>
                <w:szCs w:val="18"/>
              </w:rPr>
              <w:t xml:space="preserve">21</w:t>
            </w:r>
          </w:p>
        </w:tc>
        <w:tc>
          <w:tcPr>
            <w:tcW w:w="1050" w:type="dxa"/>
          </w:tcPr>
          <w:p>
            <w:pPr>
              <w:spacing w:before="20" w:after="20"/>
              <w:jc w:val="center"/>
            </w:pPr>
            <w:r>
              <w:rPr>
                <w:sz w:val="18"/>
                <w:szCs w:val="18"/>
              </w:rPr>
              <w:t xml:space="preserve">3</w:t>
            </w:r>
          </w:p>
        </w:tc>
        <w:tc>
          <w:tcPr>
            <w:tcW w:w="1050" w:type="dxa"/>
          </w:tcPr>
          <w:p>
            <w:pPr>
              <w:spacing w:before="20" w:after="20"/>
              <w:jc w:val="center"/>
            </w:pPr>
            <w:r>
              <w:rPr>
                <w:sz w:val="18"/>
                <w:szCs w:val="18"/>
              </w:rPr>
              <w:t xml:space="preserve">58</w:t>
            </w:r>
          </w:p>
        </w:tc>
        <w:tc>
          <w:tcPr>
            <w:tcW w:w="1050" w:type="dxa"/>
          </w:tcPr>
          <w:p>
            <w:pPr>
              <w:spacing w:before="20" w:after="20"/>
              <w:jc w:val="center"/>
            </w:pPr>
            <w:r>
              <w:rPr>
                <w:sz w:val="18"/>
                <w:szCs w:val="18"/>
              </w:rPr>
              <w:t xml:space="preserve">32,8</w:t>
            </w:r>
          </w:p>
        </w:tc>
        <w:tc>
          <w:tcPr>
            <w:tcW w:w="1050" w:type="dxa"/>
          </w:tcPr>
          <w:p>
            <w:pPr>
              <w:spacing w:before="20" w:after="20"/>
              <w:jc w:val="center"/>
            </w:pPr>
            <w:r>
              <w:rPr>
                <w:sz w:val="18"/>
                <w:szCs w:val="18"/>
              </w:rPr>
              <w:t xml:space="preserve">17,2</w:t>
            </w:r>
          </w:p>
        </w:tc>
      </w:tr>
      <w:tr>
        <w:tc>
          <w:tcPr>
            <w:tcW w:w="2000" w:type="dxa"/>
          </w:tcPr>
          <w:p>
            <w:pPr>
              <w:spacing w:before="20" w:after="20"/>
              <w:jc w:val="left"/>
            </w:pPr>
            <w:r>
              <w:rPr>
                <w:sz w:val="18"/>
                <w:szCs w:val="18"/>
              </w:rPr>
              <w:t xml:space="preserve">Değer yakalama</w:t>
            </w:r>
          </w:p>
        </w:tc>
        <w:tc>
          <w:tcPr>
            <w:tcW w:w="1050" w:type="dxa"/>
          </w:tcPr>
          <w:p>
            <w:pPr>
              <w:spacing w:before="20" w:after="20"/>
              <w:jc w:val="center"/>
            </w:pPr>
            <w:r>
              <w:rPr>
                <w:sz w:val="18"/>
                <w:szCs w:val="18"/>
              </w:rPr>
              <w:t xml:space="preserve">20</w:t>
            </w:r>
          </w:p>
        </w:tc>
        <w:tc>
          <w:tcPr>
            <w:tcW w:w="1050" w:type="dxa"/>
          </w:tcPr>
          <w:p>
            <w:pPr>
              <w:spacing w:before="20" w:after="20"/>
              <w:jc w:val="center"/>
            </w:pPr>
            <w:r>
              <w:rPr>
                <w:sz w:val="18"/>
                <w:szCs w:val="18"/>
              </w:rPr>
              <w:t xml:space="preserve">5</w:t>
            </w:r>
          </w:p>
        </w:tc>
        <w:tc>
          <w:tcPr>
            <w:tcW w:w="1050" w:type="dxa"/>
          </w:tcPr>
          <w:p>
            <w:pPr>
              <w:spacing w:before="20" w:after="20"/>
              <w:jc w:val="center"/>
            </w:pPr>
            <w:r>
              <w:rPr>
                <w:sz w:val="18"/>
                <w:szCs w:val="18"/>
              </w:rPr>
              <w:t xml:space="preserve">4</w:t>
            </w:r>
          </w:p>
        </w:tc>
        <w:tc>
          <w:tcPr>
            <w:tcW w:w="1050" w:type="dxa"/>
          </w:tcPr>
          <w:p>
            <w:pPr>
              <w:spacing w:before="20" w:after="20"/>
              <w:jc w:val="center"/>
            </w:pPr>
            <w:r>
              <w:rPr>
                <w:sz w:val="18"/>
                <w:szCs w:val="18"/>
              </w:rPr>
              <w:t xml:space="preserve">0</w:t>
            </w:r>
          </w:p>
        </w:tc>
        <w:tc>
          <w:tcPr>
            <w:tcW w:w="1050" w:type="dxa"/>
          </w:tcPr>
          <w:p>
            <w:pPr>
              <w:spacing w:before="20" w:after="20"/>
              <w:jc w:val="center"/>
            </w:pPr>
            <w:r>
              <w:rPr>
                <w:sz w:val="18"/>
                <w:szCs w:val="18"/>
              </w:rPr>
              <w:t xml:space="preserve">11</w:t>
            </w:r>
          </w:p>
        </w:tc>
        <w:tc>
          <w:tcPr>
            <w:tcW w:w="1050" w:type="dxa"/>
          </w:tcPr>
          <w:p>
            <w:pPr>
              <w:spacing w:before="20" w:after="20"/>
              <w:jc w:val="center"/>
            </w:pPr>
            <w:r>
              <w:rPr>
                <w:sz w:val="18"/>
                <w:szCs w:val="18"/>
              </w:rPr>
              <w:t xml:space="preserve">44,4</w:t>
            </w:r>
          </w:p>
        </w:tc>
        <w:tc>
          <w:tcPr>
            <w:tcW w:w="1050" w:type="dxa"/>
          </w:tcPr>
          <w:p>
            <w:pPr>
              <w:spacing w:before="20" w:after="20"/>
              <w:jc w:val="center"/>
            </w:pPr>
            <w:r>
              <w:rPr>
                <w:sz w:val="18"/>
                <w:szCs w:val="18"/>
              </w:rPr>
              <w:t xml:space="preserve">20,0</w:t>
            </w:r>
          </w:p>
        </w:tc>
      </w:tr>
    </w:tbl>
    <w:p>
      <w:pPr>
        <w:spacing w:before="60" w:after="120"/>
      </w:pPr>
      <w:r>
        <w:rPr>
          <w:b/>
          <w:sz w:val="18"/>
          <w:szCs w:val="18"/>
        </w:rPr>
        <w:t xml:space="preserve">Not: </w:t>
      </w:r>
      <w:r>
        <w:rPr>
          <w:sz w:val="18"/>
          <w:szCs w:val="18"/>
        </w:rPr>
        <w:t xml:space="preserve">Alanlar turiste yakınlık sırasına göre (üstten alta artan) analizden önce sıralanmıştır.</w:t>
      </w:r>
    </w:p>
    <w:p>
      <w:pPr>
        <w:keepNext/>
        <w:spacing w:before="120" w:after="120"/>
        <w:jc w:val="center"/>
      </w:pPr>
      <w:r>
        <w:rPr>
          <w:b/>
          <w:sz w:val="20"/>
          <w:szCs w:val="20"/>
        </w:rPr>
        <w:t xml:space="preserve">Tablo 4. </w:t>
      </w:r>
      <w:r>
        <w:rPr>
          <w:sz w:val="20"/>
          <w:szCs w:val="20"/>
        </w:rPr>
        <w:t xml:space="preserve">Ö3 Karar Kuralının Farklı Kodlama Setlerindeki Sonucu (Rekabet %, Nötr Hariç)</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225"/>
        <w:gridCol w:w="1225"/>
        <w:gridCol w:w="1225"/>
        <w:gridCol w:w="1225"/>
        <w:gridCol w:w="1225"/>
        <w:gridCol w:w="1225"/>
      </w:tblGrid>
      <w:tr>
        <w:trPr>
          <w:tblHeader/>
        </w:trPr>
        <w:tc>
          <w:tcPr>
            <w:tcW w:w="2000" w:type="dxa"/>
            <w:tcBorders>
              <w:bottom w:val="single" w:sz="6" w:space="0" w:color="auto"/>
            </w:tcBorders>
          </w:tcPr>
          <w:p>
            <w:pPr>
              <w:spacing w:before="20" w:after="20"/>
              <w:jc w:val="left"/>
            </w:pPr>
            <w:r>
              <w:rPr>
                <w:b/>
                <w:sz w:val="18"/>
                <w:szCs w:val="18"/>
              </w:rPr>
              <w:t xml:space="preserve">Kodlama seti</w:t>
            </w:r>
          </w:p>
        </w:tc>
        <w:tc>
          <w:tcPr>
            <w:tcW w:w="1225" w:type="dxa"/>
            <w:tcBorders>
              <w:bottom w:val="single" w:sz="6" w:space="0" w:color="auto"/>
            </w:tcBorders>
          </w:tcPr>
          <w:p>
            <w:pPr>
              <w:spacing w:before="20" w:after="20"/>
              <w:jc w:val="center"/>
            </w:pPr>
            <w:r>
              <w:rPr>
                <w:b/>
                <w:sz w:val="18"/>
                <w:szCs w:val="18"/>
              </w:rPr>
              <w:t xml:space="preserve">Bağlantısallık</w:t>
            </w:r>
          </w:p>
        </w:tc>
        <w:tc>
          <w:tcPr>
            <w:tcW w:w="1225" w:type="dxa"/>
            <w:tcBorders>
              <w:bottom w:val="single" w:sz="6" w:space="0" w:color="auto"/>
            </w:tcBorders>
          </w:tcPr>
          <w:p>
            <w:pPr>
              <w:spacing w:before="20" w:after="20"/>
              <w:jc w:val="center"/>
            </w:pPr>
            <w:r>
              <w:rPr>
                <w:b/>
                <w:sz w:val="18"/>
                <w:szCs w:val="18"/>
              </w:rPr>
              <w:t xml:space="preserve">Turist akışı</w:t>
            </w:r>
          </w:p>
        </w:tc>
        <w:tc>
          <w:tcPr>
            <w:tcW w:w="1225" w:type="dxa"/>
            <w:tcBorders>
              <w:bottom w:val="single" w:sz="6" w:space="0" w:color="auto"/>
            </w:tcBorders>
          </w:tcPr>
          <w:p>
            <w:pPr>
              <w:spacing w:before="20" w:after="20"/>
              <w:jc w:val="center"/>
            </w:pPr>
            <w:r>
              <w:rPr>
                <w:b/>
                <w:sz w:val="18"/>
                <w:szCs w:val="18"/>
              </w:rPr>
              <w:t xml:space="preserve">Anlatı</w:t>
            </w:r>
          </w:p>
        </w:tc>
        <w:tc>
          <w:tcPr>
            <w:tcW w:w="1225" w:type="dxa"/>
            <w:tcBorders>
              <w:bottom w:val="single" w:sz="6" w:space="0" w:color="auto"/>
            </w:tcBorders>
          </w:tcPr>
          <w:p>
            <w:pPr>
              <w:spacing w:before="20" w:after="20"/>
              <w:jc w:val="center"/>
            </w:pPr>
            <w:r>
              <w:rPr>
                <w:b/>
                <w:sz w:val="18"/>
                <w:szCs w:val="18"/>
              </w:rPr>
              <w:t xml:space="preserve">Değer yakalama</w:t>
            </w:r>
          </w:p>
        </w:tc>
        <w:tc>
          <w:tcPr>
            <w:tcW w:w="1225" w:type="dxa"/>
            <w:tcBorders>
              <w:bottom w:val="single" w:sz="6" w:space="0" w:color="auto"/>
            </w:tcBorders>
          </w:tcPr>
          <w:p>
            <w:pPr>
              <w:spacing w:before="20" w:after="20"/>
              <w:jc w:val="center"/>
            </w:pPr>
            <w:r>
              <w:rPr>
                <w:b/>
                <w:sz w:val="18"/>
                <w:szCs w:val="18"/>
              </w:rPr>
              <w:t xml:space="preserve">Fark</w:t>
            </w:r>
          </w:p>
        </w:tc>
        <w:tc>
          <w:tcPr>
            <w:tcW w:w="1225" w:type="dxa"/>
            <w:tcBorders>
              <w:bottom w:val="single" w:sz="6" w:space="0" w:color="auto"/>
            </w:tcBorders>
          </w:tcPr>
          <w:p>
            <w:pPr>
              <w:spacing w:before="20" w:after="20"/>
              <w:jc w:val="center"/>
            </w:pPr>
            <w:r>
              <w:rPr>
                <w:b/>
                <w:sz w:val="18"/>
                <w:szCs w:val="18"/>
              </w:rPr>
              <w:t xml:space="preserve">Karar</w:t>
            </w:r>
          </w:p>
        </w:tc>
      </w:tr>
      <w:tr>
        <w:tc>
          <w:tcPr>
            <w:tcW w:w="2000" w:type="dxa"/>
          </w:tcPr>
          <w:p>
            <w:pPr>
              <w:spacing w:before="20" w:after="20"/>
              <w:jc w:val="left"/>
            </w:pPr>
            <w:r>
              <w:rPr>
                <w:sz w:val="18"/>
                <w:szCs w:val="18"/>
              </w:rPr>
              <w:t xml:space="preserve">Çoğunluk (n = 363)</w:t>
            </w:r>
          </w:p>
        </w:tc>
        <w:tc>
          <w:tcPr>
            <w:tcW w:w="1225" w:type="dxa"/>
          </w:tcPr>
          <w:p>
            <w:pPr>
              <w:spacing w:before="20" w:after="20"/>
              <w:jc w:val="center"/>
            </w:pPr>
            <w:r>
              <w:rPr>
                <w:sz w:val="18"/>
                <w:szCs w:val="18"/>
              </w:rPr>
              <w:t xml:space="preserve">31,8</w:t>
            </w:r>
          </w:p>
        </w:tc>
        <w:tc>
          <w:tcPr>
            <w:tcW w:w="1225" w:type="dxa"/>
          </w:tcPr>
          <w:p>
            <w:pPr>
              <w:spacing w:before="20" w:after="20"/>
              <w:jc w:val="center"/>
            </w:pPr>
            <w:r>
              <w:rPr>
                <w:sz w:val="18"/>
                <w:szCs w:val="18"/>
              </w:rPr>
              <w:t xml:space="preserve">36,6</w:t>
            </w:r>
          </w:p>
        </w:tc>
        <w:tc>
          <w:tcPr>
            <w:tcW w:w="1225" w:type="dxa"/>
          </w:tcPr>
          <w:p>
            <w:pPr>
              <w:spacing w:before="20" w:after="20"/>
              <w:jc w:val="center"/>
            </w:pPr>
            <w:r>
              <w:rPr>
                <w:sz w:val="18"/>
                <w:szCs w:val="18"/>
              </w:rPr>
              <w:t xml:space="preserve">32,8</w:t>
            </w:r>
          </w:p>
        </w:tc>
        <w:tc>
          <w:tcPr>
            <w:tcW w:w="1225" w:type="dxa"/>
          </w:tcPr>
          <w:p>
            <w:pPr>
              <w:spacing w:before="20" w:after="20"/>
              <w:jc w:val="center"/>
            </w:pPr>
            <w:r>
              <w:rPr>
                <w:sz w:val="18"/>
                <w:szCs w:val="18"/>
              </w:rPr>
              <w:t xml:space="preserve">44,4</w:t>
            </w:r>
          </w:p>
        </w:tc>
        <w:tc>
          <w:tcPr>
            <w:tcW w:w="1225" w:type="dxa"/>
          </w:tcPr>
          <w:p>
            <w:pPr>
              <w:spacing w:before="20" w:after="20"/>
              <w:jc w:val="center"/>
            </w:pPr>
            <w:r>
              <w:rPr>
                <w:sz w:val="18"/>
                <w:szCs w:val="18"/>
              </w:rPr>
              <w:t xml:space="preserve">+12,6</w:t>
            </w:r>
          </w:p>
        </w:tc>
        <w:tc>
          <w:tcPr>
            <w:tcW w:w="1225" w:type="dxa"/>
          </w:tcPr>
          <w:p>
            <w:pPr>
              <w:spacing w:before="20" w:after="20"/>
              <w:jc w:val="center"/>
            </w:pPr>
            <w:r>
              <w:rPr>
                <w:sz w:val="18"/>
                <w:szCs w:val="18"/>
              </w:rPr>
              <w:t xml:space="preserve">Kısmi</w:t>
            </w:r>
          </w:p>
        </w:tc>
      </w:tr>
      <w:tr>
        <w:tc>
          <w:tcPr>
            <w:tcW w:w="2000" w:type="dxa"/>
          </w:tcPr>
          <w:p>
            <w:pPr>
              <w:spacing w:before="20" w:after="20"/>
              <w:jc w:val="left"/>
            </w:pPr>
            <w:r>
              <w:rPr>
                <w:sz w:val="18"/>
                <w:szCs w:val="18"/>
              </w:rPr>
              <w:t xml:space="preserve">Çoğunluk, nötr dahil</w:t>
            </w:r>
          </w:p>
        </w:tc>
        <w:tc>
          <w:tcPr>
            <w:tcW w:w="1225" w:type="dxa"/>
          </w:tcPr>
          <w:p>
            <w:pPr>
              <w:spacing w:before="20" w:after="20"/>
              <w:jc w:val="center"/>
            </w:pPr>
            <w:r>
              <w:rPr>
                <w:sz w:val="18"/>
                <w:szCs w:val="18"/>
              </w:rPr>
              <w:t xml:space="preserve">21,4</w:t>
            </w:r>
          </w:p>
        </w:tc>
        <w:tc>
          <w:tcPr>
            <w:tcW w:w="1225" w:type="dxa"/>
          </w:tcPr>
          <w:p>
            <w:pPr>
              <w:spacing w:before="20" w:after="20"/>
              <w:jc w:val="center"/>
            </w:pPr>
            <w:r>
              <w:rPr>
                <w:sz w:val="18"/>
                <w:szCs w:val="18"/>
              </w:rPr>
              <w:t xml:space="preserve">24,4</w:t>
            </w:r>
          </w:p>
        </w:tc>
        <w:tc>
          <w:tcPr>
            <w:tcW w:w="1225" w:type="dxa"/>
          </w:tcPr>
          <w:p>
            <w:pPr>
              <w:spacing w:before="20" w:after="20"/>
              <w:jc w:val="center"/>
            </w:pPr>
            <w:r>
              <w:rPr>
                <w:sz w:val="18"/>
                <w:szCs w:val="18"/>
              </w:rPr>
              <w:t xml:space="preserve">17,2</w:t>
            </w:r>
          </w:p>
        </w:tc>
        <w:tc>
          <w:tcPr>
            <w:tcW w:w="1225" w:type="dxa"/>
          </w:tcPr>
          <w:p>
            <w:pPr>
              <w:spacing w:before="20" w:after="20"/>
              <w:jc w:val="center"/>
            </w:pPr>
            <w:r>
              <w:rPr>
                <w:sz w:val="18"/>
                <w:szCs w:val="18"/>
              </w:rPr>
              <w:t xml:space="preserve">20,0</w:t>
            </w:r>
          </w:p>
        </w:tc>
        <w:tc>
          <w:tcPr>
            <w:tcW w:w="1225" w:type="dxa"/>
          </w:tcPr>
          <w:p>
            <w:pPr>
              <w:spacing w:before="20" w:after="20"/>
              <w:jc w:val="center"/>
            </w:pPr>
            <w:r>
              <w:rPr>
                <w:sz w:val="18"/>
                <w:szCs w:val="18"/>
              </w:rPr>
              <w:t xml:space="preserve">−1,4</w:t>
            </w:r>
          </w:p>
        </w:tc>
        <w:tc>
          <w:tcPr>
            <w:tcW w:w="1225" w:type="dxa"/>
          </w:tcPr>
          <w:p>
            <w:pPr>
              <w:spacing w:before="20" w:after="20"/>
              <w:jc w:val="center"/>
            </w:pPr>
            <w:r>
              <w:rPr>
                <w:sz w:val="18"/>
                <w:szCs w:val="18"/>
              </w:rPr>
              <w:t xml:space="preserve">Destek yok</w:t>
            </w:r>
          </w:p>
        </w:tc>
      </w:tr>
      <w:tr>
        <w:tc>
          <w:tcPr>
            <w:tcW w:w="2000" w:type="dxa"/>
          </w:tcPr>
          <w:p>
            <w:pPr>
              <w:spacing w:before="20" w:after="20"/>
              <w:jc w:val="left"/>
            </w:pPr>
            <w:r>
              <w:rPr>
                <w:sz w:val="18"/>
                <w:szCs w:val="18"/>
              </w:rPr>
              <w:t xml:space="preserve">Birinci kodlayıcı</w:t>
            </w:r>
          </w:p>
        </w:tc>
        <w:tc>
          <w:tcPr>
            <w:tcW w:w="1225" w:type="dxa"/>
          </w:tcPr>
          <w:p>
            <w:pPr>
              <w:spacing w:before="20" w:after="20"/>
              <w:jc w:val="center"/>
            </w:pPr>
            <w:r>
              <w:rPr>
                <w:sz w:val="18"/>
                <w:szCs w:val="18"/>
              </w:rPr>
              <w:t xml:space="preserve">41,9</w:t>
            </w:r>
          </w:p>
        </w:tc>
        <w:tc>
          <w:tcPr>
            <w:tcW w:w="1225" w:type="dxa"/>
          </w:tcPr>
          <w:p>
            <w:pPr>
              <w:spacing w:before="20" w:after="20"/>
              <w:jc w:val="center"/>
            </w:pPr>
            <w:r>
              <w:rPr>
                <w:sz w:val="18"/>
                <w:szCs w:val="18"/>
              </w:rPr>
              <w:t xml:space="preserve">35,6</w:t>
            </w:r>
          </w:p>
        </w:tc>
        <w:tc>
          <w:tcPr>
            <w:tcW w:w="1225" w:type="dxa"/>
          </w:tcPr>
          <w:p>
            <w:pPr>
              <w:spacing w:before="20" w:after="20"/>
              <w:jc w:val="center"/>
            </w:pPr>
            <w:r>
              <w:rPr>
                <w:sz w:val="18"/>
                <w:szCs w:val="18"/>
              </w:rPr>
              <w:t xml:space="preserve">40,3</w:t>
            </w:r>
          </w:p>
        </w:tc>
        <w:tc>
          <w:tcPr>
            <w:tcW w:w="1225" w:type="dxa"/>
          </w:tcPr>
          <w:p>
            <w:pPr>
              <w:spacing w:before="20" w:after="20"/>
              <w:jc w:val="center"/>
            </w:pPr>
            <w:r>
              <w:rPr>
                <w:sz w:val="18"/>
                <w:szCs w:val="18"/>
              </w:rPr>
              <w:t xml:space="preserve">33,3</w:t>
            </w:r>
          </w:p>
        </w:tc>
        <w:tc>
          <w:tcPr>
            <w:tcW w:w="1225" w:type="dxa"/>
          </w:tcPr>
          <w:p>
            <w:pPr>
              <w:spacing w:before="20" w:after="20"/>
              <w:jc w:val="center"/>
            </w:pPr>
            <w:r>
              <w:rPr>
                <w:sz w:val="18"/>
                <w:szCs w:val="18"/>
              </w:rPr>
              <w:t xml:space="preserve">−8,6</w:t>
            </w:r>
          </w:p>
        </w:tc>
        <w:tc>
          <w:tcPr>
            <w:tcW w:w="1225" w:type="dxa"/>
          </w:tcPr>
          <w:p>
            <w:pPr>
              <w:spacing w:before="20" w:after="20"/>
              <w:jc w:val="center"/>
            </w:pPr>
            <w:r>
              <w:rPr>
                <w:sz w:val="18"/>
                <w:szCs w:val="18"/>
              </w:rPr>
              <w:t xml:space="preserve">Destek yok</w:t>
            </w:r>
          </w:p>
        </w:tc>
      </w:tr>
      <w:tr>
        <w:tc>
          <w:tcPr>
            <w:tcW w:w="2000" w:type="dxa"/>
          </w:tcPr>
          <w:p>
            <w:pPr>
              <w:spacing w:before="20" w:after="20"/>
              <w:jc w:val="left"/>
            </w:pPr>
            <w:r>
              <w:rPr>
                <w:sz w:val="18"/>
                <w:szCs w:val="18"/>
              </w:rPr>
              <w:t xml:space="preserve">İkinci kodlayıcı</w:t>
            </w:r>
          </w:p>
        </w:tc>
        <w:tc>
          <w:tcPr>
            <w:tcW w:w="1225" w:type="dxa"/>
          </w:tcPr>
          <w:p>
            <w:pPr>
              <w:spacing w:before="20" w:after="20"/>
              <w:jc w:val="center"/>
            </w:pPr>
            <w:r>
              <w:rPr>
                <w:sz w:val="18"/>
                <w:szCs w:val="18"/>
              </w:rPr>
              <w:t xml:space="preserve">22,0</w:t>
            </w:r>
          </w:p>
        </w:tc>
        <w:tc>
          <w:tcPr>
            <w:tcW w:w="1225" w:type="dxa"/>
          </w:tcPr>
          <w:p>
            <w:pPr>
              <w:spacing w:before="20" w:after="20"/>
              <w:jc w:val="center"/>
            </w:pPr>
            <w:r>
              <w:rPr>
                <w:sz w:val="18"/>
                <w:szCs w:val="18"/>
              </w:rPr>
              <w:t xml:space="preserve">37,6</w:t>
            </w:r>
          </w:p>
        </w:tc>
        <w:tc>
          <w:tcPr>
            <w:tcW w:w="1225" w:type="dxa"/>
          </w:tcPr>
          <w:p>
            <w:pPr>
              <w:spacing w:before="20" w:after="20"/>
              <w:jc w:val="center"/>
            </w:pPr>
            <w:r>
              <w:rPr>
                <w:sz w:val="18"/>
                <w:szCs w:val="18"/>
              </w:rPr>
              <w:t xml:space="preserve">31,8</w:t>
            </w:r>
          </w:p>
        </w:tc>
        <w:tc>
          <w:tcPr>
            <w:tcW w:w="1225" w:type="dxa"/>
          </w:tcPr>
          <w:p>
            <w:pPr>
              <w:spacing w:before="20" w:after="20"/>
              <w:jc w:val="center"/>
            </w:pPr>
            <w:r>
              <w:rPr>
                <w:sz w:val="18"/>
                <w:szCs w:val="18"/>
              </w:rPr>
              <w:t xml:space="preserve">33,3</w:t>
            </w:r>
          </w:p>
        </w:tc>
        <w:tc>
          <w:tcPr>
            <w:tcW w:w="1225" w:type="dxa"/>
          </w:tcPr>
          <w:p>
            <w:pPr>
              <w:spacing w:before="20" w:after="20"/>
              <w:jc w:val="center"/>
            </w:pPr>
            <w:r>
              <w:rPr>
                <w:sz w:val="18"/>
                <w:szCs w:val="18"/>
              </w:rPr>
              <w:t xml:space="preserve">+11,3</w:t>
            </w:r>
          </w:p>
        </w:tc>
        <w:tc>
          <w:tcPr>
            <w:tcW w:w="1225" w:type="dxa"/>
          </w:tcPr>
          <w:p>
            <w:pPr>
              <w:spacing w:before="20" w:after="20"/>
              <w:jc w:val="center"/>
            </w:pPr>
            <w:r>
              <w:rPr>
                <w:sz w:val="18"/>
                <w:szCs w:val="18"/>
              </w:rPr>
              <w:t xml:space="preserve">Kısmi</w:t>
            </w:r>
          </w:p>
        </w:tc>
      </w:tr>
      <w:tr>
        <w:tc>
          <w:tcPr>
            <w:tcW w:w="2000" w:type="dxa"/>
          </w:tcPr>
          <w:p>
            <w:pPr>
              <w:spacing w:before="20" w:after="20"/>
              <w:jc w:val="left"/>
            </w:pPr>
            <w:r>
              <w:rPr>
                <w:sz w:val="18"/>
                <w:szCs w:val="18"/>
              </w:rPr>
              <w:t xml:space="preserve">Uyuşulan birimler (n = 195)</w:t>
            </w:r>
          </w:p>
        </w:tc>
        <w:tc>
          <w:tcPr>
            <w:tcW w:w="1225" w:type="dxa"/>
          </w:tcPr>
          <w:p>
            <w:pPr>
              <w:spacing w:before="20" w:after="20"/>
              <w:jc w:val="center"/>
            </w:pPr>
            <w:r>
              <w:rPr>
                <w:sz w:val="18"/>
                <w:szCs w:val="18"/>
              </w:rPr>
              <w:t xml:space="preserve">16,7</w:t>
            </w:r>
          </w:p>
        </w:tc>
        <w:tc>
          <w:tcPr>
            <w:tcW w:w="1225" w:type="dxa"/>
          </w:tcPr>
          <w:p>
            <w:pPr>
              <w:spacing w:before="20" w:after="20"/>
              <w:jc w:val="center"/>
            </w:pPr>
            <w:r>
              <w:rPr>
                <w:sz w:val="18"/>
                <w:szCs w:val="18"/>
              </w:rPr>
              <w:t xml:space="preserve">36,7</w:t>
            </w:r>
          </w:p>
        </w:tc>
        <w:tc>
          <w:tcPr>
            <w:tcW w:w="1225" w:type="dxa"/>
          </w:tcPr>
          <w:p>
            <w:pPr>
              <w:spacing w:before="20" w:after="20"/>
              <w:jc w:val="center"/>
            </w:pPr>
            <w:r>
              <w:rPr>
                <w:sz w:val="18"/>
                <w:szCs w:val="18"/>
              </w:rPr>
              <w:t xml:space="preserve">33,3</w:t>
            </w:r>
          </w:p>
        </w:tc>
        <w:tc>
          <w:tcPr>
            <w:tcW w:w="1225" w:type="dxa"/>
          </w:tcPr>
          <w:p>
            <w:pPr>
              <w:spacing w:before="20" w:after="20"/>
              <w:jc w:val="center"/>
            </w:pPr>
            <w:r>
              <w:rPr>
                <w:sz w:val="18"/>
                <w:szCs w:val="18"/>
              </w:rPr>
              <w:t xml:space="preserve">25,0</w:t>
            </w:r>
          </w:p>
        </w:tc>
        <w:tc>
          <w:tcPr>
            <w:tcW w:w="1225" w:type="dxa"/>
          </w:tcPr>
          <w:p>
            <w:pPr>
              <w:spacing w:before="20" w:after="20"/>
              <w:jc w:val="center"/>
            </w:pPr>
            <w:r>
              <w:rPr>
                <w:sz w:val="18"/>
                <w:szCs w:val="18"/>
              </w:rPr>
              <w:t xml:space="preserve">+8,3</w:t>
            </w:r>
          </w:p>
        </w:tc>
        <w:tc>
          <w:tcPr>
            <w:tcW w:w="1225" w:type="dxa"/>
          </w:tcPr>
          <w:p>
            <w:pPr>
              <w:spacing w:before="20" w:after="20"/>
              <w:jc w:val="center"/>
            </w:pPr>
            <w:r>
              <w:rPr>
                <w:sz w:val="18"/>
                <w:szCs w:val="18"/>
              </w:rPr>
              <w:t xml:space="preserve">Kısmi</w:t>
            </w:r>
          </w:p>
        </w:tc>
      </w:tr>
    </w:tbl>
    <w:p>
      <w:pPr>
        <w:spacing w:before="60" w:after="120"/>
      </w:pPr>
      <w:r>
        <w:rPr>
          <w:b/>
          <w:sz w:val="18"/>
          <w:szCs w:val="18"/>
        </w:rPr>
        <w:t xml:space="preserve">Not: </w:t>
      </w:r>
      <w:r>
        <w:rPr>
          <w:sz w:val="18"/>
          <w:szCs w:val="18"/>
        </w:rPr>
        <w:t xml:space="preserve">Karar kuralı (analizden önce yazıldı): düzenli artış ya da bağlantısallık ile değer yakalama arasındaki farkın en az 20 yüzde puan olması destek; farkın sıfır ya da negatif olması destek yok; arası kısmi destek.</w:t>
      </w:r>
    </w:p>
    <w:p w14:paraId="67145077" w14:textId="61F759BA" w:rsidR="004724F9" w:rsidRDefault="00FC5974" w:rsidP="001B50BE">
      <w:pPr>
        <w:pStyle w:val="Gvdemetin"/>
      </w:pPr>
      <w:r>
        <w:rPr/>
        <w:t xml:space="preserve">Desenin kendisi yine de bilgi vermektedir. Rekabet payı bağlantısallıktan turist akışına geçerken artmakta, ancak anlatıda bu artış sürmemektedir. Değer yakalamadaki yüksek pay ise yanıltıcıdır, çünkü bu alan 363 birimin yalnızca 20'sini oluşturmakta ve bunların da yalnızca 9'u bir yön işareti taşımaktadır. Başka bir deyişle iki ülkenin resmî belgeleri, turist harcamasının hangi tarafta kalacağı sorusunu neredeyse hiç konuşmamaktadır. Bu durum, ülkelerin resmî metinlerde para konuşmamasıyla açıklanabilir: gelirin ve aracı payının paylaşımı, diplomatik metinlerin değil ticari pazarlıkların konusudur. Bu nedenle değer yakalama alanındaki sonuçlar sınırlı kanıt olarak okunmalıdır.</w:t>
      </w:r>
    </w:p>
    <w:p w14:paraId="67145077" w14:textId="61F759BA" w:rsidR="004724F9" w:rsidRDefault="00FC5974" w:rsidP="001B50BE">
      <w:pPr>
        <w:pStyle w:val="Gvdemetin"/>
      </w:pPr>
      <w:r>
        <w:rPr/>
        <w:t xml:space="preserve">Bağlantısallık alanı da Ö3'ün öngördüğü kadar iş birlikçi değildir. Bu alandaki birimlerin önemli bir kısmı iş birliği taşısa da (nötr birimler hariç %68,2), 21 birim rekabet kodu almıştır. Bu birimlerin 18'i Türk kaynaklarından gelmektedir ve ortak özellikleri Türkiye'nin kendini bir merkez, köprü ya da kavşak olarak sunmasıdır; Çin kaynaklı üç birim de kendi kentlerini lojistik merkez olarak öne çıkarmaktadır. Türk kaynaklarındaki bu merkez iddiasının en açık örneği, Türkiye'nin Pekin Büyükelçisi'nin 2018'de Çin'de yayımlanan bir dergiye verdiği mülakattır: "When completed, the new Istanbul Airport will be the world's largest in terms of annual passenger capacity" (Tamamlandığında yeni İstanbul Havalimanı yıllık yolcu kapasitesi bakımından dünyanın en büyüğü olacaktır). Cümlede iki ülkeyi birleştiren ortak bir koridordan değil, Türkiye'nin kendi ulaşım merkezinden söz edilmektedir. Üstelik bu cümle ikili bir belgede, doğrudan Çin kamuoyuna hitap eden bir metinde yer almaktadır. Bu örnek, Türkiye'nin bağlantısallığı yalnızca ortak bir altyapı meselesi olarak değil, bölgesel bir merkez olma hedefinin aracı olarak da gördüğünü göstermektedir.</w:t>
      </w:r>
    </w:p>
    <w:p w14:paraId="11F4FB04" w14:textId="34BB8FD9" w:rsidR="002A3F34" w:rsidRDefault="00F6431C" w:rsidP="007055A5">
      <w:pPr>
        <w:pStyle w:val="ikincidzeybalk"/>
      </w:pPr>
      <w:r>
        <w:rPr>
          <w:szCs w:val="22"/>
        </w:rPr>
        <w:t xml:space="preserve">4.4. Türk ve Çin Kaynaklarının Farkı</w:t>
      </w:r>
    </w:p>
    <w:p w14:paraId="67145077" w14:textId="61F759BA" w:rsidR="004724F9" w:rsidRDefault="00FC5974" w:rsidP="001B50BE">
      <w:pPr>
        <w:pStyle w:val="Gvdemetin"/>
      </w:pPr>
      <w:r>
        <w:rPr/>
        <w:t xml:space="preserve">Bağlantısallıktaki merkez iddiasının büyük ölçüde Türk kaynaklarından gelmesi, iki ülkenin belgeleri arasında genel bir farka işaret etmektedir. Belgeler kaynak tarafına göre ayrıldığında bu fark her alanda görülmektedir (Tablo 5). Türk kaynaklarında nötr birimler hariç rekabet payı bağlantısallıkta %45,0, turist akışında %56,2, anlatıda %55,6 ve değer yakalamada %75,0'tir. Çin kaynaklarında ise aynı pay %13,0 ile %25,0 arasında kalmakta ve alanlar arasında belirgin bir artış göstermemektedir. Başka bir deyişle ayrıştırma ilkesinin öngördüğü desen Türk kaynaklarında ortaya çıkmaktadır: rekabet payı turiste yaklaştıkça artmakta ve iki uç arasındaki fark (30 yüzde puan) destek eşiğini aşmaktadır. Çin kaynaklarında ise rekabet her alanda düşük düzeydedir ve aynı desen görülmemektedir.</w:t>
      </w:r>
    </w:p>
    <w:p>
      <w:pPr>
        <w:keepNext/>
        <w:spacing w:before="120" w:after="120"/>
        <w:jc w:val="center"/>
      </w:pPr>
      <w:r>
        <w:rPr>
          <w:b/>
          <w:sz w:val="20"/>
          <w:szCs w:val="20"/>
        </w:rPr>
        <w:t xml:space="preserve">Tablo 5. </w:t>
      </w:r>
      <w:r>
        <w:rPr>
          <w:sz w:val="20"/>
          <w:szCs w:val="20"/>
        </w:rPr>
        <w:t xml:space="preserve">Kaynak Tarafına Göre Rekabet Payı (%, Nötr Hariç)</w:t>
      </w:r>
    </w:p>
    <w:tbl>
      <w:tblPr>
        <w:tblW w:w="5000" w:type="pct"/>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Pr>
      <w:tblGrid>
        <w:gridCol w:w="2000"/>
        <w:gridCol w:w="1225"/>
        <w:gridCol w:w="1225"/>
        <w:gridCol w:w="1225"/>
        <w:gridCol w:w="1225"/>
        <w:gridCol w:w="1225"/>
        <w:gridCol w:w="1225"/>
      </w:tblGrid>
      <w:tr>
        <w:trPr>
          <w:tblHeader/>
        </w:trPr>
        <w:tc>
          <w:tcPr>
            <w:tcW w:w="2000" w:type="dxa"/>
            <w:tcBorders>
              <w:bottom w:val="single" w:sz="6" w:space="0" w:color="auto"/>
            </w:tcBorders>
          </w:tcPr>
          <w:p>
            <w:pPr>
              <w:spacing w:before="20" w:after="20"/>
              <w:jc w:val="left"/>
            </w:pPr>
            <w:r>
              <w:rPr>
                <w:b/>
                <w:sz w:val="18"/>
                <w:szCs w:val="18"/>
              </w:rPr>
              <w:t xml:space="preserve">Kaynak</w:t>
            </w:r>
          </w:p>
        </w:tc>
        <w:tc>
          <w:tcPr>
            <w:tcW w:w="1225" w:type="dxa"/>
            <w:tcBorders>
              <w:bottom w:val="single" w:sz="6" w:space="0" w:color="auto"/>
            </w:tcBorders>
          </w:tcPr>
          <w:p>
            <w:pPr>
              <w:spacing w:before="20" w:after="20"/>
              <w:jc w:val="center"/>
            </w:pPr>
            <w:r>
              <w:rPr>
                <w:b/>
                <w:sz w:val="18"/>
                <w:szCs w:val="18"/>
              </w:rPr>
              <w:t xml:space="preserve">Bağlantısallık</w:t>
            </w:r>
          </w:p>
        </w:tc>
        <w:tc>
          <w:tcPr>
            <w:tcW w:w="1225" w:type="dxa"/>
            <w:tcBorders>
              <w:bottom w:val="single" w:sz="6" w:space="0" w:color="auto"/>
            </w:tcBorders>
          </w:tcPr>
          <w:p>
            <w:pPr>
              <w:spacing w:before="20" w:after="20"/>
              <w:jc w:val="center"/>
            </w:pPr>
            <w:r>
              <w:rPr>
                <w:b/>
                <w:sz w:val="18"/>
                <w:szCs w:val="18"/>
              </w:rPr>
              <w:t xml:space="preserve">Turist akışı</w:t>
            </w:r>
          </w:p>
        </w:tc>
        <w:tc>
          <w:tcPr>
            <w:tcW w:w="1225" w:type="dxa"/>
            <w:tcBorders>
              <w:bottom w:val="single" w:sz="6" w:space="0" w:color="auto"/>
            </w:tcBorders>
          </w:tcPr>
          <w:p>
            <w:pPr>
              <w:spacing w:before="20" w:after="20"/>
              <w:jc w:val="center"/>
            </w:pPr>
            <w:r>
              <w:rPr>
                <w:b/>
                <w:sz w:val="18"/>
                <w:szCs w:val="18"/>
              </w:rPr>
              <w:t xml:space="preserve">Anlatı</w:t>
            </w:r>
          </w:p>
        </w:tc>
        <w:tc>
          <w:tcPr>
            <w:tcW w:w="1225" w:type="dxa"/>
            <w:tcBorders>
              <w:bottom w:val="single" w:sz="6" w:space="0" w:color="auto"/>
            </w:tcBorders>
          </w:tcPr>
          <w:p>
            <w:pPr>
              <w:spacing w:before="20" w:after="20"/>
              <w:jc w:val="center"/>
            </w:pPr>
            <w:r>
              <w:rPr>
                <w:b/>
                <w:sz w:val="18"/>
                <w:szCs w:val="18"/>
              </w:rPr>
              <w:t xml:space="preserve">Değer yakalama</w:t>
            </w:r>
          </w:p>
        </w:tc>
        <w:tc>
          <w:tcPr>
            <w:tcW w:w="1225" w:type="dxa"/>
            <w:tcBorders>
              <w:bottom w:val="single" w:sz="6" w:space="0" w:color="auto"/>
            </w:tcBorders>
          </w:tcPr>
          <w:p>
            <w:pPr>
              <w:spacing w:before="20" w:after="20"/>
              <w:jc w:val="center"/>
            </w:pPr>
            <w:r>
              <w:rPr>
                <w:b/>
                <w:sz w:val="18"/>
                <w:szCs w:val="18"/>
              </w:rPr>
              <w:t xml:space="preserve">Kendini öne çıkarma %</w:t>
            </w:r>
          </w:p>
        </w:tc>
        <w:tc>
          <w:tcPr>
            <w:tcW w:w="1225" w:type="dxa"/>
            <w:tcBorders>
              <w:bottom w:val="single" w:sz="6" w:space="0" w:color="auto"/>
            </w:tcBorders>
          </w:tcPr>
          <w:p>
            <w:pPr>
              <w:spacing w:before="20" w:after="20"/>
              <w:jc w:val="center"/>
            </w:pPr>
            <w:r>
              <w:rPr>
                <w:b/>
                <w:sz w:val="18"/>
                <w:szCs w:val="18"/>
              </w:rPr>
              <w:t xml:space="preserve">Dışlama %</w:t>
            </w:r>
          </w:p>
        </w:tc>
      </w:tr>
      <w:tr>
        <w:tc>
          <w:tcPr>
            <w:tcW w:w="2000" w:type="dxa"/>
          </w:tcPr>
          <w:p>
            <w:pPr>
              <w:spacing w:before="20" w:after="20"/>
              <w:jc w:val="left"/>
            </w:pPr>
            <w:r>
              <w:rPr>
                <w:sz w:val="18"/>
                <w:szCs w:val="18"/>
              </w:rPr>
              <w:t xml:space="preserve">Türk kaynakları (n = 154)</w:t>
            </w:r>
          </w:p>
        </w:tc>
        <w:tc>
          <w:tcPr>
            <w:tcW w:w="1225" w:type="dxa"/>
          </w:tcPr>
          <w:p>
            <w:pPr>
              <w:spacing w:before="20" w:after="20"/>
              <w:jc w:val="center"/>
            </w:pPr>
            <w:r>
              <w:rPr>
                <w:sz w:val="18"/>
                <w:szCs w:val="18"/>
              </w:rPr>
              <w:t xml:space="preserve">45,0</w:t>
            </w:r>
          </w:p>
        </w:tc>
        <w:tc>
          <w:tcPr>
            <w:tcW w:w="1225" w:type="dxa"/>
          </w:tcPr>
          <w:p>
            <w:pPr>
              <w:spacing w:before="20" w:after="20"/>
              <w:jc w:val="center"/>
            </w:pPr>
            <w:r>
              <w:rPr>
                <w:sz w:val="18"/>
                <w:szCs w:val="18"/>
              </w:rPr>
              <w:t xml:space="preserve">56,2</w:t>
            </w:r>
          </w:p>
        </w:tc>
        <w:tc>
          <w:tcPr>
            <w:tcW w:w="1225" w:type="dxa"/>
          </w:tcPr>
          <w:p>
            <w:pPr>
              <w:spacing w:before="20" w:after="20"/>
              <w:jc w:val="center"/>
            </w:pPr>
            <w:r>
              <w:rPr>
                <w:sz w:val="18"/>
                <w:szCs w:val="18"/>
              </w:rPr>
              <w:t xml:space="preserve">55,6</w:t>
            </w:r>
          </w:p>
        </w:tc>
        <w:tc>
          <w:tcPr>
            <w:tcW w:w="1225" w:type="dxa"/>
          </w:tcPr>
          <w:p>
            <w:pPr>
              <w:spacing w:before="20" w:after="20"/>
              <w:jc w:val="center"/>
            </w:pPr>
            <w:r>
              <w:rPr>
                <w:sz w:val="18"/>
                <w:szCs w:val="18"/>
              </w:rPr>
              <w:t xml:space="preserve">75,0</w:t>
            </w:r>
          </w:p>
        </w:tc>
        <w:tc>
          <w:tcPr>
            <w:tcW w:w="1225" w:type="dxa"/>
          </w:tcPr>
          <w:p>
            <w:pPr>
              <w:spacing w:before="20" w:after="20"/>
              <w:jc w:val="center"/>
            </w:pPr>
            <w:r>
              <w:rPr>
                <w:sz w:val="18"/>
                <w:szCs w:val="18"/>
              </w:rPr>
              <w:t xml:space="preserve">20,8</w:t>
            </w:r>
          </w:p>
        </w:tc>
        <w:tc>
          <w:tcPr>
            <w:tcW w:w="1225" w:type="dxa"/>
          </w:tcPr>
          <w:p>
            <w:pPr>
              <w:spacing w:before="20" w:after="20"/>
              <w:jc w:val="center"/>
            </w:pPr>
            <w:r>
              <w:rPr>
                <w:sz w:val="18"/>
                <w:szCs w:val="18"/>
              </w:rPr>
              <w:t xml:space="preserve">13,6</w:t>
            </w:r>
          </w:p>
        </w:tc>
      </w:tr>
      <w:tr>
        <w:tc>
          <w:tcPr>
            <w:tcW w:w="2000" w:type="dxa"/>
          </w:tcPr>
          <w:p>
            <w:pPr>
              <w:spacing w:before="20" w:after="20"/>
              <w:jc w:val="left"/>
            </w:pPr>
            <w:r>
              <w:rPr>
                <w:sz w:val="18"/>
                <w:szCs w:val="18"/>
              </w:rPr>
              <w:t xml:space="preserve">Çin kaynakları (n = 195)</w:t>
            </w:r>
          </w:p>
        </w:tc>
        <w:tc>
          <w:tcPr>
            <w:tcW w:w="1225" w:type="dxa"/>
          </w:tcPr>
          <w:p>
            <w:pPr>
              <w:spacing w:before="20" w:after="20"/>
              <w:jc w:val="center"/>
            </w:pPr>
            <w:r>
              <w:rPr>
                <w:sz w:val="18"/>
                <w:szCs w:val="18"/>
              </w:rPr>
              <w:t xml:space="preserve">13,0</w:t>
            </w:r>
          </w:p>
        </w:tc>
        <w:tc>
          <w:tcPr>
            <w:tcW w:w="1225" w:type="dxa"/>
          </w:tcPr>
          <w:p>
            <w:pPr>
              <w:spacing w:before="20" w:after="20"/>
              <w:jc w:val="center"/>
            </w:pPr>
            <w:r>
              <w:rPr>
                <w:sz w:val="18"/>
                <w:szCs w:val="18"/>
              </w:rPr>
              <w:t xml:space="preserve">25,0</w:t>
            </w:r>
          </w:p>
        </w:tc>
        <w:tc>
          <w:tcPr>
            <w:tcW w:w="1225" w:type="dxa"/>
          </w:tcPr>
          <w:p>
            <w:pPr>
              <w:spacing w:before="20" w:after="20"/>
              <w:jc w:val="center"/>
            </w:pPr>
            <w:r>
              <w:rPr>
                <w:sz w:val="18"/>
                <w:szCs w:val="18"/>
              </w:rPr>
              <w:t xml:space="preserve">24,4</w:t>
            </w:r>
          </w:p>
        </w:tc>
        <w:tc>
          <w:tcPr>
            <w:tcW w:w="1225" w:type="dxa"/>
          </w:tcPr>
          <w:p>
            <w:pPr>
              <w:spacing w:before="20" w:after="20"/>
              <w:jc w:val="center"/>
            </w:pPr>
            <w:r>
              <w:rPr>
                <w:sz w:val="18"/>
                <w:szCs w:val="18"/>
              </w:rPr>
              <w:t xml:space="preserve">25,0</w:t>
            </w:r>
          </w:p>
        </w:tc>
        <w:tc>
          <w:tcPr>
            <w:tcW w:w="1225" w:type="dxa"/>
          </w:tcPr>
          <w:p>
            <w:pPr>
              <w:spacing w:before="20" w:after="20"/>
              <w:jc w:val="center"/>
            </w:pPr>
            <w:r>
              <w:rPr>
                <w:sz w:val="18"/>
                <w:szCs w:val="18"/>
              </w:rPr>
              <w:t xml:space="preserve">9,2</w:t>
            </w:r>
          </w:p>
        </w:tc>
        <w:tc>
          <w:tcPr>
            <w:tcW w:w="1225" w:type="dxa"/>
          </w:tcPr>
          <w:p>
            <w:pPr>
              <w:spacing w:before="20" w:after="20"/>
              <w:jc w:val="center"/>
            </w:pPr>
            <w:r>
              <w:rPr>
                <w:sz w:val="18"/>
                <w:szCs w:val="18"/>
              </w:rPr>
              <w:t xml:space="preserve">6,2</w:t>
            </w:r>
          </w:p>
        </w:tc>
      </w:tr>
    </w:tbl>
    <w:p>
      <w:pPr>
        <w:spacing w:before="60" w:after="120"/>
      </w:pPr>
      <w:r>
        <w:rPr>
          <w:b/>
          <w:sz w:val="18"/>
          <w:szCs w:val="18"/>
        </w:rPr>
        <w:t xml:space="preserve">Not: </w:t>
      </w:r>
      <w:r>
        <w:rPr>
          <w:sz w:val="18"/>
          <w:szCs w:val="18"/>
        </w:rPr>
        <w:t xml:space="preserve">Ortak belgelerden gelen 14 birim bu tabloya dahil edilmemiştir. Türk kaynaklarında değer yakalama alanındaki değer yalnızca dört birime dayanmaktadır.</w:t>
      </w:r>
    </w:p>
    <w:p w14:paraId="67145077" w14:textId="61F759BA" w:rsidR="004724F9" w:rsidRDefault="00FC5974" w:rsidP="001B50BE">
      <w:pPr>
        <w:pStyle w:val="Gvdemetin"/>
      </w:pPr>
      <w:r>
        <w:rPr/>
        <w:t xml:space="preserve">Bu farkın kaynağı, Türk belgelerinin rekabet işaretlerini daha sık taşımasıdır. Türk kaynaklı birimlerin %20,8'i kendini öne çıkarma, %13,6'sı dışlama işareti taşırken bu oranlar Çin kaynaklarında sırasıyla %9,2 ve %6,2'dir. Fark yalnızca çoğunluk kodlamasına özgü değildir; iki insan kodlayıcının kodlarında da Türk kaynaklarındaki kendini öne çıkarma oranı Çin kaynaklarındakinin yaklaşık iki katıdır. Türk kaynaklarındaki bu işaretlerin tipik biçimi, Türkiye'nin kendini İpek Yolu'nun ve onun bugünkü karşılığı olan ulaşım ağlarının merkezine yerleştirmesidir. Ticaret Bakanı'nın 2023'te Orta Koridor üzerine yaptığı açıklama bunu açıkça göstermektedir: "Buradaki en önemli rolümüz Türkiye bir kavşak ülke. Tedarik ve üretim ülkesi Türkiye, aynı zamanda transit ve kavşak ülke konumunda. Her yol Türkiye'den geçiyor." Bu ifadede İpek Yolu iki ülkenin ortak mirası olarak değil, yolların Türkiye'de kesiştiği bir ağ olarak anlatılmaktadır.</w:t>
      </w:r>
    </w:p>
    <w:p w14:paraId="67145077" w14:textId="61F759BA" w:rsidR="004724F9" w:rsidRDefault="00FC5974" w:rsidP="001B50BE">
      <w:pPr>
        <w:pStyle w:val="Gvdemetin"/>
      </w:pPr>
      <w:r>
        <w:rPr/>
        <w:t xml:space="preserve">Bu bulgular Türkiye'nin İpek Yolu söyleminde merkez olmak istediğini göstermektedir. Türkiye, Çin ile iş birliği yaptığı belgelerde bile kendini köprü, kavşak ya da merkez olarak tanımlamakta; Çin ise aynı alanlarda ağırlıklı olarak ortaklık dilini kullanmaktadır: nötr birimler hariç iş birliği payı Çin kaynaklarında %71,1 ile %87,0 arasında, Türk kaynaklarında ise %25,0 ile %55,0 arasındadır. Yine de taraf ve alan birlikte ele alındığında bazı hücrelerdeki birim sayısı küçüktür; örneğin Türk kaynaklarında değer yakalama alanındaki %75,0'lik rekabet payı yalnızca dört birime dayanmaktadır. Bu nedenle alan düzeyindeki taraf farkları temkinli okunmalıdır.</w:t>
      </w:r>
    </w:p>
    <w:p w14:paraId="11F4FB04" w14:textId="34BB8FD9" w:rsidR="002A3F34" w:rsidRDefault="00F6431C" w:rsidP="007055A5">
      <w:pPr>
        <w:pStyle w:val="ikincidzeybalk"/>
      </w:pPr>
      <w:r>
        <w:rPr>
          <w:szCs w:val="22"/>
        </w:rPr>
        <w:t xml:space="preserve">4.5. Söylem ve Akış</w:t>
      </w:r>
    </w:p>
    <w:p w14:paraId="67145077" w14:textId="61F759BA" w:rsidR="004724F9" w:rsidRDefault="00FC5974" w:rsidP="001B50BE">
      <w:pPr>
        <w:pStyle w:val="Gvdemetin"/>
      </w:pPr>
      <w:r>
        <w:rPr/>
        <w:t xml:space="preserve">Belgelerde iş birliği dilinin baskın olması, bu dilin turist akışına ne ölçüde yansıdığı sorusunu gündeme getirmektedir. Türkiye'ye giriş yapan Çin uyruklu kişi sayısı 2010'da 77.142 iken 2019'da 426.344'e yükselmiştir (Şekil 2). Bu artış düzenli olmamıştır: sayı 2016'da bir önceki yılın neredeyse yarısına düşmüş, COVID-19 salgınıyla birlikte 2021'de 33.641'e gerilemiş ve 2025'te 425.348 ile salgın öncesi düzeyine dönmüştür. Mutlak sayıdaki bu genel artış, aynı dönemde imzalanan anlaşmalar ve düzenlenen tanıtım etkinlikleriyle birlikte okunduğunda Ö4 ile betimsel düzeyde tutarlıdır. Nitekim serinin en yüksek payı, Çin'de Türkiye Turizm Yılı'nın kutlandığı 2018'e denk gelmektedir. Ancak tek bir zaman serisi bu iki gelişme arasında nedensel bir bağ kurmaya izin vermediği için Ö4 yalnızca betimsel olarak değerlendirilebilir.</w:t>
      </w:r>
    </w:p>
    <w:p w14:paraId="67145077" w14:textId="61F759BA" w:rsidR="004724F9" w:rsidRDefault="00FC5974" w:rsidP="001B50BE">
      <w:pPr>
        <w:pStyle w:val="Gvdemetin"/>
      </w:pPr>
      <w:r>
        <w:rPr/>
        <w:t xml:space="preserve">Mutlak artışa karşın Çin uyruklu girişlerin Türkiye'nin yabancı ziyaretçileri içindeki payı küçük kalmıştır. Bu pay hiçbir yıl yüzde biri aşmamış, en yüksek değerine 2018'de %0,998 ile ulaşmış ve 2025'te %0,806 olmuştur. Başka bir deyişle on beş yılı aşan iş birliği söylemi, Çin'den gelen akışı Türkiye'nin ziyaretçi profilinde marjinal bir paydan öteye taşıyamamıştır. Ö5, bu sınırlılığın iki ülke arasındaki rekabetten kaynaklanacağını öngörüyordu. Oysa 4.2 ve 4.4'te görüldüğü gibi belgelerdeki rekabet sınırlıdır ve büyük ölçüde Türk tarafından gelmektedir; bu nedenle akıştaki sınırlılığı rekabetle açıklamak bu veriyle mümkün görünmemektedir. Akışın sınırlı kalmasının daha olası açıklaması iki ülke arasındaki uzaklıktır: iş birliği söylemi ne kadar güçlü olursa olsun, coğrafi uzaklık Çinli turistin Türkiye'ye gelmesini sınırlamaktadır. Böylece 4.2'de iş birliğinin baskınlığını açıklayan uzaklık, söylemin akışa dönüşmemesini de açıklamaktadır.</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t xml:space="preserve">Bu çalışma, firmalar ve destinasyonlar için geliştirilen ayrıştırma ilkesinin iki devlet arasındaki miras turizminde geçerli olup olmadığını sınamıştır. Bulgular ilkenin yalnızca bir bölümünün geçerli olduğunu göstermektedir. Ortak İpek Yolu mirası iki ülke arasında iş birliğini beslemekte (Ö1), ancak rekabetin turiste yaklaştıkça düzenli olarak artacağı öngörüsü (Ö3) desteklenmemektedir. Bunun yerine rekabet, ilkenin öngörmediği bir biçimde, tek taraflı olarak ortaya çıkmaktadır: Türk kaynaklarında rekabet payı turiste yaklaştıkça artarken Çin kaynakları her alanda ortaklık dilini korumaktadır. Başka bir deyişle Bengtsson ve Kock'un (2000) iki aktör arasında tanımladığı ayrışma, Türkiye–Çin ilişkisinde iki tarafın ortak davranışı olarak değil, tek bir tarafın söylem tercihi olarak görülmektedir.</w:t>
      </w:r>
    </w:p>
    <w:p w14:paraId="67145077" w14:textId="61F759BA" w:rsidR="004724F9" w:rsidRDefault="00FC5974" w:rsidP="001B50BE">
      <w:pPr>
        <w:pStyle w:val="Gvdemetin"/>
      </w:pPr>
      <w:r>
        <w:rPr/>
        <w:t xml:space="preserve">Bu tek taraflılığın kaynağı, Türkiye'nin İpek Yolu söyleminde merkez olmak istemesidir. Türk belgeleri Türkiye'yi bir köprü, kavşak ya da ulaşım merkezi olarak tanımlamakta; bu tanım İstanbul Havalimanı örneğinde olduğu gibi Çin kamuoyuna hitap eden belgelerde bile sürmektedir. Bu bulgu, paylaşılan mirasın aynı zamanda sahiplik ve merkez iddiası ürettiğini gösteren literatürle örtüşmekte ve Türkiye'nin başka miras alanlarında da rekabetçi bir anlatı kurduğunu gösteren çalışmaları desteklemektedir (Hisarlıoğlu ve Yanık, 2025; Mozaffari ve Akbar, 2024). Çin tarafında ise aynı rekabet görülmemektedir. Statü bakımından baskın aktörlerin ortaklaşa rekabete daha az yöneldiğini gösteren bulgu (Norheim-Hansen vd., 2026) bu asimetriyi anlamak için bir başlangıç noktası sunabilir; ancak bu çalışmanın verisi Çin'in neden rekabet dilinden kaçındığını açıklamaya yetmemektedir.</w:t>
      </w:r>
    </w:p>
    <w:p w14:paraId="67145077" w14:textId="61F759BA" w:rsidR="004724F9" w:rsidRDefault="00FC5974" w:rsidP="001B50BE">
      <w:pPr>
        <w:pStyle w:val="Gvdemetin"/>
      </w:pPr>
      <w:r>
        <w:rPr/>
        <w:t xml:space="preserve">Değer yakalama alanının neredeyse hiç görünmemesi de kuram açısından bir sınıra işaret etmektedir. Ülkeler resmî metinlerde para konuşmadığı için turist harcamasının paylaşımı diplomatik belgelerde iz bırakmamaktadır. Bu da ayrıştırma ilkesinin müşteriye en yakın basamağının, resmî belgelerle değil ancak ticari verilerle sınanabileceği anlamına gelmektedir.</w:t>
      </w:r>
    </w:p>
    <w:p w14:paraId="67145077" w14:textId="61F759BA" w:rsidR="004724F9" w:rsidRDefault="00FC5974" w:rsidP="001B50BE">
      <w:pPr>
        <w:pStyle w:val="Gvdemetin"/>
      </w:pPr>
      <w:r>
        <w:rPr/>
        <w:t xml:space="preserve">Söylem ile akış arasındaki açık için ise en güçlü açıklama uzaklıktır. Türkiye ile Çin birbirine çok uzaktır ve aynı turist için yarışan iki komşu destinasyon değildir. Bu uzaklık iki sonucu birlikte açıklamaktadır: turizmde güçlü bir rekabet zemini oluşmadığı için İpek Yolu konusunda iş birliği dili ağır basmakta, aynı uzaklık nedeniyle bu dil turiste dönüşmemektedir. Bu sonuç, coğrafi ve kültürel uzaklığın Çinli turist akışını azalttığını gösteren bulgularla uyumludur (Deng ve Hu, 2019). Kuramsal Çerçeve'de rakip açıklama olarak tutulan uzaklık, bu nedenle Ö5'in öngördüğü rekabet açıklamasından daha fazla destek bulmaktadır.</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t xml:space="preserve">Bulgular Türkiye'nin Çin pazarına yönelik turizm politikası için iki çıkarım sunmaktadır. Birincisi söylemle ilgilidir. Türk belgelerinde öne çıkan merkez ve kavşak vurgusu, Çin'in ortaklık diline karşılık gelmemekte ve iki ülkenin anlatısını birbirinden uzaklaştırmaktadır. Çinli turiste ulaşmak için ortak miras dili daha işe yarar görünmektedir: İpek Yolu'nu Türkiye'nin merkezde durduğu bir ağ olarak değil, iki ülkeyi birbirine bağlayan ortak bir geçmiş olarak anlatmak, Çin'in kendi anlatısıyla da uyumludur. İkincisi ulaşımla ilgilidir. Uzaklık akışı sınırlayan temel etken olduğuna göre, bu uzaklığı kısaltan en somut araç iki ülke arasındaki aktarmasız uçuşların artırılmasıdır. Demiryolu koridorları yük taşırken yolcu taşımadığı için (Farmanov vd., 2026), bağlantısallık alanındaki iş birliğinin turiste ulaşması havayolu bağlantısına bağlıdır.</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t xml:space="preserve">Çalışmanın bulguları birkaç sınırlılıkla birlikte okunmalıdır. İlk olarak, incelenen belgeler ölçüt örneklemesiyle seçilmiş resmî metinlerdir ve erişilemeyen 12 belge analiz dışında kalmıştır; bu durum belge seçiminden kaynaklanan bir yanlılığa yol açabilir (Bowen, 2009). İkinci olarak, Çince belgelerin bir bölümü çeviri üzerinden kodlanmıştır. Üçüncü olarak, değer yakalama alanı kavramsal olarak gelir payını ifade etse de bu payı ölçen bir veri bulunmamakta, alan yalnızca 20 birimle temsil edilmektedir. Dördüncü olarak, TÜİK serisi turist sayısı değil sınır giriş kaydıdır ve yalnızca betimsel olarak kullanılmıştır. Son olarak, Sincan'a ilişkin siyasi tartışmanın kapsam dışı bırakılması analitik olduğu kadar siyasi bir tercihtir ve iki ülke ilişkisinin önemli bir boyutunu dışarıda bırakmaktadır.</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t xml:space="preserve">Bu çalışma, Türkiye ile Çin'in İpek Yolu turizm mirası üzerinde yalnızca iş birliği değil, aynı zamanda rekabet de yürütüp yürütmediğini sormuştur. Elde edilen yanıt, ilişkinin kazan-kazan okumasını kısmen doğrulamakta, kısmen de düzeltmektedir. İki ülke ortak belgelerde açıkça iş birliği dilini kullanmaktadır; rekabet ise iki tarafın ortak davranışı değil, büyük ölçüde Türkiye'nin merkez olma isteğinden doğan tek taraflı bir söylemdir. Bu nedenle İpek Yolu mirası Türkiye–Çin ilişkisinde ortaklaşa rekabetin nesnesidir, ancak bu ortaklaşa rekabet simetrik değildir. Uzaklık ise hem iş birliğinin baskınlığını hem de bu iş birliğinin turiste dönüşmemesini açıklamaktadır. </w:t>
      </w:r>
      <w:r>
        <w:rPr>
          <w:highlight w:val="yellow"/>
        </w:rPr>
        <w:t xml:space="preserve">GELECEK ARAŞTIRMA (yazar): bir sonraki çalışma için önerinizi bir cümleyle yazın; örneğin Çinli turistlerle anket, 2026 vize muafiyetinin etkisi ya da aktarmasız uçuşların akışa etkisi.</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the Middle Corridor was aligned with the Belt and Road Initiative in 2015 (Resmî Gazete, 2017), 2018 was the Year of Turkish Tourism in China (Niu &amp; Li, 2019), and from 2 January 2026 Türkiye granted Chinese citizens unilateral visa-free entry (Türkiye Turizm Tanıtım ve Geliştirme Ajansı [TGA], 2026). Yet arrivals of Chinese nationals never exceeded one per cent of all foreign arrivals (Türkiye İstatistik Kurumu [TÜİK], 2026). The Turkish literature explains this gap by technical obstacles because it treats the relationship as a win-win partnership (İbiş, 2019; Kılıç, 2021; Palidan, 2024), whereas heritage politics research shows that "shared" heritage also produces competing claims of ownership (Brown &amp; O'Brien, 2025; Debarbieux et al., 2023). The study therefore asks in which domains the two countries cooperate and compete over Silk Road tourism heritage, whether this follows proximity to the tourist, and how far the cooperation discourse is reflected in arrivals.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The study adopts a critical realist stance and a single embedded case design. It tests the separation principle of Bengtsson and Kock (2000, p. 421), according to which competitors cooperate far from the customer and compete close to it, across four domains ordered in advance by proximity to the tourist: connectivity, tourist flows, narrative and value capture. Systematic document analysis (Bowen, 2009) was applied to 25 bilateral and 24 unilateral official documents, divided into 368 meaning units. Orientation was derived mechanically from three manifest markers: a joint subject, self-promotion, and exclusion. Two independent human coders coded all units (κ = 0.73 for domain, 0.47 for orientation); disagreements were resolved by majority with an independent AI-assisted coding produced before the human coding, and results are also reported for each coder and for agreed units. The decision rule was written before the analysis: a monotonic rise in competition, or a gap of at least 20 percentage points between the two ends, counts as support. Arrivals for 2010–2025 were read descriptively.</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t xml:space="preserve">Cooperation dominates bilateral documents: 49.7% of their units carry cooperation codes and 20.3% competition codes (P1 supported). In unilateral documents cooperation falls to 27.4% while competition stays at 21.5%, the decline being absorbed by neutral statements (P2 partially supported). Excluding neutral units, competition accounts for 31.8% in connectivity, 36.6% in tourist flows, 32.8% in narrative and 44.4% in value capture, the last resting on only 20 units; the series is not monotonic and the gap stays below the threshold, so P3 is not supported under any coding set. Competition is strongly asymmetric: in Turkish sources it rises from 45.0% to 75.0% across the domains, whereas in Chinese sources it stays between 13.0% and 25.0%. Turkish sources present Türkiye as a bridge, crossroads or hub about twice as often as Chinese sources promote themselves; even the Turkish ambassador's interview in a Chinese magazine stressed that the new Istanbul Airport would be the world's largest. Arrivals rose from 138,876 in 2013 to 425,348 in 2025, but their share peaked at 0.998% in 2018 (TÜİK, 2026). This limited and one-sided competition cannot explain the gap, so P5 is not supported; distance is the more plausible explanation.</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t xml:space="preserve">The separation principle travels to inter-state heritage tourism only in part. Türkiye–China coopetition over the Silk Road appears as a one-sided discourse: Türkiye seeks to be the centre, while China keeps to partnership. Value capture is almost absent because states do not discuss money in official texts. Distance explains both the dominance of cooperation and its failure to bring tourists, consistent with evidence that distance reduces Chinese outbound flows (Deng &amp; Hu, 2019). A language of shared heritage is likely to reach Chinese tourists better than an emphasis on Türkiye as a hub, and more direct flights are the most concrete way to shorten the distance. The findings are limited by the selection of official documents, partial reliance on translation, the lack of revenue data and the use of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is the first to carry the separation principle, so far examined among firms and destinations (Chim-Miki &amp; Batista-Canino, 2017a; Wang &amp; Krakover, 2008), to heritage tourism between two states. Existing work addresses the multilateral Silk Road Programme (Redi &amp; Pulido Fernández, 2018) or the Türkiye–China relationship as a whole (Wang &amp; Sun, 2024). By showing that a "shared Silk Road" can carry partnership and ownership claims at once, the study treats the heritage as the object of a one-sided coopetition rather than as a neutral common asset.</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incelenen belgelerin hazırlanması ve Çince metinlerin çevirisi, kodlama şemasının pilot sınaması, insan kodlayıcılar arasındaki uyuşmazlıkların çözümünde bağımsız üçüncü kodlama,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set and translation of Chinese texts, pilot testing of the coding scheme, an independent third coding used to resolve disagreements between the human coders,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