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highlight w:val="yellow"/>
              </w:rPr>
              <w:t xml:space="preserve">ÖZ (150–200 kelime): amaç, yöntem, temel bulgular ve sonuç. Bulgular kesinleşince yazılacak.</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highlight w:val="yellow"/>
              </w:rPr>
              <w:t xml:space="preserve">ABSTRACT (150–200 words): to mirror the Turkish Öz once findings are final.</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aynı tarihî güzergâhın iki ucunda durmaktadır. Bu konum iki ülkenin resmî metinlerinde ortak bir mirasın paylaşımı olarak anlatılır: Türkiye Kuşak ve Yol Girişimi'ni 2015'te Antalya'da imzalanan mutabakat zaptıyla Orta Koridor'la uyumlaştırmış (Resmî Gazete, 2017), 2018 yılı Çin'de Türkiye Turizm Yılı olarak kutlanmış (Niu ve Li, 2019), 2024'te iki ülkenin kültür ve turizm bakanlıkları bir turizm iş birliği mutabakatı imzalamış (Çin Halk Cumhuriyeti Kültür ve Turizm Bakanlığı, 2024), 2 Ocak 2026'dan itibaren Türkiye Çin vatandaşlarına tek taraflı vize muafiyeti tanımıştır (Türkiye Turizm Tanıtım ve Geliştirme Ajansı [TGA], 2026). Bu dizinin ima ettiği beklenti açıktır: miras ortaktır, iş birliği kurulmuştur, turist gelecektir.</w:t>
      </w:r>
    </w:p>
    <w:p w14:paraId="67145077" w14:textId="61F759BA" w:rsidR="004724F9" w:rsidRDefault="00FC5974" w:rsidP="001B50BE">
      <w:pPr>
        <w:pStyle w:val="Gvdemetin"/>
      </w:pPr>
      <w:r>
        <w:rPr/>
        <w:t xml:space="preserve">Veri bu beklentiyi yalnız kısmen karşılamaktadır. Türkiye'ye giriş yapan Çin uyruklu kişi sayısı 2013'te 138.876 iken 2019'da 426.344'e yükselmiş, 2025'te 425.348 olarak gerçekleşmiştir (Türkiye İstatistik Kurumu [TÜİK], 2026). Mutlak artış belirgindir; ancak Çin uyrukluların toplam yabancı girişleri içindeki payı hiçbir yıl yüzde birin üstüne çıkmamış, en yüksek değerine 2018'de (%0,998) ulaşmıştır. On yılı aşan iş birliği söylemi, altyapı anlaşmaları ve tanıtım kampanyaları, dünyanın en büyük kaynak pazarından gelen akışı Türkiye'nin toplam ziyaretçi profili içinde marjinal bir paydan öteye taşıyamamıştır. Söylem ile akış arasındaki bu açık, bu çalışmanın çıkış noktasıdır.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coğrafi uzaklık. Bu çalışma farklı bir yol izlemekte ve ilişkinin kendisini sorgulamaktadır. İki ülke İpek Yolu mirası üzerinde yalnız iş birliği yapmıyor olabilir; aynı mirasın hikâyesini kimin anlatacağı, rotanın merkezinin nerede olduğu ve turist harcamasının hangi tarafta kalacağı konusunda rekabet de ediyor olabilir. Yönetim yazınında ortaklaşa rekabet (coopetition) olarak adlandırılan bu eşzamanlılık, iş birliğinin bazı faaliyetlerde, rekabetin başka faaliyetlerde yoğunlaştığını öngörür. Buradaki soru, bu öngörünün iki devlet arasındaki miras turizminde geçerli olup olmadığıdır.</w:t>
      </w:r>
    </w:p>
    <w:p w14:paraId="67145077" w14:textId="61F759BA" w:rsidR="004724F9" w:rsidRDefault="00FC5974" w:rsidP="001B50BE">
      <w:pPr>
        <w:pStyle w:val="Gvdemetin"/>
      </w:pPr>
      <w:r>
        <w:rPr/>
        <w:t xml:space="preserve">Çalışma iki soruya yanıt aramaktadır.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Çin uyruklu giriş akışına ne ölçüde yansıdığıdır. Yanıt, iki ülkenin ikili ve tek taraflı resmî belgelerinden oluşan 49 belgelik bir korpusun sistematik doküman analizi ile TÜİK'in giriş serisinin betimsel okumasına dayanmaktadır.</w:t>
      </w:r>
    </w:p>
    <w:p w14:paraId="67145077" w14:textId="61F759BA" w:rsidR="004724F9" w:rsidRDefault="00FC5974" w:rsidP="001B50BE">
      <w:pPr>
        <w:pStyle w:val="Gvdemetin"/>
      </w:pPr>
      <w:r>
        <w:rPr/>
        <w:t xml:space="preserve">Çalışmanın katkısı üç düzeydedir. Kuramsal düzeyde, firma ve destinasyon düzeyinde geliştirilen ayrıştırma ilkesi ilk kez iki devlet arasındaki miras turizmine taşınmaktadır. Kavramsal düzeyde, "paylaşılan İpek Yolu" söyleminin ortaklık ile sahiplik iddiasını aynı anda taşıyabildiği gösterilmekte ve İpek Yolu mirası nötr bir ortak varlık değil, ortaklaşa rekabetin nesnesi olarak önerilmektedir. Uygulama düzeyinde ise Türkiye'nin Çin pazarına yönelik politikasının hangi alanlarda iş birliğinden, hangi alanlarda farklılaşmadan yarar sağlayabileceğine dair bir çerçeve sunulmaktadır. Makalenin bundan sonraki kısmı şöyle düzenlenmiştir: Kuramsal Çerçeve bölümü yazındaki iş birliği uzlaşısını, miras siyasetinin bu uzlaşıya itirazını ve ortaklaşa rekabet çerçevesini kurarak beş önermeyi türetmektedir; Yöntem bölümü korpusu, kodlama şemasını ve güvenirlik sürecini anlatmakta; Bulgular bölümü önermeleri sırasıyla değerlendirmekte; Tartışma ve Sonuç bölümü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Yazınında Sınanmamış Bir İş Birliği Uzlaşısı</w:t>
      </w:r>
    </w:p>
    <w:p w14:paraId="67145077" w14:textId="61F759BA" w:rsidR="004724F9" w:rsidRDefault="00FC5974" w:rsidP="001B50BE">
      <w:pPr>
        <w:pStyle w:val="Gvdemetin"/>
      </w:pPr>
      <w:r>
        <w:rPr/>
        <w:t xml:space="preserve">Türkiye ile Çin arasındaki turizm ilişkisini konu alan yazın, ilişkiyi büyük ölçüde Kuşak ve Yol Girişimi'nin açtığı bir karşılıklı kazanç alanı olarak okumaktadır. Turizm, Çin ile girişim güzergâhındaki ülkeler arasında iş birliğinin başlıca alanlarından biri sayılmış, 2018'de Çin'de düzenlenen Türkiye Turizm Yılı da bu iş birliğinin somut göstergesi olarak ele alınmıştır (Niu ve Li, 2019). Türkçe yazında girişimin Türkiye turizmini olumlu etkileyeceği, Çin'den ve diğer Asya ülkelerinden gelen seyahati kolaylaştıracağı ve yeni pazarlar açacağı beklentisi ağır basmaktadır (İbiş, 2019; Kılıç, 2021; Palidan, 2024). Türk devletleri arasındaki turizmi inceleyen nitel bir çalışma da ülkeler arası ilişkiyi ortak tanıtım ve bir çatı örgüt önerisi etrafında, yalnız iş birliği ekseninde kurmaktadır (Tuna vd., 2022). Bu çerçevede sorunlar ilişkinin kendisine değil, iş birliğinin önündeki engellere bağlanır. Güvenlik istikrarsızlığı, iki ülke arasındaki siyasi anlaşmazlıklar ve Çince hizmet veren rehber eksikliği bu engellerin başında gelir (Niu ve Li, 2019; Akyılmaz, 2021).</w:t>
      </w:r>
    </w:p>
    <w:p w14:paraId="67145077" w14:textId="61F759BA" w:rsidR="004724F9" w:rsidRDefault="00FC5974" w:rsidP="001B50BE">
      <w:pPr>
        <w:pStyle w:val="Gvdemetin"/>
      </w:pPr>
      <w:r>
        <w:rPr/>
        <w:t xml:space="preserve">Uzlaşının zayıf noktası, ampirik bulgudan çok beklentiye dayanmasıdır. Girişimin turizmde doğuracağı sinerjiye dair ampirik çalışma eksikliği bu yazının kendi içinden de dile getirilmiş, ortak kalkınma söyleminin ardında kazanımların taraflar arasında nasıl dağılacağı sorusu açık bırakılmıştır (Kılıç, 2021; Zengin ve Koç, 2021). İki ülke ilişkisinin bütününü inceleyen uluslararası ilişkiler yazını ise daha temkinli bir tablo çizer. Bu yazına göre Çin ile Türkiye arasındaki ilişki 2010'dan bu yana düşük düzeyli bir stratejik iş birliğinde kalmış, taraflar birbirini ekonomik ortak, siyasi rakip ve güvenlik rakibi karışımı olarak algılamıştır (Wang ve Sun, 2024). Kuşak ve Yol ile Orta Koridor birbirinden bağımsız geliştirilmiş iki tasarımdır; aralarındaki sinerji büyük ölçüde ikili ilişkinin niteliğine bağlıdır (Chaziza, 2021; Akçay ve Guo, 2023). Turizm yazını iş birliğini başlangıç varsayımı olarak alırken ilişkinin bütününe bakan yazın aynı ikilide rekabetçi rollerin de bulunduğunu göstermektedir. Bu rollerin turizm ve İpek Yolu mirası alanında nasıl dağıldığı ise sınanmamıştır.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Turizm yazınındaki uzlaşının dayandığı zımni varsayım, İpek Yolu mirasının taraflarca aynı yönde değerlendirilen nötr bir ortak varlık olduğudur. Miras diplomasisi yazını bu varsayımı iki yönden sorgular. Bir yandan miras hükümetler arası iş birliğinin ve kültürel yardımın aracıdır; miras diplomasisi kavramı, miras siyasetini büyük ölçüde çatışma ve uyuşmazlık üzerinden okuyan analizleri dengelemek üzere önerilmiştir (Winter, 2015). Bu çalışmada miras diplomasisi, mirasın devletlerarası ilişkilerde iş birliği ve nüfuz aracı olarak kullanılması anlamına gelir ve ortak miras söylemi ile UNESCO adaylıkları üzerinden izlenir. Öte yandan İpek Yolu, İkinci Dünya Savaşı sonrasında barış, uyum ve kültürlerarası diyalogla özdeşleşen romantik bir imgeye dönüşmüş, bu imge içinde İpek Yolu diplomasisi milliyetçi ve jeopolitik hırsların taşıyıcısı olmuştur (Winter, 2020). Kuşak ve Yol bu iki yüzü tek bir tasarımda birleştirir. İpek Yolları iş birliği ve çok sektörlü bağlantısallık için bir platform sunarken Çin'e "medeniyet devleti" sıfatıyla jeokültürel gücünü seferber etme imkânı da tanımaktadır (Winter, 2021a, 2021b).</w:t>
      </w:r>
    </w:p>
    <w:p w14:paraId="67145077" w14:textId="61F759BA" w:rsidR="004724F9" w:rsidRDefault="00FC5974" w:rsidP="001B50BE">
      <w:pPr>
        <w:pStyle w:val="Gvdemetin"/>
      </w:pPr>
      <w:r>
        <w:rPr/>
        <w:t xml:space="preserve">"Paylaşılan miras" ifadesi bu yazında tek bir anlam taşımamaktadır. UNESCO politikaları mirasın uluslararası ölçekte paylaşılmasını teşvik eder; ancak paylaşılmışlık farklı biçimlerde yorumlanmakta ve aktörler arasında birbirine karşıt sahiplenmelere ve rakip toprak senaryolarına yol açmaktadır (Debarbieux vd., 2023). Türkiye bu çekişmenin dışında değildir. Karagöz'ün 2009'da Yunanistan dahil edilmeden aday gösterilmesi iki ülke arasında anlaşmazlık konusu olmuş (Debarbieux vd., 2023), Mevlana ve Nevruz İran ile yürütülen jeostratejik rekabette hem ulus inşasının hem yumuşak gücün aracına dönüşmüştür (Mozaffari ve Akbar, 2024). Geleneksel Türk okçuluğunun mirasa dönüştürülmesi de çok ölçekli, hegemonik bir anlam kurma süreci olarak okunmuştur (Hisarlıoğlu ve Yanık, 2025). Türk tarafının miras üretimi de bu nedenle rekabetçi okumanın kapsamına girer; rekabet yalnız Çin anlatısına özgü bir özellik olarak varsayılamaz.</w:t>
      </w:r>
    </w:p>
    <w:p w14:paraId="67145077" w14:textId="61F759BA" w:rsidR="004724F9" w:rsidRDefault="00FC5974" w:rsidP="001B50BE">
      <w:pPr>
        <w:pStyle w:val="Gvdemetin"/>
      </w:pPr>
      <w:r>
        <w:rPr/>
        <w:t xml:space="preserve">Çin'in İpek Yolu mirasını kurma biçimi aynı çatallanmayı daha büyük bir ölçekte gösterir. Çin'in Kazakistan ve Kırgızistan ile ortak UNESCO adaylığını medya metinlerinde inşa edişini inceleyen bir söylem analizi, iş birliğinin miras paylaşılan bir geçmişe bağ olarak çerçevelendiğinde ortaya çıktığını; aynı metinlerin çatışma ve rekabet belleğinden kaçınan Sinomerkezci bir tarihselleştirme taşıdığını ortaya koymaktadır (Sciorati, 2023). UNESCO İpek Yolları projesinde Çin'in batı rotalarına yaptığı vurgu ve Japonya ile Güney Kore'nin buna verdiği tepkiler de ulusötesi bir miras projesinin rekabetçi yönünü görünür kılmıştır (Nakano, 2023). Turizm metinleri bu eğilimin dışında kalmaz. İpek Yolları sıklıkla "Doğu ile Batı" ya da "Çin ile Roma" arasında bir köprü olarak soyutlanmakta, paylaşılan miras retoriği İpek Yolları'nın Çinlileştirilmesiyle birlikte aldatıcı biçimde dışlayıcı hâle gelmektedir (Brown ve O'Brien, 2025). Avrupa'da da İpek Yolu varlıkları bölgesel destinasyon markası kurmanın bileşeni olarak değerlendirilmektedir (Kostopoulou vd., 2021). "Paylaşılan" sıfatı böylece iki damarda farklı anlamlara ayrılır: turizm yazınında ortaklığı, miras siyaseti yazınında sahiplik iddiasını anlatır. Türkiye'yi Asya ile Avrupa arasında bir köprü olarak konumlayan yerli okuma (Palidan, 2024) ile Çin merkezli tarihselleştirme aynı mirası farklı merkezlerden okumaktadır. İki anlamın Türkiye–Çin ikilisinde aynı anda geçerli olup olamayacağı, ancak iş birliği ile rekabeti birlikte kavrayan bir çerçeveyle sorulabilir.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Ortaklaşa rekabet kavramı, yukarıdaki iki okumayı birbirini dışlayan seçenekler olmaktan çıkarır. Kavram, iki firmanın bazı faaliyetlerde iş birliği yaparken diğer faaliyetlerde eşzamanlı olarak rekabet ettiği ikili ve paradoksal ilişkiyi adlandırır (Bengtsson ve Kock, 2000, s. 412). Aynı yazarların daha önceki vaka çalışması, bir firmanın rakipleriyle aynı anda saf rekabet, saf iş birliği, birlikte var olma ve ortaklaşa rekabet içeren farklı ilişkiler yürütebileceğini göstermişti (Bengtsson ve Kock, 1999). Ortaklaşa rekabette iki etkileşim mantığı taraflar arasında değil faaliyetler arasında bölünür, çünkü aynı faaliyette hem rekabet hem iş birliği yürütülemez (Bengtsson ve Kock, 2000, s. 415). Bölünmenin ölçütünü yazarların ikinci önermesi verir: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neyi ayırdığı, değer oluşturma ile değer yakalama ayrımıyla açıklanabilir. Değer ağı yaklaşımında müşteriler, tedarikçiler, rakipler ve tamamlayıcılar aynı ağın parçalarıdır; aktörler birlikte daha büyük bir pazar oluşturur, ardından bu pazardan pay almak için rekabet eder (Brandenburger ve Nalebuff, 1996). Sonraki kuramsal çalışmalar bu sürecin kazan-kazanla sonuçlanmak zorunda olmadığına dikkat çekmektedir. Ortaklaşa rekabetin sonucu tüm tarafların birlikte değer oluşturması olabileceği gibi, tek bir tarafın değer oluşturması ya da değer yıkımı da olabilir (Gnyawali ve Ryan Charleton, 2018); değer oluşturma ve yakalama ihtiyacı aktörlerin ortaklaşa rekabetçi davranışını yönlendirir (Chou ve Zolkiewski, 2018). Bu çalışmada değer oluşturma, tarafların ortak pazarı büyütmeye yönelik eylemleri (ortak tanıtım, vize ve uçuş kolaylığı, altyapı uyumu) olarak; değer yakalama ise oluşturulan değerden pay alma mücadelesi (rota ya da merkez konumu, marka sahipliği, gelir ve aracı denetimi) olarak tanımlanmaktadır. İlk küme iki ülkeyi aynı yöne çekerken ikinci küme aynı kaynağı farklı yönlere çeker.</w:t>
      </w:r>
    </w:p>
    <w:p w14:paraId="67145077" w14:textId="61F759BA" w:rsidR="004724F9" w:rsidRDefault="00FC5974" w:rsidP="001B50BE">
      <w:pPr>
        <w:pStyle w:val="Gvdemetin"/>
      </w:pPr>
      <w:r>
        <w:rPr/>
        <w:t xml:space="preserve">Turizm yazını kavramı firmadan destinasyona taşımıştır. Destinasyon ağlarındaki yüksek karşılıklı bağımlılık ve tamamlayıcılık, ortaklaşa rekabeti destinasyonun örgütlenme biçimi hâline getirmektedir (Chim-Miki ve Batista-Canino, 2017a); tek bir destinasyonda paydaşlar arasında iş birliği, rekabet ve ortaklaşa rekabet ilişkilerinin bir arada bulunduğu da gösterilmiştir (Wang ve Krakover, 2008). Çok ülkeli marka çalışmaları ayrıştırma ilkesinin turizmdeki karşılığına işaret eder. ASEAN örneğinde destinasyonun ortak ve tutarlı bir konumlandırması önerilirken ulusların rekabetçi konumlandırmasının korunması gerektiği vurgulanmış (Sirisuthikul, 2018), Büyük Körfez Bölgesi'nde de olası ortak marka içinde üyelerin özgünlüğünü koruyan bir yapı önerilmiştir (Kirillova vd., 2020). İki örnekte de iş birliği bölge markasında, rekabet ulusal ya da kentsel konumlandırmada yoğunlaşmaktadır. Ne var ki bu yazın da destinasyon içindeki ağlarda yoğunlaşmış, kavramın çok boyutlu ve göreli bir yapı olarak ele alınması bir araştırma gündemi olarak kalmıştır (Chim-Miki ve Batista-Canino, 2017a).</w:t>
      </w:r>
    </w:p>
    <w:p w14:paraId="67145077" w14:textId="61F759BA" w:rsidR="004724F9" w:rsidRDefault="00FC5974" w:rsidP="001B50BE">
      <w:pPr>
        <w:pStyle w:val="Gvdemetin"/>
      </w:pPr>
      <w:r>
        <w:rPr/>
        <w:t xml:space="preserve">İpek Yolu'na en yakın uygulama, destinasyonlar arası ortaklaşa rekabeti ele alan ve UNWTO İpek Yolu Programı'nı bu türün en büyük girişimi olarak betimleyen çalışmadır (Redi ve Pulido Fernández, 2018). Bu çerçeve çok taraflı bir programın yönetimine bakar; iki devletin aynı miras üzerinde hangi faaliyette birleşip hangisinde ayrıştığı tasarımı gereği kapsamının dışında kalır. Devletlerarası düzeyde kavram ABD ile Çin arasındaki büyük güç ilişkilerine uygulanmış ve ortaklaşa rekabetin çözülüp stratejik rekabete dönüşmesine dair hipotezler önerilmiştir (Wisniewski, 2025). Türkiye–Çin ilişkisini uyumlu, rekabetçi ve çatışan rollerin katmanları olarak okuyan "karmaşık rol" yaklaşımı (Wang ve Sun, 2024) ile bu büyük güç uygulaması ilişkinin bütününü açıklar; iş birliğinin ve rekabetin hangi faaliyette toplandığını sormaz. Güç asimetrisi bu soruyu daha da önemli kılar. Fransa'daki 470 destinasyon üzerinde yapılan bir çalışmada baskın statü ile ortaklaşa rekabet eğilimi arasında negatif ilişki bulunmuştur (Norheim-Hansen vd., 2026). Firma düzeyindeki vakalar ise güçlü bir aktörün zayıf rakibiyle iş birliği kararının ağdaki tüm konumlar ve bunlar arasındaki bağlantılar dikkate alınarak verildiğini göstermektedir (Bengtsson ve Kock, 2000, s. 422). Büyük güç ile orta güç arasındaki bir ikilide ortaklaşa rekabetin hangi biçimi alacağı bu iki bulgudan kestirilemez; arenalara göre ayrı ayrı gözlenmesi gerekir.</w:t>
      </w:r>
    </w:p>
    <w:p w14:paraId="67145077" w14:textId="61F759BA" w:rsidR="004724F9" w:rsidRDefault="00FC5974" w:rsidP="001B50BE">
      <w:pPr>
        <w:pStyle w:val="Gvdemetin"/>
      </w:pPr>
      <w:r>
        <w:rPr/>
        <w:t xml:space="preserve">Ayrıştırma ilkesinin devletlerarası miras turizmine taşınması iki sınır koşulu getirir. Birincisi rakip tanımıdır. Bengtsson ve Kock (2000, s. 415) rakipleri aynı ürünü üreten ve pazarlayan aktörler olarak dar tanımlar ve bu tanımı Brandenburger ile Nalebuff'un geniş tanımından bilinçli olarak ayırır. Türkiye ve Çin bu tanıma İpek Yolu destinasyonu ve anlatı sahibi olarak uymaktadır; Çin'den Türkiye'ye yönelen turist akışında ise Çin kaynak pazar konumundadır. Bu nedenle bu çalışmada rakiplik, İpek Yolu mirası üzerinden uluslararası turiste ve anlatı otoritesine yönelik konumlanma düzleminde tanımlanmaktadır. İkincisi müşteri kavramıdır: firma bağlamındaki müşteri burada turisttir. Bağlantısallık faaliyetleri turistten en uzak, değer yakalama faaliyetleri turiste en yakın konumdadır; bu eşleme özgün çalışmaya değil bu çalışmanın uyarlamasına aittir. İlkenin en güçlü rakip açıklaması da aynı kaynaktan gelir. Fin süt sektöründe iş birliği ile rekabet müşteriye yakınlığa göre değil, ürün ve pazar alanlarına göre ayrışmıştır (Bengtsson ve Kock, 2000, s. 420). Türkiye ile Çin arasında da iş birliği ve rekabet arenalara göre değil, coğrafyalara göre (örneğin Orta Asya rotası ya da üçüncü ülke turistleri) ayrışıyor olabilir. Bu olasılık, Yöntem bölümünde tanımlanan olumsuz vaka analiziyle ayrıca izlenmektedir.</w:t>
      </w:r>
    </w:p>
    <w:p w14:paraId="67145077" w14:textId="61F759BA" w:rsidR="004724F9" w:rsidRDefault="00FC5974" w:rsidP="001B50BE">
      <w:pPr>
        <w:pStyle w:val="Gvdemetin"/>
      </w:pPr>
      <w:r>
        <w:rPr/>
        <w:t xml:space="preserve">Bu çerçevede ortak İpek Yolu mirasının iki ayrı işlevi olabileceği öngörülmektedir. Ortak geçmiş söylemi tarafları aynı pazarı birlikte büyütmeye çağırır; ikili resmî metinlerde iki ülkeyi birlikte özne ve fayda sahibi yapan dil bu işlevin beklenen izidir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Aynı miras rota merkezi, başlangıç noktası ya da köprü iddialarına konu olduğunda pay alma mücadelesinin nesnesine dönüşür. Paylaşılan mirasın karşıt sahiplenmeler ürettiğini gösteren miras siyaseti yazını (Debarbieux vd., 2023; Brown ve O'Brien, 2025), bu işlevin özellikle tek taraflı tanıtım ve politika anlatılarında görünür olmasını beklemeyi gerektirir.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Ayrıştırma ilkesine göre bu iki işlevin ağırlığı faaliyetin müşteriye, burada turiste yakınlığına göre değişmelidir. Ulaşım koridorlarının uyumlaştırılması turistle doğrudan temas etmeyen bir girdi faaliyetidir; tanıtım, anlatı ve turist harcamasının paylaşımı ise turistle temas eden çıktı faaliyetlerine yakındır (Bengtsson ve Kock, 2000).</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İş birliği söyleminin turist akışına dönüşeceği, Türkiye–Çin yazınının açık beklentisidir. Kuşak ve Yol'un kültürel alışverişi teşvik etme, turist akışlarını artırma ve turizm altyapısına yatırım yapma vurgusu taşıdığı belirtilmekte (Palidan, 2024) ve girişimin Türkiye'ye yönelik seyahati kolaylaştıracağı öngörülmektedir (İbiş, 2019). Girişimin İpek Yolları boyunca turizme ve mirasa etkisini derleyen sistematik bir inceleme yeni ürün ve destinasyon geliştirme potansiyelini doğrulamakla birlikte finansal dengesizlikleri ve faydalara eşitsiz erişimi önemli sorunlar arasında saymaktadır (Dayoub vd., 2024). Altyapı kanıtı beklentiyle uyuşmamaktadır. Hazar Ötesi Uluslararası Taşımacılık Güzergâhı (Orta Koridor) 2025'te yaklaşık 5,2 milyon ton yük taşımış, ancak ana ekseninde tarifeli uluslararası yolcu seferi sunmamıştır; Bakü–Tiflis–Kars demiryolu 2017'den bu yana Türkiye'yi Azerbaycan'a bağladığı hâlde kayda değer bir uluslararası turist seferi taşımamaktadır (Farmanov vd., 2026). Bağlantısallık alanındaki iş birliği, en azından demiryolu ekseninde, yük kapasitesi üretmiş, yolcu üretmemiştir. Ayrıştırma ilkesinin öngördüğü gibi iş birliği turistten uzak arenada yoğunlaşıyorsa, iş birliğinin akışa etkisi ancak turiste yakın arenalara aktarıldığı ölçüde beklenebilir.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Akışın neden sınırlı kaldığına dair yazında iki açıklama yan yana durmaktadır ve bu açıklamalar aynı mekanizmaya indirgenemez. Birincisi uzaklıktır. Kuşak ve Yol ülkeleri üzerine kurulan mekânsal panel modellerinde Çin ile destinasyon arasındaki coğrafi ve kültürel uzaklık Çinli turist akışını olumsuz etkilemektedir (Deng ve Hu, 2019). Bu açıklama düşük akışı ilişkinin dışında kalan bir sabite bağlar. İkincisi yönlendirmedir. Çin'de yurt dışı turizm siyasetle iç içedir ve hükümetin dış turizmi siyasi gündemiyle uyumlu biçimde şekillendirdiği görülmektedir (Tse, 2013). Kazakistan'daki paydaşlar Kuşak ve Yol'un ekonomik değerini desteklerken yerel özerkliği ve ülkenin özgün destinasyon markasını zayıflatabileceğinden kaygı duymaktadır (Daye vd., 2020). Türkiye'ye gelen Çinli turistlerin büyük çoğunluğunun seyahatini acenteler aracılığıyla düzenlemesi (İbiş ve Batman, 2018) ve Çinli acentelerin bölge tur içeriğine dair belirgin talepleri (Akyılmaz, 2021) değerin bir kısmının aracılarda kaldığı bir yapıya işaret eder; bu yapıyı ölçen bir çalışma ise bulunmamaktadır. Türkiye'nin jeopolitik yönelişinin Avrupa ve NATO'dan Rusya ve Çin ile güçlenen ilişkilere doğru kaydığının gözlendiği bir dönemde (Cihangir vd., 2022) Çin uyruklu girişlerin sınırlı kalması, uzaklık açıklamasını tek başına yetersiz bırakmaktadır. Bu çalışma yönlendirme ve rekabet açıklamasını önermekte,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bölümün kesiştiği yerde bu çalışmanın konumu belirmektedir. Türkiye–Çin turizm yazını ilişkiyi kazan-kazan bir iş birliği olarak okurken, miras siyaseti yazını paylaşılan İpek Yolu'nun aynı zamanda bir sahiplik çekişmesi olduğunu göstermektedir; ortaklaşa rekabet kuramı ise bu iki okumayı faaliyet düzeyinde birleştirebilecek bir mekanizma sunmakta, fakat bu mekanizma devletlerarası miras turizminde sınanmamış bulunmaktadır. Bu çalışma, ayrıştırma ilkesini Türkiye–Çin İpek Yolu turizmine taşıyarak İpek Yolu mirasının nötr bir ortak varlık değil, ortaklaşa rekabetin nesnesi olduğunu ileri sürmekte ve kazan-kazan okumasının hangi arenalarda geçerli olduğunu, hangilerinde geçersizleştiğini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Çalışma, nitel araştırma geleneği içinde tek durumlu, iç içe birimli bir örnek olay olarak tasarlanmıştır. Durum Türkiye–Çin ikilisidir; analiz birimleri ise İpek Yolu turizmi etrafında tanımlanan dört alandır: bağlantısallık, turist akışı, anlatı ve değer yakalama. Veri, sistematik doküman analizi ile çözümlenmiştir (Bowen, 2009). Doküman analizi, resmî belgelerin hem iş birliği hem de rekabet konumlanmasını görünür kılan söylem kaynakları olduğu varsayımına dayanır; bu nedenle analiz, belgelerin ne söylediğini olduğu kadar neyi söylemediğini de izler.</w:t>
      </w:r>
    </w:p>
    <w:p w14:paraId="67145077" w14:textId="61F759BA" w:rsidR="004724F9" w:rsidRDefault="00FC5974" w:rsidP="001B50BE">
      <w:pPr>
        <w:pStyle w:val="Gvdemetin"/>
      </w:pPr>
      <w:r>
        <w:rPr/>
        <w:t xml:space="preserve">Epistemolojik olarak kritik realist bir tutum benimsenmiştir. Bu tutum, iş birliği ile rekabetin hangi alanda ve neden ayrıştığını açıklayan bir mekanizma arar; belgelerdeki söylemsel izler bu mekanizmanın kendisi değil, gözlemlenebilir göstergeleri olarak ele alınır. Mekanizma olarak Bengtsson ve Kock'un (2000) ayrıştırma ilkesi sınanmıştır: iş birliğinin müşteriden uzak, rekabetin müşteriye yakın faaliyetlerde yoğunlaşması.</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Korpus iki alt kümeden oluşur. Birinci küme (Korpus A), iki ülke arasındaki ikili ve ortak resmî belgeleri içerir: ortak bildiriler, mutabakat zaptları, devlet ve hükümet düzeyindeki görüşme özetleri, büyükelçilik konuşmaları ve ortak turizm ya da kültür yılı metinleri. İkinci küme (Korpus B), iki ülkenin birbirinden bağımsız olarak ürettiği İpek Yolu tanıtım ve politika anlatılarını içerir. Bu ayrım bilinçli bir tasarım kararıdır: ortak belgeler doğaları gereği iş birliği diliyle yazıldığından rekabetin izleri büyük ölçüde tek taraflı anlatılarda aranmalıdır.</w:t>
      </w:r>
    </w:p>
    <w:p w14:paraId="67145077" w14:textId="61F759BA" w:rsidR="004724F9" w:rsidRDefault="00FC5974" w:rsidP="001B50BE">
      <w:pPr>
        <w:pStyle w:val="Gvdemetin"/>
      </w:pPr>
      <w:r>
        <w:rPr/>
        <w:t xml:space="preserve">Belgeler ölçüt örneklemesiyle seçilmiştir. Dahil etme ölçütleri şunlardır: (i) 1 Ocak 2010 ile 30 Eylül 2026 arasında yayımlanmış olmak; (ii) resmî bir kurum ya da resmî yayın organı tarafından yayımlanmış olmak; (iii) turizm, İpek Yolu mirası, halklar arası değişim ya da bağlantısallıktan söz etmek; (iv) tam metnine erişilebilmek. Köşe yazıları ve düşünce kuruluşu yorumları bağlam bilgisi için okunmuş, ancak kodlanmamıştır. Sincan Uygur Özerk Bölgesi'ne ilişkin siyasi tartışmaya odaklanan metinler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Dışişleri Bakanlığı ve Pekin Büyükelçiliği, Kültür ve Turizm Bakanlığı ve il müdürlükleri, Cumhurbaşkanlığı İletişim Başkanlığı, Ticaret Bakanlığı ve GoTürkiye; Çin tarafında ÇHC Dışişleri Bakanlığı, Kültür ve Turizm Bakanlığı, Devlet Konseyi Bilişim Ofisi, Kuşak ve Yol resmî portalı ile il kültür-turizm daireleri başlıca kaynaklardır. Antalya Mutabakat Zaptı'nın (2015) Türkçe metni Resmî Gazete'den (7 Haziran 2017, Sayı 30089) alınmıştır. Resmî metni bulunamayan iki olay için ajans haberleri kullanılmış ve bu durum envanterde işaretlenmiştir. Erişilemeyen 12 belge ayrı bir listede raporlanmış, yerlerine benzer belge konmamıştır.</w:t>
      </w:r>
    </w:p>
    <w:p w14:paraId="67145077" w14:textId="61F759BA" w:rsidR="004724F9" w:rsidRDefault="00FC5974" w:rsidP="001B50BE">
      <w:pPr>
        <w:pStyle w:val="Gvdemetin"/>
      </w:pPr>
      <w:r>
        <w:rPr/>
        <w:t xml:space="preserve">Nihai korpus 49 belgeden oluşmaktadır: Korpus A'da 25 (11 Türk, 12 Çin, 2 ortak), Korpus B'de 24 (12 Türk, 12 Çin) belge. Korpus A'daki belgelerin 5'i 2010–2014, 9'u 2015–2019, 11'i 2020–2026 dönemine aittir. Korpus B'deki Türk kaynaklarının sekizi tarih göstermeyen tanıtım sayfalarıdır; bunlar erişim tarihiyle birlikte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Analiz birimi, tek bir iddia taşıyan cümle ya da kısa paragraftır (anlam birimi). Belgeler toplam 368 anlam birimine ayrılmıştır. Her birim için önce alan belirlenmiştir. Alanlar, turiste yakınlık sırasına göre önceden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Yönelim, yorumlayıcı bir yargıya değil, metinde açıkça görülen üç işarete dayandırılmıştır: (1) ortak özne: iki ülkenin birlikte özne ya da fayda sahibi olarak anılması; (2) kendini öne çıkarma: konuşan tarafın kendini İpek Yolu'nun başlangıcı, merkezi, kapısı ya da köprüsü olarak tanımlaması, kendi koridor ya da marka adını tek başına öne sürmesi veya üstünlük karşılaştırması yapması; (3) dışlama ya da tek taraflılık: ortaklar sayılırken karşı ülkenin atlanması ya da yalnızca bir tarafa yarayan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Kodlama şeması iki aşamada geliştirilmiştir. Pilot aşamada şemanın ilk sürümü yorumlayıcı yargıya dayanıyordu; bu sürümle yazar ile yapay zekâ destekli bir ön kodlama arasındaki yönelim uyumu çok düşük çıkmıştır (κ = 0,05). Uyuşmazlığın kaynağı, iş birliği dili taşıyan diplomatik cümlelerde örtük rekabetin okunup okunmaması olmuştur. Bu bulgu üzerine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birbirinden bağımsız çalışan iki kodlayıcı tarafından yapılmıştır [kodlayıcıların alan ve unvan bilgisi]. Kodlayıcılara kodlama kılavuzu ve uydurma bir örnek verilmiş, birbirleriyle görüşmeden kodlama yapmaları istenmiştir. Kodlayıcılar arası uyum alan için Cohen κ = [ ], yönelim için κ = [ ] olarak hesaplanmıştır. Uyuşmazlıklar [uzlaşma toplantısı / yazar kararı] ile çözülmüş ve kodlama günlüğüne kaydedilmiştir.</w:t>
      </w:r>
    </w:p>
    <w:p w14:paraId="67145077" w14:textId="61F759BA" w:rsidR="004724F9" w:rsidRDefault="00FC5974" w:rsidP="001B50BE">
      <w:pPr>
        <w:pStyle w:val="Gvdemetin"/>
      </w:pPr>
      <w:r>
        <w:rPr/>
        <w:t xml:space="preserve">Analiz betimsel niteliktedir: her alanda rekabet kodlarının payı hesaplanmış, Türk ve Çin kaynakları ayrı ayrı karşılaştırılmıştır. Ayrıştırma ilkesinin desteklenip desteklenmediğine ilişkin karar kuralı veri analizinden önce yazılmıştır: rekabet payının bağlantısallıktan değer yakalamaya doğru düzenli artması ya da iki uç arasındaki farkın en az 20 yüzde puan olması destek olarak kabul edilmiştir. Nötr birimlerin paydaya dahil edilip edilmemesi sonucu etkileyebildiğinden iki hesaplama birlikte raporlanmıştır. Önermeye ters düşen birimler (bağlantısallıkta rekabet, anlatı ve değer yakalamada iş birliği) olumsuz vaka olarak ayrıca incelenmiştir.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Söylem ile gerçekleşen akış arasındaki ilişkiyi değerlendirmek için TÜİK'in Emniyet Genel Müdürlüğü kayıtlarına dayanan "Giriş yapan yabancılar" serisinden 2010–2025 dönemi Çin uyruklu giriş sayıları ve bu sayıların toplam yabancı girişleri içindeki payı kullanılmıştır. Bu seri sınır giriş kaydıdır; turizm dışı ve transit girişleri de içerir, bu nedenle "turist sayısı" olarak değil "Çin uyruklu giriş" olarak adlandırılmıştır. Seri yalnızca betimsel olarak kullanılmış, nedensel bir test yapılmamıştır.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dayandığı, katılımcı ve kişisel veri içermediği için etik kurul izni gerektirmemektedir; dergiye etik kurul iznine gerek olmadığına dair beyan formu sunulmuştur. Yapay zekâ araçlarının kullanımı, dergi politikası uyarınca makale sonundaki beyanda ayrıntılı olarak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yazın;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Tuna, M., Özyurt, B., Dülger, A. S., Türkmen, F., &amp; Uyanık, N. (2022). Türk dünyasında turizmin ülkeler arası iş birliği temelli geliştirilmesine yönelik nitel bir araştırma. </w:t>
      </w:r>
      <w:r>
        <w:rPr>
          <w:szCs w:val="22"/>
          <w:lang w:val="en-US"/>
          <w:i/>
        </w:rPr>
        <w:t xml:space="preserve">Bilig</w:t>
      </w:r>
      <w:r>
        <w:rPr>
          <w:szCs w:val="22"/>
          <w:lang w:val="en-US"/>
        </w:rPr>
        <w:t xml:space="preserve">, 137–176. https://doi.org/10.12995/bilig.10007</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highlight w:val="yellow"/>
        </w:rPr>
        <w:t xml:space="preserve">EXTENDED SUMMARY – Purpose: to be written in English once findings are final (whole summary 750–1,000 words, with in-text citations, no separate reference list).</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highlight w:val="yellow"/>
        </w:rPr>
        <w:t xml:space="preserve">Methodology: single embedded case; systematic document analysis of 49 official documents (368 meaning units); two independent human coders; TÜİK arrivals series 2010–2025 (descriptive).</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Findings: P1–P5 in order; to be filled after the human coding is complete.</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to be filled after Discussion and Conclusion is written by the author.</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highlight w:val="yellow"/>
        </w:rPr>
        <w:t xml:space="preserve">Originality and value: first transfer of the separation principle (Bengtsson &amp; Kock, 2000) to inter-state heritage tourism; the Silk Road heritage as the object of coopetition rather than a neutral shared asset.</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