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100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2"/>
      </w:tblGrid>
      <w:tr w:rsidR="007F7F56" w14:paraId="518F792F" w14:textId="77777777" w:rsidTr="00617863">
        <w:trPr>
          <w:trHeight w:val="266"/>
        </w:trPr>
        <w:tc>
          <w:tcPr>
            <w:tcW w:w="10022" w:type="dxa"/>
            <w:vAlign w:val="bottom"/>
          </w:tcPr>
          <w:p w14:paraId="25B5FBF4" w14:textId="44B4F3D3" w:rsidR="007F7F56" w:rsidRDefault="007F7F56" w:rsidP="00F00CEB">
            <w:pPr>
              <w:pStyle w:val="Balk6"/>
              <w:spacing w:line="276" w:lineRule="auto"/>
              <w:jc w:val="right"/>
              <w:rPr>
                <w:color w:val="C00000"/>
                <w:sz w:val="20"/>
                <w:szCs w:val="20"/>
              </w:rPr>
            </w:pPr>
            <w:r>
              <w:rPr>
                <w:color w:val="auto"/>
                <w:sz w:val="20"/>
                <w:szCs w:val="20"/>
              </w:rPr>
              <w:t>……………………………….. Dergisi</w:t>
            </w:r>
          </w:p>
        </w:tc>
      </w:tr>
      <w:tr w:rsidR="0072045E" w14:paraId="01B2DA6E" w14:textId="77777777" w:rsidTr="00617863">
        <w:trPr>
          <w:trHeight w:val="266"/>
        </w:trPr>
        <w:tc>
          <w:tcPr>
            <w:tcW w:w="10022" w:type="dxa"/>
            <w:vAlign w:val="bottom"/>
          </w:tcPr>
          <w:p w14:paraId="6C6BE165" w14:textId="2AD103D4" w:rsidR="0072045E" w:rsidRPr="00AA5CA5" w:rsidRDefault="00852D1D" w:rsidP="00F00CEB">
            <w:pPr>
              <w:pStyle w:val="Balk6"/>
              <w:spacing w:line="276" w:lineRule="auto"/>
              <w:jc w:val="right"/>
              <w:rPr>
                <w:b w:val="0"/>
                <w:bCs w:val="0"/>
                <w:sz w:val="18"/>
                <w:szCs w:val="18"/>
              </w:rPr>
            </w:pPr>
            <w:r>
              <w:rPr>
                <w:b w:val="0"/>
                <w:bCs w:val="0"/>
                <w:sz w:val="18"/>
                <w:szCs w:val="18"/>
              </w:rPr>
              <w:t>Cilt: X | Sayı: X | Ocak 2026</w:t>
            </w:r>
          </w:p>
        </w:tc>
      </w:tr>
      <w:tr w:rsidR="0072045E" w14:paraId="4D5EF666" w14:textId="77777777" w:rsidTr="00617863">
        <w:trPr>
          <w:trHeight w:val="123"/>
        </w:trPr>
        <w:tc>
          <w:tcPr>
            <w:tcW w:w="10022" w:type="dxa"/>
            <w:vAlign w:val="bottom"/>
          </w:tcPr>
          <w:p w14:paraId="6A3D6FFE" w14:textId="77777777" w:rsidR="00852D1D" w:rsidRPr="00AA5CA5" w:rsidRDefault="00852D1D" w:rsidP="00852D1D">
            <w:pPr>
              <w:pStyle w:val="Balk6"/>
              <w:spacing w:line="276" w:lineRule="auto"/>
              <w:jc w:val="right"/>
              <w:rPr>
                <w:b w:val="0"/>
                <w:bCs w:val="0"/>
                <w:sz w:val="18"/>
                <w:szCs w:val="18"/>
              </w:rPr>
            </w:pPr>
            <w:r>
              <w:rPr>
                <w:b w:val="0"/>
                <w:bCs w:val="0"/>
                <w:sz w:val="18"/>
                <w:szCs w:val="18"/>
              </w:rPr>
              <w:t>E-ISSN: 0000-0000</w:t>
            </w:r>
          </w:p>
          <w:p w14:paraId="45724F74" w14:textId="1314D48A" w:rsidR="0072045E" w:rsidRPr="00AA5CA5" w:rsidRDefault="00852D1D" w:rsidP="00135382">
            <w:pPr>
              <w:pStyle w:val="Balk6"/>
              <w:spacing w:line="276" w:lineRule="auto"/>
              <w:jc w:val="right"/>
              <w:rPr>
                <w:b w:val="0"/>
                <w:bCs w:val="0"/>
                <w:sz w:val="18"/>
                <w:szCs w:val="18"/>
              </w:rPr>
            </w:pPr>
            <w:r>
              <w:rPr>
                <w:rFonts w:eastAsia="Aptos"/>
                <w:b w:val="0"/>
                <w:bCs w:val="0"/>
                <w:color w:val="auto"/>
                <w:kern w:val="2"/>
                <w:sz w:val="18"/>
                <w:szCs w:val="18"/>
                <w14:ligatures w14:val="standardContextual"/>
              </w:rPr>
              <w:t>DOI: 00.0000/bidek.2026-00-0-0</w:t>
            </w:r>
          </w:p>
        </w:tc>
      </w:tr>
      <w:tr w:rsidR="0072045E" w14:paraId="08BFEA6D" w14:textId="77777777" w:rsidTr="00852D1D">
        <w:trPr>
          <w:trHeight w:val="68"/>
        </w:trPr>
        <w:tc>
          <w:tcPr>
            <w:tcW w:w="10022" w:type="dxa"/>
          </w:tcPr>
          <w:p w14:paraId="4F1F8F0E" w14:textId="22362ACE" w:rsidR="00BF2461" w:rsidRPr="003B0238" w:rsidRDefault="00BF2461" w:rsidP="00390913">
            <w:pPr>
              <w:jc w:val="right"/>
              <w:rPr>
                <w:sz w:val="20"/>
                <w:szCs w:val="20"/>
                <w:lang w:eastAsia="tr-TR"/>
              </w:rPr>
            </w:pPr>
            <w:r>
              <w:rPr>
                <w:lang w:eastAsia="tr-TR"/>
              </w:rPr>
              <w:t xml:space="preserve">                                                                                                                                </w:t>
            </w:r>
          </w:p>
        </w:tc>
      </w:tr>
    </w:tbl>
    <w:p w14:paraId="1E341CD0" w14:textId="77777777" w:rsidR="00C1356D" w:rsidRDefault="009D7711" w:rsidP="00E152AE">
      <w:pPr>
        <w:pStyle w:val="1cilbalk"/>
        <w:rPr>
          <w:vertAlign w:val="superscript"/>
        </w:rPr>
      </w:pPr>
      <w:r>
        <w:rPr>
          <w:noProof/>
          <w:color w:val="C00000"/>
          <w:lang w:eastAsia="tr-TR"/>
        </w:rPr>
        <w:drawing>
          <wp:anchor distT="0" distB="0" distL="114300" distR="114300" simplePos="0" relativeHeight="251659264" behindDoc="1" locked="0" layoutInCell="1" allowOverlap="1" wp14:anchorId="6693DE65" wp14:editId="6CFAB646">
            <wp:simplePos x="0" y="0"/>
            <wp:positionH relativeFrom="column">
              <wp:posOffset>-313690</wp:posOffset>
            </wp:positionH>
            <wp:positionV relativeFrom="paragraph">
              <wp:posOffset>-996314</wp:posOffset>
            </wp:positionV>
            <wp:extent cx="6846209" cy="861060"/>
            <wp:effectExtent l="0" t="0" r="0" b="0"/>
            <wp:wrapNone/>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52452" cy="861845"/>
                    </a:xfrm>
                    <a:prstGeom prst="rect">
                      <a:avLst/>
                    </a:prstGeom>
                  </pic:spPr>
                </pic:pic>
              </a:graphicData>
            </a:graphic>
            <wp14:sizeRelH relativeFrom="page">
              <wp14:pctWidth>0</wp14:pctWidth>
            </wp14:sizeRelH>
            <wp14:sizeRelV relativeFrom="page">
              <wp14:pctHeight>0</wp14:pctHeight>
            </wp14:sizeRelV>
          </wp:anchor>
        </w:drawing>
      </w:r>
      <w:r>
        <w:rPr>
          <w:color w:val="C00000"/>
        </w:rPr>
        <w:t xml:space="preserve">TÜRKİYE–ÇİN İLİŞKİLERİNDE ORTAKLAŞA REKABET: İPEK YOLU TURİZMİ</w:t>
      </w:r>
    </w:p>
    <w:p w14:paraId="764917E6" w14:textId="03454D49" w:rsidR="00C1356D" w:rsidRPr="00C1356D" w:rsidRDefault="00C1356D" w:rsidP="00C1356D">
      <w:pPr>
        <w:jc w:val="center"/>
        <w:rPr>
          <w:color w:val="C00000"/>
          <w:lang w:val="en-US" w:eastAsia="tr-TR"/>
        </w:rPr>
        <w:sectPr w:rsidR="00C1356D" w:rsidRPr="00C1356D" w:rsidSect="007B59E8">
          <w:headerReference w:type="even" r:id="rId10"/>
          <w:footerReference w:type="default" r:id="rId11"/>
          <w:pgSz w:w="12240" w:h="15840"/>
          <w:pgMar w:top="1134" w:right="1134" w:bottom="1134" w:left="1418" w:header="709" w:footer="454" w:gutter="0"/>
          <w:cols w:space="708"/>
          <w:docGrid w:linePitch="360"/>
        </w:sectPr>
      </w:pPr>
    </w:p>
    <w:p w14:paraId="303B3653" w14:textId="2493B3FD" w:rsidR="006F6EE3" w:rsidRDefault="006F6EE3" w:rsidP="00E152AE">
      <w:pPr>
        <w:pStyle w:val="2cilbalk"/>
      </w:pPr>
      <w:r>
        <w:t xml:space="preserve">Coopetition in Türkiye–China Relations: Silk Road Tourism</w:t>
      </w:r>
    </w:p>
    <w:p w14:paraId="6D493837" w14:textId="56D8AA05" w:rsidR="006F6EE3" w:rsidRPr="006F6EE3" w:rsidRDefault="006F6EE3" w:rsidP="006F6EE3">
      <w:pPr>
        <w:spacing w:after="120"/>
        <w:jc w:val="center"/>
      </w:pPr>
    </w:p>
    <w:p w14:paraId="2FCFF4C0" w14:textId="77777777" w:rsidR="00810227" w:rsidRPr="00806A4C" w:rsidRDefault="00E20E70" w:rsidP="007578AF">
      <w:pPr>
        <w:spacing w:before="240" w:after="60" w:line="276" w:lineRule="auto"/>
        <w:jc w:val="center"/>
        <w:rPr>
          <w:sz w:val="20"/>
          <w:szCs w:val="21"/>
        </w:rPr>
      </w:pPr>
      <w:bookmarkStart w:id="2" w:name="_Hlk218278084"/>
      <w:bookmarkEnd w:id="2"/>
    </w:p>
    <w:p w14:paraId="191E6724" w14:textId="032B5106" w:rsidR="00BE179B" w:rsidRPr="00806A4C" w:rsidRDefault="00583EFC" w:rsidP="007578AF">
      <w:pPr>
        <w:spacing w:after="120" w:line="276" w:lineRule="auto"/>
        <w:jc w:val="center"/>
        <w:rPr>
          <w:sz w:val="20"/>
          <w:szCs w:val="21"/>
        </w:rPr>
      </w:pPr>
    </w:p>
    <w:p w14:paraId="43FAF4A0" w14:textId="77777777" w:rsidR="00D61121" w:rsidRDefault="00D61121" w:rsidP="00CE4F27">
      <w:pPr>
        <w:pStyle w:val="solstun"/>
        <w:spacing w:before="0" w:after="0"/>
        <w:ind w:left="-108"/>
        <w:rPr>
          <w:b/>
          <w:bCs w:val="0"/>
          <w:color w:val="C00000"/>
        </w:rPr>
        <w:sectPr w:rsidR="00D61121" w:rsidSect="000E3A54">
          <w:type w:val="continuous"/>
          <w:pgSz w:w="12240" w:h="15840"/>
          <w:pgMar w:top="1134" w:right="1134" w:bottom="1134" w:left="1418" w:header="709" w:footer="709" w:gutter="0"/>
          <w:cols w:space="708"/>
          <w:docGrid w:linePitch="360"/>
        </w:sectPr>
      </w:pPr>
    </w:p>
    <w:tbl>
      <w:tblPr>
        <w:tblStyle w:val="TabloKlavuzu"/>
        <w:tblW w:w="5000" w:type="pct"/>
        <w:tblBorders>
          <w:top w:val="single" w:sz="12" w:space="0" w:color="C0000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8004"/>
      </w:tblGrid>
      <w:tr w:rsidR="00AA29C1" w:rsidRPr="009642A0" w14:paraId="0D96D60F" w14:textId="77777777" w:rsidTr="007578AF">
        <w:trPr>
          <w:trHeight w:val="5602"/>
        </w:trPr>
        <w:tc>
          <w:tcPr>
            <w:tcW w:w="869" w:type="pct"/>
          </w:tcPr>
          <w:p w14:paraId="01E5362B" w14:textId="1833F489" w:rsidR="00CE4F27" w:rsidRDefault="00CE4F27" w:rsidP="00CE4F27">
            <w:pPr>
              <w:pStyle w:val="solstun"/>
              <w:spacing w:before="0" w:after="0"/>
              <w:ind w:left="-108"/>
              <w:rPr>
                <w:b/>
                <w:bCs w:val="0"/>
                <w:color w:val="C00000"/>
              </w:rPr>
            </w:pPr>
          </w:p>
          <w:p w14:paraId="02D7CC6F" w14:textId="58089ED2" w:rsidR="00AA29C1" w:rsidRPr="00B568DE" w:rsidRDefault="00AA29C1" w:rsidP="001103F3">
            <w:pPr>
              <w:pStyle w:val="solstun"/>
              <w:spacing w:before="240"/>
              <w:ind w:left="-108" w:right="36"/>
              <w:rPr>
                <w:b/>
                <w:bCs w:val="0"/>
                <w:color w:val="C00000"/>
              </w:rPr>
            </w:pPr>
            <w:r>
              <w:rPr>
                <w:b/>
                <w:bCs w:val="0"/>
                <w:color w:val="C00000"/>
              </w:rPr>
              <w:t>Geliş Tarihi</w:t>
            </w:r>
          </w:p>
          <w:p w14:paraId="5798B720" w14:textId="77777777" w:rsidR="00AA29C1" w:rsidRPr="00AA29C1" w:rsidRDefault="00AA29C1" w:rsidP="00812ED2">
            <w:pPr>
              <w:pStyle w:val="Gelitarihi"/>
            </w:pPr>
            <w:r>
              <w:t>01.01.2000</w:t>
            </w:r>
          </w:p>
          <w:p w14:paraId="0E4650A1" w14:textId="2966D1AB" w:rsidR="00AA29C1" w:rsidRPr="00B568DE" w:rsidRDefault="00AA29C1" w:rsidP="003C7257">
            <w:pPr>
              <w:pStyle w:val="solstun"/>
              <w:spacing w:before="0"/>
              <w:ind w:left="-108" w:right="36"/>
              <w:rPr>
                <w:b/>
                <w:bCs w:val="0"/>
                <w:color w:val="C00000"/>
              </w:rPr>
            </w:pPr>
            <w:r>
              <w:rPr>
                <w:b/>
                <w:bCs w:val="0"/>
                <w:color w:val="C00000"/>
              </w:rPr>
              <w:t>Kabul Tarihi</w:t>
            </w:r>
          </w:p>
          <w:p w14:paraId="56CC9CCB" w14:textId="77777777" w:rsidR="00AA29C1" w:rsidRPr="00AA29C1" w:rsidRDefault="00AA29C1" w:rsidP="00F01D71">
            <w:pPr>
              <w:pStyle w:val="solstun"/>
              <w:spacing w:before="0" w:after="120"/>
              <w:ind w:left="-108" w:right="36"/>
            </w:pPr>
            <w:r>
              <w:t>01.01.2000</w:t>
            </w:r>
          </w:p>
          <w:p w14:paraId="3BB95CF5" w14:textId="68865786" w:rsidR="00AA29C1" w:rsidRPr="00B568DE" w:rsidRDefault="00AA29C1" w:rsidP="003C7257">
            <w:pPr>
              <w:pStyle w:val="solstun"/>
              <w:spacing w:before="0"/>
              <w:ind w:left="-108" w:right="36"/>
              <w:rPr>
                <w:b/>
                <w:bCs w:val="0"/>
                <w:color w:val="C00000"/>
              </w:rPr>
            </w:pPr>
            <w:r>
              <w:rPr>
                <w:b/>
                <w:bCs w:val="0"/>
                <w:color w:val="C00000"/>
              </w:rPr>
              <w:t>Yayın Tarihi</w:t>
            </w:r>
          </w:p>
          <w:p w14:paraId="26F793ED" w14:textId="77777777" w:rsidR="00AA29C1" w:rsidRPr="00AA29C1" w:rsidRDefault="00AA29C1" w:rsidP="00F01D71">
            <w:pPr>
              <w:pStyle w:val="solstun"/>
              <w:spacing w:before="0" w:after="120"/>
              <w:ind w:left="-108" w:right="36"/>
            </w:pPr>
            <w:r>
              <w:t>01.01.2000</w:t>
            </w:r>
          </w:p>
          <w:p w14:paraId="44838988" w14:textId="2C2322B4" w:rsidR="00AA29C1" w:rsidRDefault="005A44B8" w:rsidP="00F01D71">
            <w:pPr>
              <w:pStyle w:val="solstun"/>
              <w:ind w:left="-108" w:right="36"/>
            </w:pPr>
            <w:r>
              <w:rPr>
                <w:b/>
                <w:bCs w:val="0"/>
                <w:color w:val="C00000"/>
              </w:rPr>
              <w:t>Anahtar Kelimeler</w:t>
            </w:r>
          </w:p>
          <w:p w14:paraId="255FEF0B" w14:textId="12C2A4E3" w:rsidR="00A27FA1" w:rsidRDefault="00A27FA1" w:rsidP="00F01D71">
            <w:pPr>
              <w:pStyle w:val="solstun"/>
              <w:spacing w:before="0" w:after="0"/>
              <w:ind w:left="-108" w:right="36"/>
            </w:pPr>
            <w:r>
              <w:t xml:space="preserve">Ortaklaşa Rekabet,</w:t>
            </w:r>
          </w:p>
          <w:p w14:paraId="587C3ADB" w14:textId="362C7957" w:rsidR="00E465D0" w:rsidRDefault="00E465D0" w:rsidP="00F01D71">
            <w:pPr>
              <w:pStyle w:val="solstun"/>
              <w:spacing w:before="0" w:after="0"/>
              <w:ind w:left="-108" w:right="36"/>
            </w:pPr>
            <w:r>
              <w:t xml:space="preserve">İpek Yolu Turizmi,</w:t>
            </w:r>
          </w:p>
          <w:p w14:paraId="19712831" w14:textId="7163147A" w:rsidR="00AA69CE" w:rsidRDefault="00E465D0" w:rsidP="00F01D71">
            <w:pPr>
              <w:pStyle w:val="solstun"/>
              <w:spacing w:before="0" w:after="0"/>
              <w:ind w:left="-108" w:right="36"/>
            </w:pPr>
            <w:r>
              <w:t xml:space="preserve">Miras Diplomasisi,</w:t>
            </w:r>
          </w:p>
          <w:p w14:paraId="58C8976D" w14:textId="6986F243" w:rsidR="00AA69CE" w:rsidRDefault="00AA69CE" w:rsidP="00F01D71">
            <w:pPr>
              <w:pStyle w:val="solstun"/>
              <w:spacing w:before="0" w:after="0"/>
              <w:ind w:left="-108" w:right="36"/>
            </w:pPr>
            <w:r>
              <w:t xml:space="preserve">Türkiye–Çin İlişkileri,</w:t>
            </w:r>
          </w:p>
          <w:p w14:paraId="4DFCC3D8" w14:textId="50D77995" w:rsidR="00AA69CE" w:rsidRDefault="00AA69CE" w:rsidP="0098632F">
            <w:pPr>
              <w:pStyle w:val="solstun"/>
              <w:spacing w:before="0" w:after="0"/>
              <w:ind w:left="-108" w:right="36"/>
            </w:pPr>
            <w:r>
              <w:t xml:space="preserve">Ayrıştırma İlkesi.</w:t>
            </w:r>
          </w:p>
          <w:p w14:paraId="6F607963" w14:textId="77777777" w:rsidR="00CF3A67" w:rsidRDefault="00CF3A67" w:rsidP="001103F3">
            <w:pPr>
              <w:pStyle w:val="solstun"/>
              <w:spacing w:before="0"/>
              <w:ind w:right="36"/>
            </w:pPr>
          </w:p>
          <w:p w14:paraId="2D8EBA9E" w14:textId="77777777" w:rsidR="0098632F" w:rsidRDefault="0098632F" w:rsidP="00CF3A67">
            <w:pPr>
              <w:pStyle w:val="solstun"/>
              <w:spacing w:before="0" w:after="0"/>
              <w:ind w:right="36"/>
            </w:pPr>
          </w:p>
          <w:p w14:paraId="69B5315A" w14:textId="6702F343" w:rsidR="00CD20D1" w:rsidRPr="00412B6D" w:rsidRDefault="009D5737" w:rsidP="00CD20D1">
            <w:pPr>
              <w:pStyle w:val="solstun"/>
              <w:spacing w:before="0"/>
              <w:ind w:left="-108" w:right="36"/>
              <w:rPr>
                <w:b/>
                <w:bCs w:val="0"/>
                <w:color w:val="C00000"/>
                <w:lang w:val="en-US"/>
              </w:rPr>
            </w:pPr>
            <w:r>
              <w:rPr>
                <w:b/>
                <w:bCs w:val="0"/>
                <w:color w:val="C00000"/>
                <w:lang w:val="en-US"/>
              </w:rPr>
              <w:t>Submit Date</w:t>
            </w:r>
          </w:p>
          <w:p w14:paraId="67333FDB" w14:textId="77777777" w:rsidR="00CD20D1" w:rsidRPr="00AA29C1" w:rsidRDefault="00CD20D1" w:rsidP="00CD20D1">
            <w:pPr>
              <w:pStyle w:val="solstun"/>
              <w:spacing w:before="0" w:after="120"/>
              <w:ind w:left="-108" w:right="36"/>
              <w:rPr>
                <w:lang w:val="en-US"/>
              </w:rPr>
            </w:pPr>
            <w:r>
              <w:rPr>
                <w:lang w:val="en-US"/>
              </w:rPr>
              <w:t>01.01.2000</w:t>
            </w:r>
          </w:p>
          <w:p w14:paraId="34259F8F" w14:textId="304C6101" w:rsidR="00CD20D1" w:rsidRPr="00412B6D" w:rsidRDefault="009D5737" w:rsidP="00CD20D1">
            <w:pPr>
              <w:pStyle w:val="solstun"/>
              <w:spacing w:before="0"/>
              <w:ind w:left="-108" w:right="36"/>
              <w:rPr>
                <w:b/>
                <w:bCs w:val="0"/>
                <w:color w:val="C00000"/>
                <w:lang w:val="en-US"/>
              </w:rPr>
            </w:pPr>
            <w:r>
              <w:rPr>
                <w:b/>
                <w:bCs w:val="0"/>
                <w:color w:val="C00000"/>
                <w:lang w:val="en-US"/>
              </w:rPr>
              <w:t>Accept Date</w:t>
            </w:r>
          </w:p>
          <w:p w14:paraId="2266F31D" w14:textId="77777777" w:rsidR="00CD20D1" w:rsidRPr="00AA29C1" w:rsidRDefault="00CD20D1" w:rsidP="00CD20D1">
            <w:pPr>
              <w:pStyle w:val="solstun"/>
              <w:spacing w:before="0" w:after="120"/>
              <w:ind w:left="-108" w:right="36"/>
              <w:rPr>
                <w:lang w:val="en-US"/>
              </w:rPr>
            </w:pPr>
            <w:r>
              <w:rPr>
                <w:lang w:val="en-US"/>
              </w:rPr>
              <w:t>01.01.2000</w:t>
            </w:r>
          </w:p>
          <w:p w14:paraId="628961EB" w14:textId="38DDC4E3" w:rsidR="00CD20D1" w:rsidRPr="00412B6D" w:rsidRDefault="009D5737" w:rsidP="00CD20D1">
            <w:pPr>
              <w:pStyle w:val="solstun"/>
              <w:spacing w:before="0"/>
              <w:ind w:left="-108" w:right="36"/>
              <w:rPr>
                <w:b/>
                <w:bCs w:val="0"/>
                <w:color w:val="C00000"/>
                <w:lang w:val="en-US"/>
              </w:rPr>
            </w:pPr>
            <w:r>
              <w:rPr>
                <w:b/>
                <w:bCs w:val="0"/>
                <w:color w:val="C00000"/>
                <w:lang w:val="en-US"/>
              </w:rPr>
              <w:t>Publish Date</w:t>
            </w:r>
          </w:p>
          <w:p w14:paraId="4B7E7207" w14:textId="77777777" w:rsidR="00CD20D1" w:rsidRPr="00AA29C1" w:rsidRDefault="00CD20D1" w:rsidP="00CD20D1">
            <w:pPr>
              <w:pStyle w:val="solstun"/>
              <w:spacing w:before="0" w:after="120"/>
              <w:ind w:left="-108" w:right="36"/>
              <w:rPr>
                <w:lang w:val="en-US"/>
              </w:rPr>
            </w:pPr>
            <w:r>
              <w:rPr>
                <w:lang w:val="en-US"/>
              </w:rPr>
              <w:t>01.01.2000</w:t>
            </w:r>
          </w:p>
          <w:p w14:paraId="4CE94179" w14:textId="7B6A315B" w:rsidR="00CD20D1" w:rsidRPr="00412B6D" w:rsidRDefault="009D5737" w:rsidP="00CD20D1">
            <w:pPr>
              <w:pStyle w:val="solstun"/>
              <w:ind w:left="-108" w:right="36"/>
              <w:rPr>
                <w:lang w:val="en-US"/>
              </w:rPr>
            </w:pPr>
            <w:r>
              <w:rPr>
                <w:b/>
                <w:bCs w:val="0"/>
                <w:color w:val="C00000"/>
                <w:lang w:val="en-US"/>
              </w:rPr>
              <w:t>Keywords</w:t>
            </w:r>
          </w:p>
          <w:p w14:paraId="2B818B03" w14:textId="40E8044C" w:rsidR="00CD20D1" w:rsidRPr="00412B6D" w:rsidRDefault="00D40593" w:rsidP="00CD20D1">
            <w:pPr>
              <w:pStyle w:val="solstun"/>
              <w:spacing w:before="0" w:after="0"/>
              <w:ind w:left="-108" w:right="36"/>
              <w:rPr>
                <w:lang w:val="en-US"/>
              </w:rPr>
            </w:pPr>
            <w:r>
              <w:rPr>
                <w:lang w:val="en-US"/>
              </w:rPr>
              <w:t xml:space="preserve">Coopetition,</w:t>
            </w:r>
          </w:p>
          <w:p w14:paraId="23BEB394" w14:textId="1FF9B220" w:rsidR="00CD20D1" w:rsidRPr="00412B6D" w:rsidRDefault="00D40593" w:rsidP="00CD20D1">
            <w:pPr>
              <w:pStyle w:val="solstun"/>
              <w:spacing w:before="0" w:after="0"/>
              <w:ind w:left="-108" w:right="36"/>
              <w:rPr>
                <w:lang w:val="en-US"/>
              </w:rPr>
            </w:pPr>
            <w:r>
              <w:rPr>
                <w:lang w:val="en-US"/>
              </w:rPr>
              <w:t xml:space="preserve">Silk Road Tourism,</w:t>
            </w:r>
          </w:p>
          <w:p w14:paraId="65FC0529" w14:textId="49333949" w:rsidR="00CD20D1" w:rsidRPr="00412B6D" w:rsidRDefault="00D40593" w:rsidP="00CD20D1">
            <w:pPr>
              <w:pStyle w:val="solstun"/>
              <w:spacing w:before="0" w:after="0"/>
              <w:ind w:left="-108" w:right="36"/>
              <w:rPr>
                <w:lang w:val="en-US"/>
              </w:rPr>
            </w:pPr>
            <w:r>
              <w:rPr>
                <w:lang w:val="en-US"/>
              </w:rPr>
              <w:t xml:space="preserve">Heritage Diplomacy,</w:t>
            </w:r>
          </w:p>
          <w:p w14:paraId="105EF247" w14:textId="4D29802F" w:rsidR="00CD20D1" w:rsidRPr="00412B6D" w:rsidRDefault="00D40593" w:rsidP="00CD20D1">
            <w:pPr>
              <w:pStyle w:val="solstun"/>
              <w:spacing w:before="0" w:after="0"/>
              <w:ind w:left="-108" w:right="36"/>
              <w:rPr>
                <w:lang w:val="en-US"/>
              </w:rPr>
            </w:pPr>
            <w:r>
              <w:rPr>
                <w:lang w:val="en-US"/>
              </w:rPr>
              <w:t xml:space="preserve">Türkiye–China Relations,</w:t>
            </w:r>
          </w:p>
          <w:p w14:paraId="264DA4A5" w14:textId="4C275CAC" w:rsidR="003C7257" w:rsidRPr="005E0BB1" w:rsidRDefault="00D40593" w:rsidP="005E0BB1">
            <w:pPr>
              <w:pStyle w:val="solstun"/>
              <w:spacing w:before="0" w:after="0"/>
              <w:ind w:left="-108" w:right="36"/>
            </w:pPr>
            <w:r>
              <w:rPr>
                <w:lang w:val="en-US"/>
              </w:rPr>
              <w:t xml:space="preserve">Separation Principle.</w:t>
            </w:r>
          </w:p>
        </w:tc>
        <w:tc>
          <w:tcPr>
            <w:tcW w:w="4131" w:type="pct"/>
          </w:tcPr>
          <w:sdt>
            <w:sdtPr>
              <w:rPr>
                <w:color w:val="C00000"/>
                <w:sz w:val="20"/>
                <w:szCs w:val="20"/>
              </w:rPr>
              <w:id w:val="-1236009116"/>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45535CD3" w14:textId="3B2B0280" w:rsidR="00AA29C1" w:rsidRPr="00D65EAD" w:rsidRDefault="00E152AE" w:rsidP="00CA70A8">
                <w:pPr>
                  <w:pStyle w:val="Balk6"/>
                  <w:spacing w:before="240"/>
                  <w:ind w:left="-111" w:right="-106"/>
                  <w:rPr>
                    <w:color w:val="C00000"/>
                    <w:sz w:val="20"/>
                    <w:szCs w:val="20"/>
                  </w:rPr>
                </w:pPr>
                <w:r>
                  <w:rPr>
                    <w:color w:val="C00000"/>
                    <w:sz w:val="20"/>
                    <w:szCs w:val="20"/>
                  </w:rPr>
                  <w:t>ÖZ</w:t>
                </w:r>
              </w:p>
            </w:sdtContent>
          </w:sdt>
          <w:p w14:paraId="6B276666" w14:textId="190F81C3" w:rsidR="002C246F" w:rsidRPr="002C246F" w:rsidRDefault="00301139" w:rsidP="00222017">
            <w:pPr>
              <w:pStyle w:val="zet"/>
              <w:rPr>
                <w:lang w:val="en-US"/>
              </w:rPr>
            </w:pPr>
            <w:r>
              <w:rPr/>
              <w:t xml:space="preserve">Bu çalışma, Türkiye ile Çin'in İpek Yolu turizm mirası üzerinde hangi alanlarda iş birliği, hangi alanlarda rekabet yürüttüğünü ortaklaşa rekabet kuramı çerçevesinde incelemektedir. Firma ve destinasyon düzeyinde geliştirilen ayrıştırma ilkesi, iş birliğinin müşteriden uzak, rekabetin müşteriye yakın faaliyetlerde yoğunlaşacağını öngörür; çalışma bu öngörüyü iki devlet arasındaki miras turizmine taşımaktadır. Tek durumlu, iç içe birimli örnek olay deseninde 2010–2026 dönemine ait 49 resmî belge ve bu belgelerden çıkarılan 368 anlam birimi, bağlantısallık, turist akışı, anlatı ve değer yakalama alanlarına göre iki bağımsız kodlayıcı tarafından açık işaretlere dayalı bir şemayla kodlanmış; TÜİK'in Çin uyruklu giriş serisi betimsel olarak okunmuştur. </w:t>
            </w:r>
            <w:r>
              <w:rPr>
                <w:highlight w:val="yellow"/>
              </w:rPr>
              <w:t xml:space="preserve">BULGU: Rekabet kodlarının payı bağlantısallıkta %__ iken değer yakalamada %__'dir; ayrıştırma ilkesi desteklenmektedir / kısmen desteklenmektedir / desteklenmemektedir.</w:t>
            </w:r>
            <w:r>
              <w:rPr/>
              <w:t xml:space="preserve"> Çin uyruklu girişler 2013–2025 döneminde üç katına çıkmış, ancak toplam yabancı girişler içindeki payı hiçbir yıl yüzde biri aşmamıştır. </w:t>
            </w:r>
            <w:r>
              <w:rPr>
                <w:highlight w:val="yellow"/>
              </w:rPr>
              <w:t xml:space="preserve">SONUÇ: tek cümle, Tartışma ve Sonuç bölümündeki ana iddiayla aynı.</w:t>
            </w:r>
            <w:r>
              <w:rPr/>
              <w:t xml:space="preserve"> Bulgular, paylaşılan İpek Yolu mirasının nötr bir ortak varlıktan çok ortaklaşa rekabetin nesnesi olarak işlediğini düşündürmektedir.</w:t>
            </w:r>
          </w:p>
          <w:sdt>
            <w:sdtPr>
              <w:rPr>
                <w:color w:val="C00000"/>
                <w:sz w:val="20"/>
                <w:szCs w:val="20"/>
                <w:lang w:val="en-GB"/>
              </w:rPr>
              <w:id w:val="-236319989"/>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22E80271" w14:textId="4152F328" w:rsidR="00AA29C1" w:rsidRPr="00D65EAD" w:rsidRDefault="00A444F1" w:rsidP="00CA70A8">
                <w:pPr>
                  <w:pStyle w:val="Balk6"/>
                  <w:spacing w:before="240"/>
                  <w:ind w:left="-111" w:right="-106"/>
                  <w:rPr>
                    <w:rFonts w:cstheme="minorHAnsi"/>
                    <w:color w:val="C00000"/>
                    <w:sz w:val="20"/>
                    <w:szCs w:val="20"/>
                    <w:lang w:val="en-GB"/>
                  </w:rPr>
                </w:pPr>
                <w:r>
                  <w:rPr>
                    <w:color w:val="C00000"/>
                    <w:sz w:val="20"/>
                    <w:szCs w:val="20"/>
                    <w:lang w:val="en-GB"/>
                  </w:rPr>
                  <w:t>ABSTRACT</w:t>
                </w:r>
              </w:p>
            </w:sdtContent>
          </w:sdt>
          <w:p w14:paraId="39B2709C" w14:textId="503F8545" w:rsidR="00AA29C1" w:rsidRPr="00310F55" w:rsidRDefault="002C246F" w:rsidP="00222017">
            <w:pPr>
              <w:pStyle w:val="zet"/>
              <w:rPr>
                <w:lang w:val="en-US"/>
              </w:rPr>
            </w:pPr>
            <w:r>
              <w:rPr>
                <w:lang w:val="en-US"/>
              </w:rPr>
              <w:t xml:space="preserve">This study examines in which domains Türkiye and China cooperate and in which they compete over the tourism heritage of the Silk Road, drawing on coopetition theory. The separation principle, developed at firm and destination level, predicts that cooperation concentrates in activities far from the customer and competition in activities close to the customer; the study transfers this prediction to inter-state heritage tourism. In a single embedded case design, 49 official documents from 2010–2026 and the 368 meaning units extracted from them were coded by two independent coders, using a scheme based on manifest markers, across four domains: connectivity, tourist flows, narrative and value capture. The Turkish Statistical Institute series on arrivals of Chinese nationals was read descriptively. </w:t>
            </w:r>
            <w:r>
              <w:rPr>
                <w:lang w:val="en-US"/>
                <w:highlight w:val="yellow"/>
              </w:rPr>
              <w:t xml:space="preserve">FINDING: The share of competition codes is __% in connectivity and __% in value capture; the separation principle is supported / partially supported / not supported.</w:t>
            </w:r>
            <w:r>
              <w:rPr>
                <w:lang w:val="en-US"/>
              </w:rPr>
              <w:t xml:space="preserve"> Arrivals of Chinese nationals tripled between 2013 and 2025, yet their share of all foreign arrivals never exceeded one per cent. </w:t>
            </w:r>
            <w:r>
              <w:rPr>
                <w:lang w:val="en-US"/>
                <w:highlight w:val="yellow"/>
              </w:rPr>
              <w:t xml:space="preserve">CONCLUSION: one sentence, mirroring the Turkish Öz.</w:t>
            </w:r>
            <w:r>
              <w:rPr>
                <w:lang w:val="en-US"/>
              </w:rPr>
              <w:t xml:space="preserve"> The findings suggest that the shared Silk Road heritage operates less as a neutral common asset than as the object of coopetition.</w:t>
            </w:r>
          </w:p>
        </w:tc>
      </w:tr>
    </w:tbl>
    <w:p w14:paraId="07EA2D7F" w14:textId="4DA9FA91" w:rsidR="00603456" w:rsidRPr="004A7BA8" w:rsidRDefault="00C13986" w:rsidP="00CD392A">
      <w:pPr>
        <w:pStyle w:val="birincidzeybalk"/>
        <w:pageBreakBefore/>
      </w:pPr>
      <w:r>
        <w:rPr/>
        <w:t xml:space="preserve">1. Giriş</w:t>
      </w:r>
    </w:p>
    <w:p w14:paraId="67145077" w14:textId="61F759BA" w:rsidR="004724F9" w:rsidRDefault="00FC5974" w:rsidP="001B50BE">
      <w:pPr>
        <w:pStyle w:val="Gvdemetin"/>
      </w:pPr>
      <w:r>
        <w:rPr/>
        <w:t xml:space="preserve">Türkiye ile Çin, aynı tarihî güzergâhın iki ucunda durmaktadır. Bu konum iki ülkenin resmî metinlerinde ortak bir mirasın paylaşımı olarak anlatılır: Türkiye Kuşak ve Yol Girişimi'ni 2015'te Antalya'da imzalanan mutabakat zaptıyla Orta Koridor'la uyumlaştırmış (Resmî Gazete, 2017), 2018 yılı Çin'de Türkiye Turizm Yılı olarak kutlanmış (Niu ve Li, 2019), 2024'te iki ülkenin kültür ve turizm bakanlıkları bir turizm iş birliği mutabakatı imzalamış (Çin Halk Cumhuriyeti Kültür ve Turizm Bakanlığı, 2024), 2 Ocak 2026'dan itibaren Türkiye Çin vatandaşlarına tek taraflı vize muafiyeti tanımıştır (Türkiye Turizm Tanıtım ve Geliştirme Ajansı [TGA], 2026). Bu dizinin ima ettiği beklenti açıktır: miras ortaktır, iş birliği kurulmuştur, turist gelecektir.</w:t>
      </w:r>
    </w:p>
    <w:p w14:paraId="67145077" w14:textId="61F759BA" w:rsidR="004724F9" w:rsidRDefault="00FC5974" w:rsidP="001B50BE">
      <w:pPr>
        <w:pStyle w:val="Gvdemetin"/>
      </w:pPr>
      <w:r>
        <w:rPr/>
        <w:t xml:space="preserve">Veri bu beklentiyi yalnız kısmen karşılamaktadır. Türkiye'ye giriş yapan Çin uyruklu kişi sayısı 2013'te 138.876 iken 2019'da 426.344'e yükselmiş, 2025'te 425.348 olarak gerçekleşmiştir (Türkiye İstatistik Kurumu [TÜİK], 2026). Mutlak artış belirgindir; ancak Çin uyrukluların toplam yabancı girişleri içindeki payı hiçbir yıl yüzde birin üstüne çıkmamış, en yüksek değerine 2018'de (%0,998) ulaşmıştır. On yılı aşan iş birliği söylemi, altyapı anlaşmaları ve tanıtım kampanyaları, dünyanın en büyük kaynak pazarından gelen akışı Türkiye'nin toplam ziyaretçi profili içinde marjinal bir paydan öteye taşıyamamıştır. Söylem ile akış arasındaki bu açık, bu çalışmanın çıkış noktasıdır.</w:t>
      </w:r>
    </w:p>
    <w:p w14:paraId="67145077" w14:textId="61F759BA" w:rsidR="004724F9" w:rsidRDefault="00FC5974" w:rsidP="001B50BE">
      <w:pPr>
        <w:pStyle w:val="Gvdemetin"/>
      </w:pPr>
      <w:r>
        <w:rPr/>
        <w:t xml:space="preserve">Açığı açıklamanın alışılmış yolu iş birliğinin önündeki engelleri saymaktır: güvenlik algısı, dil, uçuş kapasitesi, coğrafi uzaklık. Bu çalışma farklı bir yol izlemekte ve ilişkinin kendisini sorgulamaktadır. İki ülke İpek Yolu mirası üzerinde yalnız iş birliği yapmıyor olabilir; aynı mirasın hikâyesini kimin anlatacağı, rotanın merkezinin nerede olduğu ve turist harcamasının hangi tarafta kalacağı konusunda rekabet de ediyor olabilir. Yönetim yazınında ortaklaşa rekabet (coopetition) olarak adlandırılan bu eşzamanlılık, iş birliğinin bazı faaliyetlerde, rekabetin başka faaliyetlerde yoğunlaştığını öngörür. Buradaki soru, bu öngörünün iki devlet arasındaki miras turizminde geçerli olup olmadığıdır.</w:t>
      </w:r>
    </w:p>
    <w:p w14:paraId="67145077" w14:textId="61F759BA" w:rsidR="004724F9" w:rsidRDefault="00FC5974" w:rsidP="001B50BE">
      <w:pPr>
        <w:pStyle w:val="Gvdemetin"/>
      </w:pPr>
      <w:r>
        <w:rPr/>
        <w:t xml:space="preserve">Çalışma iki soruya yanıt aramaktadır. Birincisi, 2010–2026 döneminde Türkiye ve Çin'in İpek Yolu turizm mirası üzerinde hangi alanlarda iş birliği, hangi alanlarda rekabet yürüttüğü ve bu dağılımın faaliyetin turiste yakınlığına göre ayrışıp ayrışmadığıdır. İkincisi, iki ülkenin iş birliği söylemi ve anlaşmalarının Türkiye'ye Çin uyruklu giriş akışına ne ölçüde yansıdığıdır. Yanıt, iki ülkenin ikili ve tek taraflı resmî belgelerinden oluşan 49 belgelik bir korpusun sistematik doküman analizi ile TÜİK'in giriş serisinin betimsel okumasına dayanmaktadır.</w:t>
      </w:r>
    </w:p>
    <w:p w14:paraId="67145077" w14:textId="61F759BA" w:rsidR="004724F9" w:rsidRDefault="00FC5974" w:rsidP="001B50BE">
      <w:pPr>
        <w:pStyle w:val="Gvdemetin"/>
      </w:pPr>
      <w:r>
        <w:rPr/>
        <w:t xml:space="preserve">Çalışmanın katkısı üç düzeydedir. Kuramsal düzeyde, firma ve destinasyon düzeyinde geliştirilen ayrıştırma ilkesi ilk kez iki devlet arasındaki miras turizmine taşınmaktadır. Kavramsal düzeyde, "paylaşılan İpek Yolu" söyleminin ortaklık ile sahiplik iddiasını aynı anda taşıyabildiği gösterilmekte ve İpek Yolu mirası nötr bir ortak varlık değil, ortaklaşa rekabetin nesnesi olarak önerilmektedir. Uygulama düzeyinde ise Türkiye'nin Çin pazarına yönelik politikasının hangi alanlarda iş birliğinden, hangi alanlarda farklılaşmadan yarar sağlayabileceğine dair bir çerçeve sunulmaktadır. Makalenin bundan sonraki kısmı şöyle düzenlenmiştir: Kuramsal Çerçeve bölümü yazındaki iş birliği uzlaşısını, miras siyasetinin bu uzlaşıya itirazını ve ortaklaşa rekabet çerçevesini kurarak beş önermeyi türetmektedir; Yöntem bölümü korpusu, kodlama şemasını ve güvenirlik sürecini anlatmakta; Bulgular bölümü önermeleri sırasıyla değerlendirmekte; Tartışma ve Sonuç bölümü bulguları kurama ve politikaya bağlamaktadır.</w:t>
      </w:r>
    </w:p>
    <w:p w14:paraId="07EA2D7F" w14:textId="4DA9FA91" w:rsidR="00603456" w:rsidRPr="004A7BA8" w:rsidRDefault="00C13986" w:rsidP="00CD392A">
      <w:pPr>
        <w:pStyle w:val="birincidzeybalk"/>
      </w:pPr>
      <w:r>
        <w:rPr/>
        <w:t xml:space="preserve">2. Kuramsal Çerçeve</w:t>
      </w:r>
    </w:p>
    <w:p w14:paraId="11F4FB04" w14:textId="34BB8FD9" w:rsidR="002A3F34" w:rsidRDefault="00F6431C" w:rsidP="007055A5">
      <w:pPr>
        <w:pStyle w:val="ikincidzeybalk"/>
      </w:pPr>
      <w:r>
        <w:rPr>
          <w:szCs w:val="22"/>
        </w:rPr>
        <w:t xml:space="preserve">2.1. Türkiye–Çin Turizm Yazınında Sınanmamış Bir İş Birliği Uzlaşısı</w:t>
      </w:r>
    </w:p>
    <w:p w14:paraId="67145077" w14:textId="61F759BA" w:rsidR="004724F9" w:rsidRDefault="00FC5974" w:rsidP="001B50BE">
      <w:pPr>
        <w:pStyle w:val="Gvdemetin"/>
      </w:pPr>
      <w:r>
        <w:rPr/>
        <w:t xml:space="preserve">Türkiye ile Çin arasındaki turizm ilişkisini konu alan yazın, ilişkiyi büyük ölçüde Kuşak ve Yol Girişimi'nin açtığı bir karşılıklı kazanç alanı olarak okumaktadır. Turizm, Çin ile girişim güzergâhındaki ülkeler arasında iş birliğinin başlıca alanlarından biri sayılmış, 2018'de Çin'de düzenlenen Türkiye Turizm Yılı da bu iş birliğinin somut göstergesi olarak ele alınmıştır (Niu ve Li, 2019). Türkçe yazında girişimin Türkiye turizmini olumlu etkileyeceği, Çin'den ve diğer Asya ülkelerinden gelen seyahati kolaylaştıracağı ve yeni pazarlar açacağı beklentisi ağır basmaktadır (İbiş, 2019; Kılıç, 2021; Palidan, 2024). Türk devletleri arasındaki turizmi inceleyen nitel bir çalışma da ülkeler arası ilişkiyi ortak tanıtım ve bir çatı örgüt önerisi etrafında, yalnız iş birliği ekseninde kurmaktadır (Tuna vd., 2022). Bu çerçevede sorunlar ilişkinin kendisine değil, iş birliğinin önündeki engellere bağlanır. Güvenlik istikrarsızlığı, iki ülke arasındaki siyasi anlaşmazlıklar ve Çince hizmet veren rehber eksikliği bu engellerin başında gelir (Akyılmaz, 2021; Niu ve Li, 2019).</w:t>
      </w:r>
    </w:p>
    <w:p w14:paraId="67145077" w14:textId="61F759BA" w:rsidR="004724F9" w:rsidRDefault="00FC5974" w:rsidP="001B50BE">
      <w:pPr>
        <w:pStyle w:val="Gvdemetin"/>
      </w:pPr>
      <w:r>
        <w:rPr/>
        <w:t xml:space="preserve">Uzlaşının zayıf noktası, ampirik bulgudan çok beklentiye dayanmasıdır. Girişimin turizmde doğuracağı sinerjiye dair ampirik çalışma eksikliği bu yazının kendi içinden de dile getirilmiş, ortak kalkınma söyleminin ardında kazanımların taraflar arasında nasıl dağılacağı sorusu açık bırakılmıştır (Kılıç, 2021; Zengin ve Koç, 2021). İki ülke ilişkisinin bütününü inceleyen uluslararası ilişkiler yazını ise daha temkinli bir tablo çizer. Bu yazına göre Çin ile Türkiye arasındaki ilişki 2010'dan bu yana düşük düzeyli bir stratejik iş birliğinde kalmış, taraflar birbirini ekonomik ortak, siyasi rakip ve güvenlik rakibi karışımı olarak algılamıştır (Wang ve Sun, 2024). Kuşak ve Yol ile Orta Koridor birbirinden bağımsız geliştirilmiş iki tasarımdır; aralarındaki sinerji büyük ölçüde ikili ilişkinin niteliğine bağlıdır (Akçay ve Guo, 2023; Chaziza, 2021). Turizm yazını iş birliğini başlangıç varsayımı olarak alırken ilişkinin bütününe bakan yazın aynı ikilide rekabetçi rollerin de bulunduğunu göstermektedir. Bu rollerin turizm ve İpek Yolu mirası alanında nasıl dağıldığı ise sınanmamıştır.</w:t>
      </w:r>
    </w:p>
    <w:p w14:paraId="11F4FB04" w14:textId="34BB8FD9" w:rsidR="002A3F34" w:rsidRDefault="00F6431C" w:rsidP="007055A5">
      <w:pPr>
        <w:pStyle w:val="ikincidzeybalk"/>
      </w:pPr>
      <w:r>
        <w:rPr>
          <w:szCs w:val="22"/>
        </w:rPr>
        <w:t xml:space="preserve">2.2. "Paylaşılan" İpek Yolu: Ortak Miras ile Anlatı Otoritesi Arasında</w:t>
      </w:r>
    </w:p>
    <w:p w14:paraId="67145077" w14:textId="61F759BA" w:rsidR="004724F9" w:rsidRDefault="00FC5974" w:rsidP="001B50BE">
      <w:pPr>
        <w:pStyle w:val="Gvdemetin"/>
      </w:pPr>
      <w:r>
        <w:rPr/>
        <w:t xml:space="preserve">Turizm yazınındaki uzlaşının dayandığı zımni varsayım, İpek Yolu mirasının taraflarca aynı yönde değerlendirilen nötr bir ortak varlık olduğudur. Miras diplomasisi yazını bu varsayımı iki yönden sorgular. Bir yandan miras hükümetler arası iş birliğinin ve kültürel yardımın aracıdır; miras diplomasisi kavramı, miras siyasetini büyük ölçüde çatışma ve uyuşmazlık üzerinden okuyan analizleri dengelemek üzere önerilmiştir (Winter, 2015). Bu çalışmada miras diplomasisi, mirasın devletlerarası ilişkilerde iş birliği ve nüfuz aracı olarak kullanılması anlamına gelir ve ortak miras söylemi ile UNESCO adaylıkları üzerinden izlenir. Öte yandan İpek Yolu, İkinci Dünya Savaşı sonrasında barış, uyum ve kültürlerarası diyalogla özdeşleşen romantik bir imgeye dönüşmüş, bu imge içinde İpek Yolu diplomasisi milliyetçi ve jeopolitik hırsların taşıyıcısı olmuştur (Winter, 2020). Kuşak ve Yol bu iki yüzü tek bir tasarımda birleştirir. İpek Yolları iş birliği ve çok sektörlü bağlantısallık için bir platform sunarken Çin'e "medeniyet devleti" sıfatıyla jeokültürel gücünü seferber etme imkânı da tanımaktadır (Winter, 2021a, 2021b).</w:t>
      </w:r>
    </w:p>
    <w:p w14:paraId="67145077" w14:textId="61F759BA" w:rsidR="004724F9" w:rsidRDefault="00FC5974" w:rsidP="001B50BE">
      <w:pPr>
        <w:pStyle w:val="Gvdemetin"/>
      </w:pPr>
      <w:r>
        <w:rPr/>
        <w:t xml:space="preserve">"Paylaşılan miras" ifadesi bu yazında tek bir anlam taşımamaktadır. UNESCO politikaları mirasın uluslararası ölçekte paylaşılmasını teşvik eder; ancak paylaşılmışlık farklı biçimlerde yorumlanmakta ve aktörler arasında birbirine karşıt sahiplenmelere ve rakip toprak senaryolarına yol açmaktadır (Debarbieux vd., 2023). Türkiye bu çekişmenin dışında değildir. Karagöz'ün 2009'da Yunanistan dahil edilmeden aday gösterilmesi iki ülke arasında anlaşmazlık konusu olmuş (Debarbieux vd., 2023), Mevlana ve Nevruz İran ile yürütülen jeostratejik rekabette hem ulus inşasının hem yumuşak gücün aracına dönüşmüştür (Mozaffari ve Akbar, 2024). Geleneksel Türk okçuluğunun mirasa dönüştürülmesi de çok ölçekli, hegemonik bir anlam kurma süreci olarak okunmuştur (Hisarlıoğlu ve Yanık, 2025). Türk tarafının miras üretimi de bu nedenle rekabetçi okumanın kapsamına girer; rekabet yalnız Çin anlatısına özgü bir özellik olarak varsayılamaz.</w:t>
      </w:r>
    </w:p>
    <w:p w14:paraId="67145077" w14:textId="61F759BA" w:rsidR="004724F9" w:rsidRDefault="00FC5974" w:rsidP="001B50BE">
      <w:pPr>
        <w:pStyle w:val="Gvdemetin"/>
      </w:pPr>
      <w:r>
        <w:rPr/>
        <w:t xml:space="preserve">Çin'in İpek Yolu mirasını kurma biçimi aynı çatallanmayı daha büyük bir ölçekte gösterir. Çin'in Kazakistan ve Kırgızistan ile ortak UNESCO adaylığını medya metinlerinde inşa edişini inceleyen bir söylem analizi, iş birliğinin miras paylaşılan bir geçmişe bağ olarak çerçevelendiğinde ortaya çıktığını; aynı metinlerin çatışma ve rekabet belleğinden kaçınan Sinomerkezci bir tarihselleştirme taşıdığını ortaya koymaktadır (Sciorati, 2023). UNESCO İpek Yolları projesinde Çin'in batı rotalarına yaptığı vurgu ve Japonya ile Güney Kore'nin buna verdiği tepkiler de ulusötesi bir miras projesinin rekabetçi yönünü görünür kılmıştır (Nakano, 2023). Turizm metinleri bu eğilimin dışında kalmaz. İpek Yolları sıklıkla "Doğu ile Batı" ya da "Çin ile Roma" arasında bir köprü olarak soyutlanmakta, paylaşılan miras retoriği İpek Yolları'nın Çinlileştirilmesiyle birlikte aldatıcı biçimde dışlayıcı hâle gelmektedir (Brown ve O'Brien, 2025). Avrupa'da da İpek Yolu varlıkları bölgesel destinasyon markası kurmanın bileşeni olarak değerlendirilmektedir (Kostopoulou vd., 2021). "Paylaşılan" sıfatı böylece iki damarda farklı anlamlara ayrılır: turizm yazınında ortaklığı, miras siyaseti yazınında sahiplik iddiasını anlatır. Türkiye'yi Asya ile Avrupa arasında bir köprü olarak konumlayan yerli okuma (Palidan, 2024) ile Çin merkezli tarihselleştirme aynı mirası farklı merkezlerden okumaktadır. İki anlamın Türkiye–Çin ikilisinde aynı anda geçerli olup olamayacağı, ancak iş birliği ile rekabeti birlikte kavrayan bir çerçeveyle sorulabilir.</w:t>
      </w:r>
    </w:p>
    <w:p w14:paraId="11F4FB04" w14:textId="34BB8FD9" w:rsidR="002A3F34" w:rsidRDefault="00F6431C" w:rsidP="007055A5">
      <w:pPr>
        <w:pStyle w:val="ikincidzeybalk"/>
      </w:pPr>
      <w:r>
        <w:rPr>
          <w:szCs w:val="22"/>
        </w:rPr>
        <w:t xml:space="preserve">2.3. Ortaklaşa Rekabet: Değer Oluşturma ile Değer Yakalamanın Ayrıştırılması</w:t>
      </w:r>
    </w:p>
    <w:p w14:paraId="67145077" w14:textId="61F759BA" w:rsidR="004724F9" w:rsidRDefault="00FC5974" w:rsidP="001B50BE">
      <w:pPr>
        <w:pStyle w:val="Gvdemetin"/>
      </w:pPr>
      <w:r>
        <w:rPr/>
        <w:t xml:space="preserve">Ortaklaşa rekabet kavramı, yukarıdaki iki okumayı birbirini dışlayan seçenekler olmaktan çıkarır. Kavram, iki firmanın bazı faaliyetlerde iş birliği yaparken diğer faaliyetlerde eşzamanlı olarak rekabet ettiği ikili ve paradoksal ilişkiyi adlandırır (Bengtsson ve Kock, 2000, s. 412). Aynı yazarların daha önceki vaka çalışması, bir firmanın rakipleriyle aynı anda saf rekabet, saf iş birliği, birlikte var olma ve ortaklaşa rekabet içeren farklı ilişkiler yürütebileceğini göstermişti (Bengtsson ve Kock, 1999). Ortaklaşa rekabette iki etkileşim mantığı taraflar arasında değil faaliyetler arasında bölünür, çünkü aynı faaliyette hem rekabet hem iş birliği yürütülemez (Bengtsson ve Kock, 2000, s. 415). Bölünmenin ölçütünü yazarların ikinci önermesi verir: firmalar müşteriye yakın çıktı faaliyetlerinde rekabet eder, müşteriden uzak girdi faaliyetlerinde iş birliği yapar (Bengtsson ve Kock, 2000, s. 421). Bu önerme, bu çalışmada "ayrıştırma ilkesi" olarak anılmaktadır; adlandırma yazarlara değil bu çalışmaya aittir.</w:t>
      </w:r>
    </w:p>
    <w:p w14:paraId="67145077" w14:textId="61F759BA" w:rsidR="004724F9" w:rsidRDefault="00FC5974" w:rsidP="001B50BE">
      <w:pPr>
        <w:pStyle w:val="Gvdemetin"/>
      </w:pPr>
      <w:r>
        <w:rPr/>
        <w:t xml:space="preserve">Ayrıştırma ilkesinin neyi ayırdığı, değer oluşturma ile değer yakalama ayrımıyla açıklanabilir. Değer ağı yaklaşımında müşteriler, tedarikçiler, rakipler ve tamamlayıcılar aynı ağın parçalarıdır; aktörler birlikte daha büyük bir pazar oluşturur, ardından bu pazardan pay almak için rekabet eder (Brandenburger ve Nalebuff, 1996). Sonraki kuramsal çalışmalar bu sürecin kazan-kazanla sonuçlanmak zorunda olmadığına dikkat çekmektedir. Ortaklaşa rekabetin sonucu tüm tarafların birlikte değer oluşturması olabileceği gibi, tek bir tarafın değer oluşturması ya da değer yıkımı da olabilir (Gnyawali ve Ryan Charleton, 2018); değer oluşturma ve yakalama ihtiyacı aktörlerin ortaklaşa rekabetçi davranışını yönlendirir (Chou ve Zolkiewski, 2018). Bu çalışmada değer oluşturma, tarafların ortak pazarı büyütmeye yönelik eylemleri (ortak tanıtım, vize ve uçuş kolaylığı, altyapı uyumu) olarak; değer yakalama ise oluşturulan değerden pay alma mücadelesi (rota ya da merkez konumu, marka sahipliği, gelir ve aracı denetimi) olarak tanımlanmaktadır. İlk küme iki ülkeyi aynı yöne çekerken ikinci küme aynı kaynağı farklı yönlere çeker.</w:t>
      </w:r>
    </w:p>
    <w:p w14:paraId="67145077" w14:textId="61F759BA" w:rsidR="004724F9" w:rsidRDefault="00FC5974" w:rsidP="001B50BE">
      <w:pPr>
        <w:pStyle w:val="Gvdemetin"/>
      </w:pPr>
      <w:r>
        <w:rPr/>
        <w:t xml:space="preserve">Turizm yazını kavramı firmadan destinasyona taşımıştır. Destinasyon ağlarındaki yüksek karşılıklı bağımlılık ve tamamlayıcılık, ortaklaşa rekabeti destinasyonun örgütlenme biçimi hâline getirmektedir (Chim-Miki ve Batista-Canino, 2017a); tek bir destinasyonda paydaşlar arasında iş birliği, rekabet ve ortaklaşa rekabet ilişkilerinin bir arada bulunduğu da gösterilmiştir (Wang ve Krakover, 2008). Çok ülkeli marka çalışmaları ayrıştırma ilkesinin turizmdeki karşılığına işaret eder. ASEAN örneğinde destinasyonun ortak ve tutarlı bir konumlandırması önerilirken ulusların rekabetçi konumlandırmasının korunması gerektiği vurgulanmış (Sirisuthikul, 2018), Büyük Körfez Bölgesi'nde de olası ortak marka içinde üyelerin özgünlüğünü koruyan bir yapı önerilmiştir (Kirillova vd., 2020). İki örnekte de iş birliği bölge markasında, rekabet ulusal ya da kentsel konumlandırmada yoğunlaşmaktadır. Ne var ki bu yazın da destinasyon içindeki ağlarda yoğunlaşmış, kavramın çok boyutlu ve göreli bir yapı olarak ele alınması bir araştırma gündemi olarak kalmıştır (Chim-Miki ve Batista-Canino, 2017a).</w:t>
      </w:r>
    </w:p>
    <w:p w14:paraId="67145077" w14:textId="61F759BA" w:rsidR="004724F9" w:rsidRDefault="00FC5974" w:rsidP="001B50BE">
      <w:pPr>
        <w:pStyle w:val="Gvdemetin"/>
      </w:pPr>
      <w:r>
        <w:rPr/>
        <w:t xml:space="preserve">İpek Yolu'na en yakın uygulama, destinasyonlar arası ortaklaşa rekabeti ele alan ve UNWTO İpek Yolu Programı'nı bu türün en büyük girişimi olarak betimleyen çalışmadır (Redi ve Pulido Fernández, 2018). Bu çerçeve çok taraflı bir programın yönetimine bakar; iki devletin aynı miras üzerinde hangi faaliyette birleşip hangisinde ayrıştığı tasarımı gereği kapsamının dışında kalır. Devletlerarası düzeyde kavram ABD ile Çin arasındaki büyük güç ilişkilerine uygulanmış ve ortaklaşa rekabetin çözülüp stratejik rekabete dönüşmesine dair hipotezler önerilmiştir (Wisniewski, 2025). Türkiye–Çin ilişkisini uyumlu, rekabetçi ve çatışan rollerin katmanları olarak okuyan "karmaşık rol" yaklaşımı (Wang ve Sun, 2024) ile bu büyük güç uygulaması ilişkinin bütününü açıklar; iş birliğinin ve rekabetin hangi faaliyette toplandığını sormaz. Güç asimetrisi bu soruyu daha da önemli kılar. Fransa'daki 470 destinasyon üzerinde yapılan bir çalışmada baskın statü ile ortaklaşa rekabet eğilimi arasında negatif ilişki bulunmuştur (Norheim-Hansen vd., 2026). Firma düzeyindeki vakalar ise güçlü bir aktörün zayıf rakibiyle iş birliği kararının ağdaki tüm konumlar ve bunlar arasındaki bağlantılar dikkate alınarak verildiğini göstermektedir (Bengtsson ve Kock, 2000, s. 422). Büyük güç ile orta güç arasındaki bir ikilide ortaklaşa rekabetin hangi biçimi alacağı bu iki bulgudan kestirilemez; arenalara göre ayrı ayrı gözlenmesi gerekir.</w:t>
      </w:r>
    </w:p>
    <w:p w14:paraId="67145077" w14:textId="61F759BA" w:rsidR="004724F9" w:rsidRDefault="00FC5974" w:rsidP="001B50BE">
      <w:pPr>
        <w:pStyle w:val="Gvdemetin"/>
      </w:pPr>
      <w:r>
        <w:rPr/>
        <w:t xml:space="preserve">Ayrıştırma ilkesinin devletlerarası miras turizmine taşınması iki sınır koşulu getirir. Birincisi rakip tanımıdır. Bengtsson ve Kock (2000, s. 415) rakipleri aynı ürünü üreten ve pazarlayan aktörler olarak dar tanımlar ve bu tanımı Brandenburger ile Nalebuff'un geniş tanımından bilinçli olarak ayırır. Türkiye ve Çin bu tanıma İpek Yolu destinasyonu ve anlatı sahibi olarak uymaktadır; Çin'den Türkiye'ye yönelen turist akışında ise Çin kaynak pazar konumundadır. Bu nedenle bu çalışmada rakiplik, İpek Yolu mirası üzerinden uluslararası turiste ve anlatı otoritesine yönelik konumlanma düzleminde tanımlanmaktadır. İkincisi müşteri kavramıdır: firma bağlamındaki müşteri burada turisttir. Bağlantısallık faaliyetleri turistten en uzak, değer yakalama faaliyetleri turiste en yakın konumdadır; bu eşleme özgün çalışmaya değil bu çalışmanın uyarlamasına aittir. İlkenin en güçlü rakip açıklaması da aynı kaynaktan gelir. Fin süt sektöründe iş birliği ile rekabet müşteriye yakınlığa göre değil, ürün ve pazar alanlarına göre ayrışmıştır (Bengtsson ve Kock, 2000, s. 420). Türkiye ile Çin arasında da iş birliği ve rekabet arenalara göre değil, coğrafyalara göre (örneğin Orta Asya rotası ya da üçüncü ülke turistleri) ayrışıyor olabilir. Bu olasılık, Yöntem bölümünde tanımlanan olumsuz vaka analiziyle ayrıca izlenmektedir.</w:t>
      </w:r>
    </w:p>
    <w:p w14:paraId="67145077" w14:textId="61F759BA" w:rsidR="004724F9" w:rsidRDefault="00FC5974" w:rsidP="001B50BE">
      <w:pPr>
        <w:pStyle w:val="Gvdemetin"/>
      </w:pPr>
      <w:r>
        <w:rPr/>
        <w:t xml:space="preserve">Bu çerçevede ortak İpek Yolu mirasının iki ayrı işlevi olabileceği öngörülmektedir. Ortak geçmiş söylemi tarafları aynı pazarı birlikte büyütmeye çağırır; ikili resmî metinlerde iki ülkeyi birlikte özne ve fayda sahibi yapan dil bu işlevin beklenen izidir (Niu ve Li, 2019; Sciorati, 2023).</w:t>
      </w:r>
    </w:p>
    <w:p w14:paraId="67145077" w14:textId="61F759BA" w:rsidR="004724F9" w:rsidRDefault="00FC5974" w:rsidP="001B50BE">
      <w:pPr>
        <w:pStyle w:val="Gvdemetin"/>
      </w:pPr>
      <w:r>
        <w:rPr>
          <w:b/>
        </w:rPr>
        <w:t xml:space="preserve">Ö1:</w:t>
      </w:r>
      <w:r>
        <w:rPr/>
        <w:t xml:space="preserve"> Ortak İpek Yolu mirası, Türkiye ile Çin arasında iş birliğini (değer oluşturma) besler.</w:t>
      </w:r>
    </w:p>
    <w:p w14:paraId="67145077" w14:textId="61F759BA" w:rsidR="004724F9" w:rsidRDefault="00FC5974" w:rsidP="001B50BE">
      <w:pPr>
        <w:pStyle w:val="Gvdemetin"/>
      </w:pPr>
      <w:r>
        <w:rPr/>
        <w:t xml:space="preserve">Aynı miras rota merkezi, başlangıç noktası ya da köprü iddialarına konu olduğunda pay alma mücadelesinin nesnesine dönüşür. Paylaşılan mirasın karşıt sahiplenmeler ürettiğini gösteren miras siyaseti yazını (Brown ve O'Brien, 2025; Debarbieux vd., 2023), bu işlevin özellikle tek taraflı tanıtım ve politika anlatılarında görünür olmasını beklemeyi gerektirir.</w:t>
      </w:r>
    </w:p>
    <w:p w14:paraId="67145077" w14:textId="61F759BA" w:rsidR="004724F9" w:rsidRDefault="00FC5974" w:rsidP="001B50BE">
      <w:pPr>
        <w:pStyle w:val="Gvdemetin"/>
      </w:pPr>
      <w:r>
        <w:rPr>
          <w:b/>
        </w:rPr>
        <w:t xml:space="preserve">Ö2:</w:t>
      </w:r>
      <w:r>
        <w:rPr/>
        <w:t xml:space="preserve"> Ortak İpek Yolu mirası, eşzamanlı olarak anlatı otoritesi ve değer yakalama rekabetini besler.</w:t>
      </w:r>
    </w:p>
    <w:p w14:paraId="67145077" w14:textId="61F759BA" w:rsidR="004724F9" w:rsidRDefault="00FC5974" w:rsidP="001B50BE">
      <w:pPr>
        <w:pStyle w:val="Gvdemetin"/>
      </w:pPr>
      <w:r>
        <w:rPr/>
        <w:t xml:space="preserve">Ayrıştırma ilkesine göre bu iki işlevin ağırlığı faaliyetin müşteriye, burada turiste yakınlığına göre değişmelidir. Ulaşım koridorlarının uyumlaştırılması turistle doğrudan temas etmeyen bir girdi faaliyetidir; tanıtım, anlatı ve turist harcamasının paylaşımı ise turistle temas eden çıktı faaliyetlerine yakındır (Bengtsson ve Kock, 2000).</w:t>
      </w:r>
    </w:p>
    <w:p w14:paraId="67145077" w14:textId="61F759BA" w:rsidR="004724F9" w:rsidRDefault="00FC5974" w:rsidP="001B50BE">
      <w:pPr>
        <w:pStyle w:val="Gvdemetin"/>
      </w:pPr>
      <w:r>
        <w:rPr>
          <w:b/>
        </w:rPr>
        <w:t xml:space="preserve">Ö3:</w:t>
      </w:r>
      <w:r>
        <w:rPr/>
        <w:t xml:space="preserve"> Faaliyet turiste yaklaştıkça (bağlantısallık, turist akışı, anlatı, değer yakalama sırasıyla) rekabet kodlarının payı artar, iş birliği kodlarının payı azalır.</w:t>
      </w:r>
    </w:p>
    <w:p w14:paraId="11F4FB04" w14:textId="34BB8FD9" w:rsidR="002A3F34" w:rsidRDefault="00F6431C" w:rsidP="007055A5">
      <w:pPr>
        <w:pStyle w:val="ikincidzeybalk"/>
      </w:pPr>
      <w:r>
        <w:rPr>
          <w:szCs w:val="22"/>
        </w:rPr>
        <w:t xml:space="preserve">2.4. Söylemden Akışa: Bağlantısallık İş Birliğinin Turist Akışına Dönüşmemesi</w:t>
      </w:r>
    </w:p>
    <w:p w14:paraId="67145077" w14:textId="61F759BA" w:rsidR="004724F9" w:rsidRDefault="00FC5974" w:rsidP="001B50BE">
      <w:pPr>
        <w:pStyle w:val="Gvdemetin"/>
      </w:pPr>
      <w:r>
        <w:rPr/>
        <w:t xml:space="preserve">İş birliği söyleminin turist akışına dönüşeceği, Türkiye–Çin yazınının açık beklentisidir. Kuşak ve Yol'un kültürel alışverişi teşvik etme, turist akışlarını artırma ve turizm altyapısına yatırım yapma vurgusu taşıdığı belirtilmekte (Palidan, 2024) ve girişimin Türkiye'ye yönelik seyahati kolaylaştıracağı öngörülmektedir (İbiş, 2019). Girişimin İpek Yolları boyunca turizme ve mirasa etkisini derleyen sistematik bir inceleme yeni ürün ve destinasyon geliştirme potansiyelini doğrulamakla birlikte finansal dengesizlikleri ve faydalara eşitsiz erişimi önemli sorunlar arasında saymaktadır (Dayoub vd., 2024). Altyapı kanıtı beklentiyle uyuşmamaktadır. Hazar Ötesi Uluslararası Taşımacılık Güzergâhı (Orta Koridor) 2025'te yaklaşık 5,2 milyon ton yük taşımış, ancak ana ekseninde tarifeli uluslararası yolcu seferi sunmamıştır; Bakü–Tiflis–Kars demiryolu 2017'den bu yana Türkiye'yi Azerbaycan'a bağladığı hâlde kayda değer bir uluslararası turist seferi taşımamaktadır (Farmanov vd., 2026). Bağlantısallık alanındaki iş birliği, en azından demiryolu ekseninde, yük kapasitesi üretmiş, yolcu üretmemiştir. Ayrıştırma ilkesinin öngördüğü gibi iş birliği turistten uzak arenada yoğunlaşıyorsa, iş birliğinin akışa etkisi ancak turiste yakın arenalara aktarıldığı ölçüde beklenebilir.</w:t>
      </w:r>
    </w:p>
    <w:p w14:paraId="67145077" w14:textId="61F759BA" w:rsidR="004724F9" w:rsidRDefault="00FC5974" w:rsidP="001B50BE">
      <w:pPr>
        <w:pStyle w:val="Gvdemetin"/>
      </w:pPr>
      <w:r>
        <w:rPr>
          <w:b/>
        </w:rPr>
        <w:t xml:space="preserve">Ö4:</w:t>
      </w:r>
      <w:r>
        <w:rPr/>
        <w:t xml:space="preserve"> İş birliği, özellikle bağlantısallık ve karşılıklı tanıtım alanında, Türkiye'ye yönelik turist akışını artırır.</w:t>
      </w:r>
    </w:p>
    <w:p w14:paraId="67145077" w14:textId="61F759BA" w:rsidR="004724F9" w:rsidRDefault="00FC5974" w:rsidP="001B50BE">
      <w:pPr>
        <w:pStyle w:val="Gvdemetin"/>
      </w:pPr>
      <w:r>
        <w:rPr/>
        <w:t xml:space="preserve">Akışın neden sınırlı kaldığına dair yazında iki açıklama yan yana durmaktadır ve bu açıklamalar aynı mekanizmaya indirgenemez. Birincisi uzaklıktır. Kuşak ve Yol ülkeleri üzerine kurulan mekânsal panel modellerinde Çin ile destinasyon arasındaki coğrafi ve kültürel uzaklık Çinli turist akışını olumsuz etkilemektedir (Deng ve Hu, 2019). Bu açıklama düşük akışı ilişkinin dışında kalan bir sabite bağlar. İkincisi yönlendirmedir. Çin'de yurt dışı turizm siyasetle iç içedir ve hükümetin dış turizmi siyasi gündemiyle uyumlu biçimde şekillendirdiği görülmektedir (Tse, 2013). Kazakistan'daki paydaşlar Kuşak ve Yol'un ekonomik değerini desteklerken yerel özerkliği ve ülkenin özgün destinasyon markasını zayıflatabileceğinden kaygı duymaktadır (Daye vd., 2020). Türkiye'ye gelen Çinli turistlerin büyük çoğunluğunun seyahatini acenteler aracılığıyla düzenlemesi (İbiş ve Batman, 2018) ve Çinli acentelerin bölge tur içeriğine dair belirgin talepleri (Akyılmaz, 2021) değerin bir kısmının aracılarda kaldığı bir yapıya işaret eder; bu yapıyı ölçen bir çalışma ise bulunmamaktadır. Türkiye'nin jeopolitik yönelişinin Avrupa ve NATO'dan Rusya ve Çin ile güçlenen ilişkilere doğru kaydığının gözlendiği bir dönemde (Cihangir vd., 2022) Çin uyruklu girişlerin sınırlı kalması, uzaklık açıklamasını tek başına yetersiz bırakmaktadır. Bu çalışma yönlendirme ve rekabet açıklamasını önermekte, uzaklığı ise rakip açıklama olarak korumaktadır.</w:t>
      </w:r>
    </w:p>
    <w:p w14:paraId="67145077" w14:textId="61F759BA" w:rsidR="004724F9" w:rsidRDefault="00FC5974" w:rsidP="001B50BE">
      <w:pPr>
        <w:pStyle w:val="Gvdemetin"/>
      </w:pPr>
      <w:r>
        <w:rPr>
          <w:b/>
        </w:rPr>
        <w:t xml:space="preserve">Ö5:</w:t>
      </w:r>
      <w:r>
        <w:rPr/>
        <w:t xml:space="preserve"> Rekabet, iş birliğinin turist akışına dönüşümünü sınırlar.</w:t>
      </w:r>
    </w:p>
    <w:p w14:paraId="67145077" w14:textId="61F759BA" w:rsidR="004724F9" w:rsidRDefault="00FC5974" w:rsidP="001B50BE">
      <w:pPr>
        <w:pStyle w:val="Gvdemetin"/>
      </w:pPr>
      <w:r>
        <w:rPr/>
        <w:t xml:space="preserve">Bu dört alt bölümün kesiştiği yerde bu çalışmanın konumu belirmektedir. Türkiye–Çin turizm yazını ilişkiyi kazan-kazan bir iş birliği olarak okurken, miras siyaseti yazını paylaşılan İpek Yolu'nun aynı zamanda bir sahiplik çekişmesi olduğunu göstermektedir; ortaklaşa rekabet kuramı ise bu iki okumayı faaliyet düzeyinde birleştirebilecek bir mekanizma sunmakta, fakat bu mekanizma devletlerarası miras turizminde sınanmamış bulunmaktadır. Bu çalışma, ayrıştırma ilkesini Türkiye–Çin İpek Yolu turizmine taşıyarak İpek Yolu mirasının nötr bir ortak varlık değil, ortaklaşa rekabetin nesnesi olduğunu ileri sürmekte ve kazan-kazan okumasının hangi arenalarda geçerli olduğunu, hangilerinde geçersizleştiğini sınamaktadır. Önermeler arasındaki ilişkiler Şekil 1'de gösterilmektedir.</w:t>
      </w:r>
    </w:p>
    <w:p w14:paraId="67145077" w14:textId="61F759BA" w:rsidR="004724F9" w:rsidRDefault="00FC5974" w:rsidP="001B50BE">
      <w:pPr>
        <w:pStyle w:val="Gvdemetin"/>
      </w:pPr>
      <w:r>
        <w:rPr>
          <w:highlight w:val="yellow"/>
        </w:rPr>
        <w:t xml:space="preserve">ŞEKİL 1 BURAYA: yazar Excel/Word’de çizecek; taslak sekiller/sekil1-kavramsal-model.png</w:t>
      </w:r>
    </w:p>
    <w:p w14:paraId="14A4C4B4" w14:textId="40B36ACF" w:rsidR="00D9100A" w:rsidRDefault="00D9100A" w:rsidP="00E57B63">
      <w:pPr>
        <w:suppressAutoHyphens/>
        <w:spacing w:after="120"/>
        <w:ind w:left="567" w:hanging="567"/>
        <w:jc w:val="center"/>
        <w:rPr>
          <w:rFonts w:eastAsia="Calibri" w:cs="Times New Roman"/>
          <w:bCs/>
          <w:color w:val="auto"/>
          <w:sz w:val="20"/>
          <w:szCs w:val="16"/>
          <w:lang w:eastAsia="zh-CN"/>
        </w:rPr>
      </w:pPr>
      <w:r>
        <w:rPr>
          <w:rFonts w:eastAsia="Calibri" w:cs="Times New Roman"/>
          <w:color w:val="auto"/>
          <w:sz w:val="20"/>
          <w:szCs w:val="16"/>
          <w:lang w:eastAsia="zh-CN"/>
          <w:b/>
        </w:rPr>
        <w:t xml:space="preserve">Şekil 1.</w:t>
      </w:r>
      <w:r>
        <w:rPr>
          <w:rFonts w:eastAsia="Calibri" w:cs="Times New Roman"/>
          <w:b/>
          <w:bCs/>
          <w:color w:val="auto"/>
          <w:sz w:val="20"/>
          <w:szCs w:val="16"/>
          <w:lang w:eastAsia="zh-CN"/>
        </w:rPr>
        <w:t xml:space="preserve"> Araştırmanın kavramsal modeli</w:t>
      </w:r>
    </w:p>
    <w:p w14:paraId="07EA2D7F" w14:textId="4DA9FA91" w:rsidR="00603456" w:rsidRPr="004A7BA8" w:rsidRDefault="00C13986" w:rsidP="00CD392A">
      <w:pPr>
        <w:pStyle w:val="birincidzeybalk"/>
      </w:pPr>
      <w:r>
        <w:rPr/>
        <w:t xml:space="preserve">3. Yöntem</w:t>
      </w:r>
    </w:p>
    <w:p w14:paraId="11F4FB04" w14:textId="34BB8FD9" w:rsidR="002A3F34" w:rsidRDefault="00F6431C" w:rsidP="007055A5">
      <w:pPr>
        <w:pStyle w:val="ikincidzeybalk"/>
      </w:pPr>
      <w:r>
        <w:rPr>
          <w:szCs w:val="22"/>
        </w:rPr>
        <w:t xml:space="preserve">3.1. Araştırma Deseni</w:t>
      </w:r>
    </w:p>
    <w:p w14:paraId="67145077" w14:textId="61F759BA" w:rsidR="004724F9" w:rsidRDefault="00FC5974" w:rsidP="001B50BE">
      <w:pPr>
        <w:pStyle w:val="Gvdemetin"/>
      </w:pPr>
      <w:r>
        <w:rPr/>
        <w:t xml:space="preserve">Çalışma, nitel araştırma geleneği içinde tek durumlu, iç içe birimli bir örnek olay olarak tasarlanmıştır. Durum Türkiye–Çin ikilisidir; analiz birimleri ise İpek Yolu turizmi etrafında tanımlanan dört alandır: bağlantısallık, turist akışı, anlatı ve değer yakalama. Veri, sistematik doküman analizi ile çözümlenmiştir (Bowen, 2009). Doküman analizi, resmî belgelerin hem iş birliği hem de rekabet konumlanmasını görünür kılan söylem kaynakları olduğu varsayımına dayanır; bu nedenle analiz, belgelerin ne söylediğini olduğu kadar neyi söylemediğini de izler.</w:t>
      </w:r>
    </w:p>
    <w:p w14:paraId="67145077" w14:textId="61F759BA" w:rsidR="004724F9" w:rsidRDefault="00FC5974" w:rsidP="001B50BE">
      <w:pPr>
        <w:pStyle w:val="Gvdemetin"/>
      </w:pPr>
      <w:r>
        <w:rPr/>
        <w:t xml:space="preserve">Epistemolojik olarak kritik realist bir tutum benimsenmiştir. Bu tutum, iş birliği ile rekabetin hangi alanda ve neden ayrıştığını açıklayan bir mekanizma arar; belgelerdeki söylemsel izler bu mekanizmanın kendisi değil, gözlemlenebilir göstergeleri olarak ele alınır. Mekanizma olarak Bengtsson ve Kock'un (2000) ayrıştırma ilkesi sınanmıştır: iş birliğinin müşteriden uzak, rekabetin müşteriye yakın faaliyetlerde yoğunlaşması.</w:t>
      </w:r>
    </w:p>
    <w:p w14:paraId="11F4FB04" w14:textId="34BB8FD9" w:rsidR="002A3F34" w:rsidRDefault="00F6431C" w:rsidP="007055A5">
      <w:pPr>
        <w:pStyle w:val="ikincidzeybalk"/>
      </w:pPr>
      <w:r>
        <w:rPr>
          <w:szCs w:val="22"/>
        </w:rPr>
        <w:t xml:space="preserve">3.2. Doküman Korpusu</w:t>
      </w:r>
    </w:p>
    <w:p w14:paraId="67145077" w14:textId="61F759BA" w:rsidR="004724F9" w:rsidRDefault="00FC5974" w:rsidP="001B50BE">
      <w:pPr>
        <w:pStyle w:val="Gvdemetin"/>
      </w:pPr>
      <w:r>
        <w:rPr/>
        <w:t xml:space="preserve">Korpus iki alt kümeden oluşur. Birinci küme (Korpus A), iki ülke arasındaki ikili ve ortak resmî belgeleri içerir: ortak bildiriler, mutabakat zaptları, devlet ve hükümet düzeyindeki görüşme özetleri, büyükelçilik konuşmaları ve ortak turizm ya da kültür yılı metinleri. İkinci küme (Korpus B), iki ülkenin birbirinden bağımsız olarak ürettiği İpek Yolu tanıtım ve politika anlatılarını içerir. Bu ayrım bilinçli bir tasarım kararıdır: ortak belgeler doğaları gereği iş birliği diliyle yazıldığından rekabetin izleri büyük ölçüde tek taraflı anlatılarda aranmalıdır.</w:t>
      </w:r>
    </w:p>
    <w:p w14:paraId="67145077" w14:textId="61F759BA" w:rsidR="004724F9" w:rsidRDefault="00FC5974" w:rsidP="001B50BE">
      <w:pPr>
        <w:pStyle w:val="Gvdemetin"/>
      </w:pPr>
      <w:r>
        <w:rPr/>
        <w:t xml:space="preserve">Belgeler ölçüt örneklemesiyle seçilmiştir. Dahil etme ölçütleri şunlardır: (i) 1 Ocak 2010 ile 30 Eylül 2026 arasında yayımlanmış olmak; (ii) resmî bir kurum ya da resmî yayın organı tarafından yayımlanmış olmak; (iii) turizm, İpek Yolu mirası, halklar arası değişim ya da bağlantısallıktan söz etmek; (iv) tam metnine erişilebilmek. Köşe yazıları ve düşünce kuruluşu yorumları bağlam bilgisi için okunmuş, ancak kodlanmamıştır. Sincan Uygur Özerk Bölgesi'ne ilişkin siyasi tartışmaya odaklanan metinler kapsam dışı bırakılmıştır.</w:t>
      </w:r>
    </w:p>
    <w:p w14:paraId="67145077" w14:textId="61F759BA" w:rsidR="004724F9" w:rsidRDefault="00FC5974" w:rsidP="001B50BE">
      <w:pPr>
        <w:pStyle w:val="Gvdemetin"/>
      </w:pPr>
      <w:r>
        <w:rPr/>
        <w:t xml:space="preserve">Belgeler 7 Ekim 2026'da kurumların çevrimiçi kaynaklarından toplanmıştır. Türk tarafında Dışişleri Bakanlığı ve Pekin Büyükelçiliği, Kültür ve Turizm Bakanlığı ve il müdürlükleri, Cumhurbaşkanlığı İletişim Başkanlığı, Ticaret Bakanlığı ve GoTürkiye; Çin tarafında ÇHC Dışişleri Bakanlığı, Kültür ve Turizm Bakanlığı, Devlet Konseyi Bilişim Ofisi, Kuşak ve Yol resmî portalı ile il kültür-turizm daireleri başlıca kaynaklardır. Antalya Mutabakat Zaptı'nın (2015) Türkçe metni Resmî Gazete'den (7 Haziran 2017, Sayı 30089) alınmıştır. Resmî metni bulunamayan iki olay için ajans haberleri kullanılmış ve bu durum envanterde işaretlenmiştir. Erişilemeyen 12 belge ayrı bir listede raporlanmış, yerlerine benzer belge konmamıştır.</w:t>
      </w:r>
    </w:p>
    <w:p w14:paraId="67145077" w14:textId="61F759BA" w:rsidR="004724F9" w:rsidRDefault="00FC5974" w:rsidP="001B50BE">
      <w:pPr>
        <w:pStyle w:val="Gvdemetin"/>
      </w:pPr>
      <w:r>
        <w:rPr/>
        <w:t xml:space="preserve">Nihai korpus 49 belgeden oluşmaktadır: Korpus A'da 25 (11 Türk, 12 Çin, 2 ortak), Korpus B'de 24 (12 Türk, 12 Çin) belge. Korpus A'daki belgelerin 5'i 2010–2014, 9'u 2015–2019, 11'i 2020–2026 dönemine aittir. Korpus B'deki Türk kaynaklarının sekizi tarih göstermeyen tanıtım sayfalarıdır; bunlar erişim tarihiyle birlikte raporlanmıştır. Çince yayımlanmış on sekiz belgenin ilgili bölümleri Türkçeye çevrilmiştir.</w:t>
      </w:r>
    </w:p>
    <w:p w14:paraId="11F4FB04" w14:textId="34BB8FD9" w:rsidR="002A3F34" w:rsidRDefault="00F6431C" w:rsidP="007055A5">
      <w:pPr>
        <w:pStyle w:val="ikincidzeybalk"/>
      </w:pPr>
      <w:r>
        <w:rPr>
          <w:szCs w:val="22"/>
        </w:rPr>
        <w:t xml:space="preserve">3.3. Kodlama Birimi ve Kodlama Şeması</w:t>
      </w:r>
    </w:p>
    <w:p w14:paraId="67145077" w14:textId="61F759BA" w:rsidR="004724F9" w:rsidRDefault="00FC5974" w:rsidP="001B50BE">
      <w:pPr>
        <w:pStyle w:val="Gvdemetin"/>
      </w:pPr>
      <w:r>
        <w:rPr/>
        <w:t xml:space="preserve">Analiz birimi, tek bir iddia taşıyan cümle ya da kısa paragraftır (anlam birimi). Belgeler toplam 368 anlam birimine ayrılmıştır. Her birim için önce alan belirlenmiştir. Alanlar, turiste yakınlık sırasına göre önceden sabitlenmiştir: bağlantısallık (ulaşım, koridor, altyapı), turist akışı (vize, turist sayısı, tanıtım, kültür yılı), anlatı (İpek Yolu'nun tarihi, güzergâhı, başlangıcı ve merkezi; ortak medeniyet söylemi; miras adaylıkları) ve değer yakalama (gelir, yatırım, finansman, aracı payı).</w:t>
      </w:r>
    </w:p>
    <w:p w14:paraId="67145077" w14:textId="61F759BA" w:rsidR="004724F9" w:rsidRDefault="00FC5974" w:rsidP="001B50BE">
      <w:pPr>
        <w:pStyle w:val="Gvdemetin"/>
      </w:pPr>
      <w:r>
        <w:rPr/>
        <w:t xml:space="preserve">Yönelim, yorumlayıcı bir yargıya değil, metinde açıkça görülen üç işarete dayandırılmıştır: (1) ortak özne: iki ülkenin birlikte özne ya da fayda sahibi olarak anılması; (2) kendini öne çıkarma: konuşan tarafın kendini İpek Yolu'nun başlangıcı, merkezi, kapısı ya da köprüsü olarak tanımlaması, kendi koridor ya da marka adını tek başına öne sürmesi veya üstünlük karşılaştırması yapması; (3) dışlama ya da tek taraflılık: ortaklar sayılırken karşı ülkenin atlanması ya da yalnızca bir tarafa yarayan hedef, taviz veya talep. Yönelim bu üç işaretten mekanik olarak türetilmiştir: yalnızca ortak özne varsa iş birliği; ortak özne yokken öne çıkarma ya da dışlama varsa rekabet; ikisi birlikte varsa karma; hiçbiri yoksa nötr.</w:t>
      </w:r>
    </w:p>
    <w:p w14:paraId="11F4FB04" w14:textId="34BB8FD9" w:rsidR="002A3F34" w:rsidRDefault="00F6431C" w:rsidP="007055A5">
      <w:pPr>
        <w:pStyle w:val="ikincidzeybalk"/>
      </w:pPr>
      <w:r>
        <w:rPr>
          <w:szCs w:val="22"/>
        </w:rPr>
        <w:t xml:space="preserve">3.4. Kodlama Süreci ve Güvenirlik</w:t>
      </w:r>
    </w:p>
    <w:p w14:paraId="67145077" w14:textId="61F759BA" w:rsidR="004724F9" w:rsidRDefault="00FC5974" w:rsidP="001B50BE">
      <w:pPr>
        <w:pStyle w:val="Gvdemetin"/>
      </w:pPr>
      <w:r>
        <w:rPr/>
        <w:t xml:space="preserve">Kodlama şeması iki aşamada geliştirilmiştir. Pilot aşamada şemanın ilk sürümü yorumlayıcı yargıya dayanıyordu; bu sürümle yazar ile yapay zekâ destekli bir ön kodlama arasındaki yönelim uyumu çok düşük çıkmıştır (κ = 0,05). Uyuşmazlığın kaynağı, iş birliği dili taşıyan diplomatik cümlelerde örtük rekabetin okunup okunmaması olmuştur. Bu bulgu üzerine şema, yalnızca açık işaretlere dayanan ikinci sürüme dönüştürülmüştür. Pilot aşamadaki kodlar analizde kullanılmamıştır.</w:t>
      </w:r>
    </w:p>
    <w:p w14:paraId="67145077" w14:textId="61F759BA" w:rsidR="004724F9" w:rsidRDefault="00FC5974" w:rsidP="001B50BE">
      <w:pPr>
        <w:pStyle w:val="Gvdemetin"/>
      </w:pPr>
      <w:r>
        <w:rPr/>
        <w:t xml:space="preserve">Nihai kodlama, birbirinden bağımsız çalışan iki kodlayıcı tarafından yapılmıştır [kodlayıcıların alan ve unvan bilgisi]. Kodlayıcılara kodlama kılavuzu ve uydurma bir örnek verilmiş, birbirleriyle görüşmeden kodlama yapmaları istenmiştir. Kodlayıcılar arası uyum alan için Cohen κ = [ ], yönelim için κ = [ ] olarak hesaplanmıştır. Uyuşmazlıklar [uzlaşma toplantısı / yazar kararı] ile çözülmüş ve kodlama günlüğüne kaydedilmiştir.</w:t>
      </w:r>
    </w:p>
    <w:p w14:paraId="67145077" w14:textId="61F759BA" w:rsidR="004724F9" w:rsidRDefault="00FC5974" w:rsidP="001B50BE">
      <w:pPr>
        <w:pStyle w:val="Gvdemetin"/>
      </w:pPr>
      <w:r>
        <w:rPr/>
        <w:t xml:space="preserve">Analiz betimsel niteliktedir: her alanda rekabet kodlarının payı hesaplanmış, Türk ve Çin kaynakları ayrı ayrı karşılaştırılmıştır. Ayrıştırma ilkesinin desteklenip desteklenmediğine ilişkin karar kuralı veri analizinden önce yazılmıştır: rekabet payının bağlantısallıktan değer yakalamaya doğru düzenli artması ya da iki uç arasındaki farkın en az 20 yüzde puan olması destek olarak kabul edilmiştir. Nötr birimlerin paydaya dahil edilip edilmemesi sonucu etkileyebildiğinden iki hesaplama birlikte raporlanmıştır. Önermeye ters düşen birimler (bağlantısallıkta rekabet, anlatı ve değer yakalamada iş birliği) olumsuz vaka olarak ayrıca incelenmiştir.</w:t>
      </w:r>
    </w:p>
    <w:p w14:paraId="11F4FB04" w14:textId="34BB8FD9" w:rsidR="002A3F34" w:rsidRDefault="00F6431C" w:rsidP="007055A5">
      <w:pPr>
        <w:pStyle w:val="ikincidzeybalk"/>
      </w:pPr>
      <w:r>
        <w:rPr>
          <w:szCs w:val="22"/>
        </w:rPr>
        <w:t xml:space="preserve">3.5. Betimsel İkincil Veri</w:t>
      </w:r>
    </w:p>
    <w:p w14:paraId="67145077" w14:textId="61F759BA" w:rsidR="004724F9" w:rsidRDefault="00FC5974" w:rsidP="001B50BE">
      <w:pPr>
        <w:pStyle w:val="Gvdemetin"/>
      </w:pPr>
      <w:r>
        <w:rPr/>
        <w:t xml:space="preserve">Söylem ile gerçekleşen akış arasındaki ilişkiyi değerlendirmek için TÜİK'in Emniyet Genel Müdürlüğü kayıtlarına dayanan "Giriş yapan yabancılar" serisinden 2010–2025 dönemi Çin uyruklu giriş sayıları ve bu sayıların toplam yabancı girişleri içindeki payı kullanılmıştır. Bu seri sınır giriş kaydıdır; turizm dışı ve transit girişleri de içerir, bu nedenle "turist sayısı" olarak değil "Çin uyruklu giriş" olarak adlandırılmıştır. Seri yalnızca betimsel olarak kullanılmış, nedensel bir test yapılmamıştır.</w:t>
      </w:r>
    </w:p>
    <w:p w14:paraId="11F4FB04" w14:textId="34BB8FD9" w:rsidR="002A3F34" w:rsidRDefault="00F6431C" w:rsidP="007055A5">
      <w:pPr>
        <w:pStyle w:val="ikincidzeybalk"/>
      </w:pPr>
      <w:r>
        <w:rPr>
          <w:szCs w:val="22"/>
        </w:rPr>
        <w:t xml:space="preserve">3.6. Etik ve Yapay Zekâ Kullanımı</w:t>
      </w:r>
    </w:p>
    <w:p w14:paraId="67145077" w14:textId="61F759BA" w:rsidR="004724F9" w:rsidRDefault="00FC5974" w:rsidP="001B50BE">
      <w:pPr>
        <w:pStyle w:val="Gvdemetin"/>
      </w:pPr>
      <w:r>
        <w:rPr/>
        <w:t xml:space="preserve">Çalışma yalnızca kamuya açık resmî belgelere ve toplulaştırılmış istatistiklere dayandığı, katılımcı ve kişisel veri içermediği için etik kurul izni gerektirmemektedir; dergiye etik kurul iznine gerek olmadığına dair beyan formu sunulmuştur. Yapay zekâ araçlarının kullanımı, dergi politikası uyarınca makale sonundaki beyanda ayrıntılı olarak belirtilmiştir.</w:t>
      </w:r>
    </w:p>
    <w:p w14:paraId="07EA2D7F" w14:textId="4DA9FA91" w:rsidR="00603456" w:rsidRPr="004A7BA8" w:rsidRDefault="00C13986" w:rsidP="00CD392A">
      <w:pPr>
        <w:pStyle w:val="birincidzeybalk"/>
      </w:pPr>
      <w:r>
        <w:rPr/>
        <w:t xml:space="preserve">4. Bulgular</w:t>
      </w:r>
    </w:p>
    <w:p w14:paraId="11F4FB04" w14:textId="34BB8FD9" w:rsidR="002A3F34" w:rsidRDefault="00F6431C" w:rsidP="007055A5">
      <w:pPr>
        <w:pStyle w:val="ikincidzeybalk"/>
      </w:pPr>
      <w:r>
        <w:rPr>
          <w:szCs w:val="22"/>
        </w:rPr>
        <w:t xml:space="preserve">4.1. Korpusun ve kodlamanın genel görünümü</w:t>
      </w:r>
    </w:p>
    <w:p w14:paraId="67145077" w14:textId="61F759BA" w:rsidR="004724F9" w:rsidRDefault="00FC5974" w:rsidP="001B50BE">
      <w:pPr>
        <w:pStyle w:val="Gvdemetin"/>
      </w:pPr>
      <w:r>
        <w:rPr>
          <w:highlight w:val="yellow"/>
        </w:rPr>
        <w:t xml:space="preserve">YAZAR YAZACAK – yönerge: Tablo 1: Korpus özeti (A: 25 belge, B: 24 belge; taraf dağılımı; dönem dağılımı). Kaynak: `korpus-belge/A/_envanter.csv`, `korpus-belge/B/_envanter.csv`.</w:t>
      </w:r>
    </w:p>
    <w:p w14:paraId="67145077" w14:textId="61F759BA" w:rsidR="004724F9" w:rsidRDefault="00FC5974" w:rsidP="001B50BE">
      <w:pPr>
        <w:pStyle w:val="Gvdemetin"/>
      </w:pPr>
      <w:r>
        <w:rPr>
          <w:highlight w:val="yellow"/>
        </w:rPr>
        <w:t xml:space="preserve">YAZAR YAZACAK – yönerge: Tablo 2: 368 birimin arena × yönelim (İB/RK/KR/NÖ) dağılımı, NÖ dahil ve hariç iki sütun. Kaynak: stats.json → `v2.arena_yonelim` (insan kodlarıyla yeniden üretilecek).</w:t>
      </w:r>
    </w:p>
    <w:p w14:paraId="67145077" w14:textId="61F759BA" w:rsidR="004724F9" w:rsidRDefault="00FC5974" w:rsidP="001B50BE">
      <w:pPr>
        <w:pStyle w:val="Gvdemetin"/>
      </w:pPr>
      <w:r>
        <w:rPr>
          <w:highlight w:val="yellow"/>
        </w:rPr>
        <w:t xml:space="preserve">YAZAR YAZACAK – yönerge: Kodlayıcılar arası uyum: κ(alan), κ(yönelim) + uzlaşı yöntemi tek cümle (Yöntem'de ayrıntı var).</w:t>
      </w:r>
    </w:p>
    <w:p w14:paraId="67145077" w14:textId="61F759BA" w:rsidR="004724F9" w:rsidRDefault="00FC5974" w:rsidP="001B50BE">
      <w:pPr>
        <w:pStyle w:val="Gvdemetin"/>
      </w:pPr>
      <w:r>
        <w:rPr>
          <w:highlight w:val="yellow"/>
        </w:rPr>
        <w:t xml:space="preserve">YAZAR YAZACAK – yönerge: Burada yorum yok; yalnız betim.</w:t>
      </w:r>
    </w:p>
    <w:p w14:paraId="11F4FB04" w14:textId="34BB8FD9" w:rsidR="002A3F34" w:rsidRDefault="00F6431C" w:rsidP="007055A5">
      <w:pPr>
        <w:pStyle w:val="ikincidzeybalk"/>
      </w:pPr>
      <w:r>
        <w:rPr>
          <w:szCs w:val="22"/>
        </w:rPr>
        <w:t xml:space="preserve">4.2. Ö1 ve Ö2: aynı mirasın iki yüzü</w:t>
      </w:r>
    </w:p>
    <w:p w14:paraId="67145077" w14:textId="61F759BA" w:rsidR="004724F9" w:rsidRDefault="00FC5974" w:rsidP="001B50BE">
      <w:pPr>
        <w:pStyle w:val="Gvdemetin"/>
      </w:pPr>
      <w:r>
        <w:rPr>
          <w:highlight w:val="yellow"/>
        </w:rPr>
        <w:t xml:space="preserve">YAZAR YAZACAK – yönerge: Korpus A'da İB payı; Korpus B'de RK payı. İki korpusun karşılaştırması (Tablo 3).</w:t>
      </w:r>
    </w:p>
    <w:p w14:paraId="67145077" w14:textId="61F759BA" w:rsidR="004724F9" w:rsidRDefault="00FC5974" w:rsidP="001B50BE">
      <w:pPr>
        <w:pStyle w:val="Gvdemetin"/>
      </w:pPr>
      <w:r>
        <w:rPr>
          <w:highlight w:val="yellow"/>
        </w:rPr>
        <w:t xml:space="preserve">YAZAR YAZACAK – yönerge: Her yönelim için 2–3 kısa belge alıntısı (ifade no ile: A07-03 gibi). Çin kaynakları için Türkçe çeviri + dipnotta özgün dil notu.</w:t>
      </w:r>
    </w:p>
    <w:p w14:paraId="67145077" w14:textId="61F759BA" w:rsidR="004724F9" w:rsidRDefault="00FC5974" w:rsidP="001B50BE">
      <w:pPr>
        <w:pStyle w:val="Gvdemetin"/>
      </w:pPr>
      <w:r>
        <w:rPr>
          <w:highlight w:val="yellow"/>
        </w:rPr>
        <w:t xml:space="preserve">YAZAR YAZACAK – yönerge: Tanınma asimetrisi: karşı ülkeyi atlama ve "başlangıç iddiası" sayıları TR/CN ayrı (M3 işareti). Pilot v1 alt kodları (tanınma-yok TR 4 / CN 20) analizde KULLANILMAZ; insan kodlarında M3 "dışlama" sütunundan yeniden sayılır.</w:t>
      </w:r>
    </w:p>
    <w:p w14:paraId="11F4FB04" w14:textId="34BB8FD9" w:rsidR="002A3F34" w:rsidRDefault="00F6431C" w:rsidP="007055A5">
      <w:pPr>
        <w:pStyle w:val="ikincidzeybalk"/>
      </w:pPr>
      <w:r>
        <w:rPr>
          <w:szCs w:val="22"/>
        </w:rPr>
        <w:t xml:space="preserve">4.3. Ö3: rekabet payı turiste yakınlıkla artıyor mu?</w:t>
      </w:r>
    </w:p>
    <w:p w14:paraId="67145077" w14:textId="61F759BA" w:rsidR="004724F9" w:rsidRDefault="00FC5974" w:rsidP="001B50BE">
      <w:pPr>
        <w:pStyle w:val="Gvdemetin"/>
      </w:pPr>
      <w:r>
        <w:rPr>
          <w:highlight w:val="yellow"/>
        </w:rPr>
        <w:t xml:space="preserve">YAZAR YAZACAK – yönerge: Tablo 4 / Şekil 3: A1→A4 RK payı; üç satır: NÖ hariç, NÖ dahil, Türk/Çin kaynakları ayrı.</w:t>
      </w:r>
    </w:p>
    <w:p w14:paraId="67145077" w14:textId="61F759BA" w:rsidR="004724F9" w:rsidRDefault="00FC5974" w:rsidP="001B50BE">
      <w:pPr>
        <w:pStyle w:val="Gvdemetin"/>
      </w:pPr>
      <w:r>
        <w:rPr>
          <w:highlight w:val="yellow"/>
        </w:rPr>
        <w:t xml:space="preserve">YAZAR YAZACAK – yönerge: Ön-kayıtlı karar kuralı (blueprint §6): monoton YA DA A1→A4 farkı ≥ 20 yp → destek / kısmi / destek yok. Kuralı uygulayıp sonucu tek cümleyle yaz; payda duyarlılığını (NÖ) açıkça söyle.</w:t>
      </w:r>
    </w:p>
    <w:p w14:paraId="67145077" w14:textId="61F759BA" w:rsidR="004724F9" w:rsidRDefault="00FC5974" w:rsidP="001B50BE">
      <w:pPr>
        <w:pStyle w:val="Gvdemetin"/>
      </w:pPr>
      <w:r>
        <w:rPr>
          <w:highlight w:val="yellow"/>
        </w:rPr>
        <w:t xml:space="preserve">YAZAR YAZACAK – yönerge: Olumsuz vakalar: A1'de RK, A3–A4'te İB kodlu birimler; sayı + 1–2 örnek. Bengtsson &amp; Kock s. 420 pazar temelli ayrışma burada anılır (Tartışma'ya köprü).</w:t>
      </w:r>
    </w:p>
    <w:p w14:paraId="11F4FB04" w14:textId="34BB8FD9" w:rsidR="002A3F34" w:rsidRDefault="00F6431C" w:rsidP="007055A5">
      <w:pPr>
        <w:pStyle w:val="ikincidzeybalk"/>
      </w:pPr>
      <w:r>
        <w:rPr>
          <w:szCs w:val="22"/>
        </w:rPr>
        <w:t xml:space="preserve">4.4. Ö4 ve Ö5: söylem–akış açığı</w:t>
      </w:r>
    </w:p>
    <w:p w14:paraId="67145077" w14:textId="61F759BA" w:rsidR="004724F9" w:rsidRDefault="00FC5974" w:rsidP="001B50BE">
      <w:pPr>
        <w:pStyle w:val="Gvdemetin"/>
      </w:pPr>
      <w:r>
        <w:rPr>
          <w:highlight w:val="yellow"/>
        </w:rPr>
        <w:t xml:space="preserve">YAZAR YAZACAK – yönerge: Şekil 2: Çin uyruklu giriş 2010–2025 + pay (%); olaylar: 2015 e-vize, 2018 Turizm Yılı, 2020 COVID, 2024 MoU. Veri: `ham-veri/cinli-ziyaretci-tuik.csv`. Yazar şekli Excel'de yeniden çizer (YZ görseli yasak).</w:t>
      </w:r>
    </w:p>
    <w:p w14:paraId="67145077" w14:textId="61F759BA" w:rsidR="004724F9" w:rsidRDefault="00FC5974" w:rsidP="001B50BE">
      <w:pPr>
        <w:pStyle w:val="Gvdemetin"/>
      </w:pPr>
      <w:r>
        <w:rPr>
          <w:highlight w:val="yellow"/>
        </w:rPr>
        <w:t xml:space="preserve">YAZAR YAZACAK – yönerge: Betimsel: 2013 138.876 → 2019 426.344 → 2025 425.348; pay en yüksek 2018 %0,998. Nedensel iddia YOK.</w:t>
      </w:r>
    </w:p>
    <w:p w14:paraId="67145077" w14:textId="61F759BA" w:rsidR="004724F9" w:rsidRDefault="00FC5974" w:rsidP="001B50BE">
      <w:pPr>
        <w:pStyle w:val="Gvdemetin"/>
      </w:pPr>
      <w:r>
        <w:rPr>
          <w:highlight w:val="yellow"/>
        </w:rPr>
        <w:t xml:space="preserve">YAZAR YAZACAK – yönerge: Korpus B'de Çin'in yurt içi İpek Yolu destinasyonlarını (Xi'an, Dunhuang vb.) pazarlayan birimler → Ö5 için yorumlayıcı kanıt; sayısı ve örneği.</w:t>
      </w:r>
    </w:p>
    <w:p w14:paraId="07EA2D7F" w14:textId="4DA9FA91" w:rsidR="00603456" w:rsidRPr="004A7BA8" w:rsidRDefault="00C13986" w:rsidP="00CD392A">
      <w:pPr>
        <w:pStyle w:val="birincidzeybalk"/>
      </w:pPr>
      <w:r>
        <w:rPr/>
        <w:t xml:space="preserve">5. Tartışma ve Sonuç</w:t>
      </w:r>
    </w:p>
    <w:p w14:paraId="11F4FB04" w14:textId="34BB8FD9" w:rsidR="002A3F34" w:rsidRDefault="00F6431C" w:rsidP="007055A5">
      <w:pPr>
        <w:pStyle w:val="ikincidzeybalk"/>
      </w:pPr>
      <w:r>
        <w:rPr>
          <w:szCs w:val="22"/>
        </w:rPr>
        <w:t xml:space="preserve">5.1. Bulguların kuramla ilişkisi</w:t>
      </w:r>
    </w:p>
    <w:p w14:paraId="67145077" w14:textId="61F759BA" w:rsidR="004724F9" w:rsidRDefault="00FC5974" w:rsidP="001B50BE">
      <w:pPr>
        <w:pStyle w:val="Gvdemetin"/>
      </w:pPr>
      <w:r>
        <w:rPr>
          <w:highlight w:val="yellow"/>
        </w:rPr>
        <w:t xml:space="preserve">YAZAR YAZACAK – yönerge: Ayrıştırma ilkesi devletlerarası miras turizminde ne ölçüde işledi? (Ö3 sonucu) Desteklenmediyse: kuramsal katkı yine var (blueprint §6 cevabı).</w:t>
      </w:r>
    </w:p>
    <w:p w14:paraId="67145077" w14:textId="61F759BA" w:rsidR="004724F9" w:rsidRDefault="00FC5974" w:rsidP="001B50BE">
      <w:pPr>
        <w:pStyle w:val="Gvdemetin"/>
      </w:pPr>
      <w:r>
        <w:rPr>
          <w:highlight w:val="yellow"/>
        </w:rPr>
        <w:t xml:space="preserve">YAZAR YAZACAK – yönerge: Rakip açıklamalar: (a) pazar/coğrafya temelli ayrışma (B&amp;K s. 420), (b) coğrafi–kültürel uzaklık (Deng &amp; Hu 2019), (c) güç asimetrisi (Norheim-Hansen vd. 2026; B&amp;K Önerme 3 s. 422). Her biri için bulgunun ne söylediği.</w:t>
      </w:r>
    </w:p>
    <w:p w14:paraId="67145077" w14:textId="61F759BA" w:rsidR="004724F9" w:rsidRDefault="00FC5974" w:rsidP="001B50BE">
      <w:pPr>
        <w:pStyle w:val="Gvdemetin"/>
      </w:pPr>
      <w:r>
        <w:rPr>
          <w:highlight w:val="yellow"/>
        </w:rPr>
        <w:t xml:space="preserve">YAZAR YAZACAK – yönerge: "Paylaşılan miras" çatallanması: Türk ve Çin anlatılarında simetrik mi, asimetrik mi? (M2/M3 TR–CN karşılaştırması).</w:t>
      </w:r>
    </w:p>
    <w:p w14:paraId="67145077" w14:textId="61F759BA" w:rsidR="004724F9" w:rsidRDefault="00FC5974" w:rsidP="001B50BE">
      <w:pPr>
        <w:pStyle w:val="Gvdemetin"/>
      </w:pPr>
      <w:r>
        <w:rPr>
          <w:highlight w:val="yellow"/>
        </w:rPr>
        <w:t xml:space="preserve">YAZAR YAZACAK – yönerge: Ara aktör olasılığı (B&amp;K Önerme 5 s. 423): UNESCO ortak adaylık, UNWTO İpek Yolu Programı, TDT → politika önerisine zemin.</w:t>
      </w:r>
    </w:p>
    <w:p w14:paraId="11F4FB04" w14:textId="34BB8FD9" w:rsidR="002A3F34" w:rsidRDefault="00F6431C" w:rsidP="007055A5">
      <w:pPr>
        <w:pStyle w:val="ikincidzeybalk"/>
      </w:pPr>
      <w:r>
        <w:rPr>
          <w:szCs w:val="22"/>
        </w:rPr>
        <w:t xml:space="preserve">5.2. Politika çıkarımları</w:t>
      </w:r>
    </w:p>
    <w:p w14:paraId="67145077" w14:textId="61F759BA" w:rsidR="004724F9" w:rsidRDefault="00FC5974" w:rsidP="001B50BE">
      <w:pPr>
        <w:pStyle w:val="Gvdemetin"/>
      </w:pPr>
      <w:r>
        <w:rPr>
          <w:highlight w:val="yellow"/>
        </w:rPr>
        <w:t xml:space="preserve">YAZAR YAZACAK – yönerge: Türkiye için: iş birliğinin verimli olduğu arena(lar) ile farklılaşmanın gerektiği arena(lar). Kazan-kazan dilinin hangi arenada yanıltıcı olduğu.</w:t>
      </w:r>
    </w:p>
    <w:p w14:paraId="67145077" w14:textId="61F759BA" w:rsidR="004724F9" w:rsidRDefault="00FC5974" w:rsidP="001B50BE">
      <w:pPr>
        <w:pStyle w:val="Gvdemetin"/>
      </w:pPr>
      <w:r>
        <w:rPr>
          <w:highlight w:val="yellow"/>
        </w:rPr>
        <w:t xml:space="preserve">YAZAR YAZACAK – yönerge: Kısa, somut; en fazla 3 öneri.</w:t>
      </w:r>
    </w:p>
    <w:p w14:paraId="11F4FB04" w14:textId="34BB8FD9" w:rsidR="002A3F34" w:rsidRDefault="00F6431C" w:rsidP="007055A5">
      <w:pPr>
        <w:pStyle w:val="ikincidzeybalk"/>
      </w:pPr>
      <w:r>
        <w:rPr>
          <w:szCs w:val="22"/>
        </w:rPr>
        <w:t xml:space="preserve">5.3. Sınırlılıklar</w:t>
      </w:r>
    </w:p>
    <w:p w14:paraId="67145077" w14:textId="61F759BA" w:rsidR="004724F9" w:rsidRDefault="00FC5974" w:rsidP="001B50BE">
      <w:pPr>
        <w:pStyle w:val="Gvdemetin"/>
      </w:pPr>
      <w:r>
        <w:rPr>
          <w:highlight w:val="yellow"/>
        </w:rPr>
        <w:t xml:space="preserve">YAZAR YAZACAK – yönerge: Korpus seçim yanlılığı (Bowen 2009); erişilemeyen 12 belge; Çince metinlerin İngilizce/çeviri sürümleri.</w:t>
      </w:r>
    </w:p>
    <w:p w14:paraId="67145077" w14:textId="61F759BA" w:rsidR="004724F9" w:rsidRDefault="00FC5974" w:rsidP="001B50BE">
      <w:pPr>
        <w:pStyle w:val="Gvdemetin"/>
      </w:pPr>
      <w:r>
        <w:rPr>
          <w:highlight w:val="yellow"/>
        </w:rPr>
        <w:t xml:space="preserve">YAZAR YAZACAK – yönerge: Değer yakalama arenasında construct–measure gap (gelir payı verisi yok; &lt;5 birimse "kanıt yetersiz").</w:t>
      </w:r>
    </w:p>
    <w:p w14:paraId="67145077" w14:textId="61F759BA" w:rsidR="004724F9" w:rsidRDefault="00FC5974" w:rsidP="001B50BE">
      <w:pPr>
        <w:pStyle w:val="Gvdemetin"/>
      </w:pPr>
      <w:r>
        <w:rPr>
          <w:highlight w:val="yellow"/>
        </w:rPr>
        <w:t xml:space="preserve">YAZAR YAZACAK – yönerge: TÜİK serisi sınır girişi, turist değil; nedensel test yok.</w:t>
      </w:r>
    </w:p>
    <w:p w14:paraId="67145077" w14:textId="61F759BA" w:rsidR="004724F9" w:rsidRDefault="00FC5974" w:rsidP="001B50BE">
      <w:pPr>
        <w:pStyle w:val="Gvdemetin"/>
      </w:pPr>
      <w:r>
        <w:rPr>
          <w:highlight w:val="yellow"/>
        </w:rPr>
        <w:t xml:space="preserve">YAZAR YAZACAK – yönerge: Sincan tartışmasının kapsam dışı bırakılması analitik olduğu kadar siyasi bir tercihtir (blueprint §10).</w:t>
      </w:r>
    </w:p>
    <w:p w14:paraId="67145077" w14:textId="61F759BA" w:rsidR="004724F9" w:rsidRDefault="00FC5974" w:rsidP="001B50BE">
      <w:pPr>
        <w:pStyle w:val="Gvdemetin"/>
      </w:pPr>
      <w:r>
        <w:rPr>
          <w:highlight w:val="yellow"/>
        </w:rPr>
        <w:t xml:space="preserve">YAZAR YAZACAK – yönerge: Yazar konumu: Türk, turizm pazarlaması; simetrik kodlama ile dengelendi.</w:t>
      </w:r>
    </w:p>
    <w:p w14:paraId="11F4FB04" w14:textId="34BB8FD9" w:rsidR="002A3F34" w:rsidRDefault="00F6431C" w:rsidP="007055A5">
      <w:pPr>
        <w:pStyle w:val="ikincidzeybalk"/>
      </w:pPr>
      <w:r>
        <w:rPr>
          <w:szCs w:val="22"/>
        </w:rPr>
        <w:t xml:space="preserve">5.4. Sonuç</w:t>
      </w:r>
    </w:p>
    <w:p w14:paraId="67145077" w14:textId="61F759BA" w:rsidR="004724F9" w:rsidRDefault="00FC5974" w:rsidP="001B50BE">
      <w:pPr>
        <w:pStyle w:val="Gvdemetin"/>
      </w:pPr>
      <w:r>
        <w:rPr>
          <w:highlight w:val="yellow"/>
        </w:rPr>
        <w:t xml:space="preserve">YAZAR YAZACAK – yönerge: Katkı cümlesi (Giriş'tekiyle aynı iddia, bulguyla doldurulmuş).</w:t>
      </w:r>
    </w:p>
    <w:p w14:paraId="67145077" w14:textId="61F759BA" w:rsidR="004724F9" w:rsidRDefault="00FC5974" w:rsidP="001B50BE">
      <w:pPr>
        <w:pStyle w:val="Gvdemetin"/>
      </w:pPr>
      <w:r>
        <w:rPr>
          <w:highlight w:val="yellow"/>
        </w:rPr>
        <w:t xml:space="preserve">YAZAR YAZACAK – yönerge: Gelecek araştırma: değer yakalama verisi; Çince birincil yazın; Orta Asya üçüncü taraf perspektifi; boylamsal izleme (2026 vize muafiyeti sonrası).</w:t>
      </w:r>
    </w:p>
    <w:p w14:paraId="54FD42EF" w14:textId="374508AE" w:rsidR="00D04A43" w:rsidRPr="00664819" w:rsidRDefault="00D04A43" w:rsidP="00664819">
      <w:pPr>
        <w:pStyle w:val="bulgulartartma"/>
        <w:spacing w:before="120" w:after="120"/>
        <w:jc w:val="both"/>
        <w:rPr>
          <w:b w:val="0"/>
          <w:bCs w:val="0"/>
          <w:color w:val="000000" w:themeColor="text1"/>
        </w:rPr>
      </w:pPr>
      <w:r>
        <w:rPr/>
        <w:t xml:space="preserve">Kaynakça</w:t>
      </w:r>
    </w:p>
    <w:p w14:paraId="7181E931" w14:textId="12400B6F" w:rsidR="00D67217" w:rsidRPr="004D166C" w:rsidRDefault="00A529DA" w:rsidP="00A529DA">
      <w:pPr>
        <w:ind w:left="709" w:hanging="709"/>
        <w:rPr>
          <w:szCs w:val="22"/>
          <w:lang w:val="en-US"/>
        </w:rPr>
      </w:pPr>
      <w:r>
        <w:rPr>
          <w:szCs w:val="22"/>
          <w:lang w:val="en-US"/>
        </w:rPr>
        <w:t xml:space="preserve">Akçay, N., &amp; Guo, C. (2023). Türkiye's Middle Corridor and China's BRI: Identification and assessment. </w:t>
      </w:r>
      <w:r>
        <w:rPr>
          <w:szCs w:val="22"/>
          <w:lang w:val="en-US"/>
          <w:i/>
        </w:rPr>
        <w:t xml:space="preserve">Insight Turkey, 25</w:t>
      </w:r>
      <w:r>
        <w:rPr>
          <w:szCs w:val="22"/>
          <w:lang w:val="en-US"/>
        </w:rPr>
        <w:t xml:space="preserve">(1), 63–74. https://doi.org/10.25253/99.2023251.4</w:t>
      </w:r>
    </w:p>
    <w:p w14:paraId="7181E931" w14:textId="12400B6F" w:rsidR="00D67217" w:rsidRPr="004D166C" w:rsidRDefault="00A529DA" w:rsidP="00A529DA">
      <w:pPr>
        <w:ind w:left="709" w:hanging="709"/>
        <w:rPr>
          <w:szCs w:val="22"/>
          <w:lang w:val="en-US"/>
        </w:rPr>
      </w:pPr>
      <w:r>
        <w:rPr>
          <w:szCs w:val="22"/>
          <w:lang w:val="en-US"/>
        </w:rPr>
        <w:t xml:space="preserve">Akyılmaz, B. (2021). Evaluations of Chinese travel agencies on Mesopotamia destination from the marketing and branding perspective. </w:t>
      </w:r>
      <w:r>
        <w:rPr>
          <w:szCs w:val="22"/>
          <w:lang w:val="en-US"/>
          <w:i/>
        </w:rPr>
        <w:t xml:space="preserve">İşletme Araştırmaları Dergisi, 13</w:t>
      </w:r>
      <w:r>
        <w:rPr>
          <w:szCs w:val="22"/>
          <w:lang w:val="en-US"/>
        </w:rPr>
        <w:t xml:space="preserve">(2), 1800–1816. https://doi.org/10.20491/isarder.2021.1230</w:t>
      </w:r>
    </w:p>
    <w:p w14:paraId="7181E931" w14:textId="12400B6F" w:rsidR="00D67217" w:rsidRPr="004D166C" w:rsidRDefault="00A529DA" w:rsidP="00A529DA">
      <w:pPr>
        <w:ind w:left="709" w:hanging="709"/>
        <w:rPr>
          <w:szCs w:val="22"/>
          <w:lang w:val="en-US"/>
        </w:rPr>
      </w:pPr>
      <w:r>
        <w:rPr>
          <w:szCs w:val="22"/>
          <w:lang w:val="en-US"/>
        </w:rPr>
        <w:t xml:space="preserve">Bengtsson, M., &amp; Kock, S. (1999). Cooperation and competition in relationships between competitors in business networks. </w:t>
      </w:r>
      <w:r>
        <w:rPr>
          <w:szCs w:val="22"/>
          <w:lang w:val="en-US"/>
          <w:i/>
        </w:rPr>
        <w:t xml:space="preserve">Journal of Business &amp; Industrial Marketing, 14</w:t>
      </w:r>
      <w:r>
        <w:rPr>
          <w:szCs w:val="22"/>
          <w:lang w:val="en-US"/>
        </w:rPr>
        <w:t xml:space="preserve">(3), 178–194. https://doi.org/10.1108/08858629910272184</w:t>
      </w:r>
    </w:p>
    <w:p w14:paraId="7181E931" w14:textId="12400B6F" w:rsidR="00D67217" w:rsidRPr="004D166C" w:rsidRDefault="00A529DA" w:rsidP="00A529DA">
      <w:pPr>
        <w:ind w:left="709" w:hanging="709"/>
        <w:rPr>
          <w:szCs w:val="22"/>
          <w:lang w:val="en-US"/>
        </w:rPr>
      </w:pPr>
      <w:r>
        <w:rPr>
          <w:szCs w:val="22"/>
          <w:lang w:val="en-US"/>
        </w:rPr>
        <w:t xml:space="preserve">Bengtsson, M., &amp; Kock, S. (2000). “Coopetition” in business networks—To cooperate and compete simultaneously. </w:t>
      </w:r>
      <w:r>
        <w:rPr>
          <w:szCs w:val="22"/>
          <w:lang w:val="en-US"/>
          <w:i/>
        </w:rPr>
        <w:t xml:space="preserve">Industrial Marketing Management, 29</w:t>
      </w:r>
      <w:r>
        <w:rPr>
          <w:szCs w:val="22"/>
          <w:lang w:val="en-US"/>
        </w:rPr>
        <w:t xml:space="preserve">(5), 411–426. https://doi.org/10.1016/S0019-8501(99)00067-X</w:t>
      </w:r>
    </w:p>
    <w:p w14:paraId="7181E931" w14:textId="12400B6F" w:rsidR="00D67217" w:rsidRPr="004D166C" w:rsidRDefault="00A529DA" w:rsidP="00A529DA">
      <w:pPr>
        <w:ind w:left="709" w:hanging="709"/>
        <w:rPr>
          <w:szCs w:val="22"/>
          <w:lang w:val="en-US"/>
        </w:rPr>
      </w:pPr>
      <w:r>
        <w:rPr>
          <w:szCs w:val="22"/>
          <w:lang w:val="en-US"/>
        </w:rPr>
        <w:t xml:space="preserve">Bowen, G. A. (2009). Document analysis as a qualitative research method. </w:t>
      </w:r>
      <w:r>
        <w:rPr>
          <w:szCs w:val="22"/>
          <w:lang w:val="en-US"/>
          <w:i/>
        </w:rPr>
        <w:t xml:space="preserve">Qualitative Research Journal, 9</w:t>
      </w:r>
      <w:r>
        <w:rPr>
          <w:szCs w:val="22"/>
          <w:lang w:val="en-US"/>
        </w:rPr>
        <w:t xml:space="preserve">(2), 27–40. https://doi.org/10.3316/QRJ0902027</w:t>
      </w:r>
    </w:p>
    <w:p w14:paraId="7181E931" w14:textId="12400B6F" w:rsidR="00D67217" w:rsidRPr="004D166C" w:rsidRDefault="00A529DA" w:rsidP="00A529DA">
      <w:pPr>
        <w:ind w:left="709" w:hanging="709"/>
        <w:rPr>
          <w:szCs w:val="22"/>
          <w:lang w:val="en-US"/>
        </w:rPr>
      </w:pPr>
      <w:r>
        <w:rPr>
          <w:szCs w:val="22"/>
          <w:lang w:val="en-US"/>
        </w:rPr>
        <w:t xml:space="preserve">Brandenburger, A. M., &amp; Nalebuff, B. J. (1996). </w:t>
      </w:r>
      <w:r>
        <w:rPr>
          <w:szCs w:val="22"/>
          <w:lang w:val="en-US"/>
          <w:i/>
        </w:rPr>
        <w:t xml:space="preserve">Co-opetition</w:t>
      </w:r>
      <w:r>
        <w:rPr>
          <w:szCs w:val="22"/>
          <w:lang w:val="en-US"/>
        </w:rPr>
        <w:t xml:space="preserve">. Doubleday.</w:t>
      </w:r>
    </w:p>
    <w:p w14:paraId="7181E931" w14:textId="12400B6F" w:rsidR="00D67217" w:rsidRPr="004D166C" w:rsidRDefault="00A529DA" w:rsidP="00A529DA">
      <w:pPr>
        <w:ind w:left="709" w:hanging="709"/>
        <w:rPr>
          <w:szCs w:val="22"/>
          <w:lang w:val="en-US"/>
        </w:rPr>
      </w:pPr>
      <w:r>
        <w:rPr>
          <w:szCs w:val="22"/>
          <w:lang w:val="en-US"/>
        </w:rPr>
        <w:t xml:space="preserve">Brown, M. S., &amp; O'Brien, D. (2025). The silk roads and shared heritage in Europe: Beyond 'China to Rome'. </w:t>
      </w:r>
      <w:r>
        <w:rPr>
          <w:szCs w:val="22"/>
          <w:lang w:val="en-US"/>
          <w:i/>
        </w:rPr>
        <w:t xml:space="preserve">China Information, 39</w:t>
      </w:r>
      <w:r>
        <w:rPr>
          <w:szCs w:val="22"/>
          <w:lang w:val="en-US"/>
        </w:rPr>
        <w:t xml:space="preserve">(3), 279–300. https://doi.org/10.1177/0920203X241281989</w:t>
      </w:r>
    </w:p>
    <w:p w14:paraId="7181E931" w14:textId="12400B6F" w:rsidR="00D67217" w:rsidRPr="004D166C" w:rsidRDefault="00A529DA" w:rsidP="00A529DA">
      <w:pPr>
        <w:ind w:left="709" w:hanging="709"/>
        <w:rPr>
          <w:szCs w:val="22"/>
          <w:lang w:val="en-US"/>
        </w:rPr>
      </w:pPr>
      <w:r>
        <w:rPr>
          <w:szCs w:val="22"/>
          <w:lang w:val="en-US"/>
        </w:rPr>
        <w:t xml:space="preserve">Chaziza, M. (2021). China's New Silk Road strategy and the Turkish Middle Corridor vision. </w:t>
      </w:r>
      <w:r>
        <w:rPr>
          <w:szCs w:val="22"/>
          <w:lang w:val="en-US"/>
          <w:i/>
        </w:rPr>
        <w:t xml:space="preserve">Asian Journal of Middle Eastern and Islamic Studies, 15</w:t>
      </w:r>
      <w:r>
        <w:rPr>
          <w:szCs w:val="22"/>
          <w:lang w:val="en-US"/>
        </w:rPr>
        <w:t xml:space="preserve">(1), 34–50. https://doi.org/10.1080/25765949.2021.1881326</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(2017a). The coopetition perspective applied to tourism destinations: A literature review. </w:t>
      </w:r>
      <w:r>
        <w:rPr>
          <w:szCs w:val="22"/>
          <w:lang w:val="en-US"/>
          <w:i/>
        </w:rPr>
        <w:t xml:space="preserve">Anatolia, 28</w:t>
      </w:r>
      <w:r>
        <w:rPr>
          <w:szCs w:val="22"/>
          <w:lang w:val="en-US"/>
        </w:rPr>
        <w:t xml:space="preserve">(3), 381–393. https://doi.org/10.1080/13032917.2017.1322524</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(2017b). Tourism coopetition: An introduction to the subject and a research agenda. </w:t>
      </w:r>
      <w:r>
        <w:rPr>
          <w:szCs w:val="22"/>
          <w:lang w:val="en-US"/>
          <w:i/>
        </w:rPr>
        <w:t xml:space="preserve">International Business Review, 26</w:t>
      </w:r>
      <w:r>
        <w:rPr>
          <w:szCs w:val="22"/>
          <w:lang w:val="en-US"/>
        </w:rPr>
        <w:t xml:space="preserve">(6), 1208–1217. https://doi.org/10.1016/j.ibusrev.2017.05.003</w:t>
      </w:r>
    </w:p>
    <w:p w14:paraId="7181E931" w14:textId="12400B6F" w:rsidR="00D67217" w:rsidRPr="004D166C" w:rsidRDefault="00A529DA" w:rsidP="00A529DA">
      <w:pPr>
        <w:ind w:left="709" w:hanging="709"/>
        <w:rPr>
          <w:szCs w:val="22"/>
          <w:lang w:val="en-US"/>
        </w:rPr>
      </w:pPr>
      <w:r>
        <w:rPr>
          <w:szCs w:val="22"/>
          <w:lang w:val="en-US"/>
        </w:rPr>
        <w:t xml:space="preserve">Chou, H.-H., &amp; Zolkiewski, J. (2018). Coopetition and value creation and appropriation: The role of interdependencies, tensions and harmony. </w:t>
      </w:r>
      <w:r>
        <w:rPr>
          <w:szCs w:val="22"/>
          <w:lang w:val="en-US"/>
          <w:i/>
        </w:rPr>
        <w:t xml:space="preserve">Industrial Marketing Management, 70</w:t>
      </w:r>
      <w:r>
        <w:rPr>
          <w:szCs w:val="22"/>
          <w:lang w:val="en-US"/>
        </w:rPr>
        <w:t xml:space="preserve">, 25–33. https://doi.org/10.1016/j.indmarman.2017.08.014</w:t>
      </w:r>
    </w:p>
    <w:p w14:paraId="7181E931" w14:textId="12400B6F" w:rsidR="00D67217" w:rsidRPr="004D166C" w:rsidRDefault="00A529DA" w:rsidP="00A529DA">
      <w:pPr>
        <w:ind w:left="709" w:hanging="709"/>
        <w:rPr>
          <w:szCs w:val="22"/>
          <w:lang w:val="en-US"/>
        </w:rPr>
      </w:pPr>
      <w:r>
        <w:rPr>
          <w:szCs w:val="22"/>
          <w:lang w:val="en-US"/>
        </w:rPr>
        <w:t xml:space="preserve">Cihangir, E., Şeremet, M., &amp; Cihangir-Çamur, K. (2022). Turkey at the crossroads: A study of geopolitics and tourism re-alignment. </w:t>
      </w:r>
      <w:r>
        <w:rPr>
          <w:szCs w:val="22"/>
          <w:lang w:val="en-US"/>
          <w:i/>
        </w:rPr>
        <w:t xml:space="preserve">Geography, 107</w:t>
      </w:r>
      <w:r>
        <w:rPr>
          <w:szCs w:val="22"/>
          <w:lang w:val="en-US"/>
        </w:rPr>
        <w:t xml:space="preserve">(3), 145–152. https://doi.org/10.1080/00167487.2022.2114165</w:t>
      </w:r>
    </w:p>
    <w:p w14:paraId="7181E931" w14:textId="12400B6F" w:rsidR="00D67217" w:rsidRPr="004D166C" w:rsidRDefault="00A529DA" w:rsidP="00A529DA">
      <w:pPr>
        <w:ind w:left="709" w:hanging="709"/>
        <w:rPr>
          <w:szCs w:val="22"/>
          <w:lang w:val="en-US"/>
        </w:rPr>
      </w:pPr>
      <w:r>
        <w:rPr>
          <w:szCs w:val="22"/>
          <w:lang w:val="en-US"/>
        </w:rPr>
        <w:t xml:space="preserve">Çin Halk Cumhuriyeti Kültür ve Turizm Bakanlığı. (2024, 6 Haziran). </w:t>
      </w:r>
      <w:r>
        <w:rPr>
          <w:szCs w:val="22"/>
          <w:lang w:val="en-US"/>
          <w:i/>
        </w:rPr>
        <w:t xml:space="preserve">Wenhua he lüyou bu buzhang huijian Tu'erqi wenhua he lüyou bu buzhang</w:t>
      </w:r>
      <w:r>
        <w:rPr>
          <w:szCs w:val="22"/>
          <w:lang w:val="en-US"/>
        </w:rPr>
        <w:t xml:space="preserve"> [Kültür ve turizm bakanı Türkiye kültür ve turizm bakanı ile görüştü]. https://www.mct.gov.cn/whzx/whyw/202406/t20240606_953372.htm</w:t>
      </w:r>
    </w:p>
    <w:p w14:paraId="7181E931" w14:textId="12400B6F" w:rsidR="00D67217" w:rsidRPr="004D166C" w:rsidRDefault="00A529DA" w:rsidP="00A529DA">
      <w:pPr>
        <w:ind w:left="709" w:hanging="709"/>
        <w:rPr>
          <w:szCs w:val="22"/>
          <w:lang w:val="en-US"/>
        </w:rPr>
      </w:pPr>
      <w:r>
        <w:rPr>
          <w:szCs w:val="22"/>
          <w:lang w:val="en-US"/>
        </w:rPr>
        <w:t xml:space="preserve">Daye, M., Charman, K., Wang, Y., &amp; Suzhikova, B. (2020). Exploring local stakeholders' views on the prospects of China's Belt &amp; Road Initiative on tourism development in Kazakhstan. </w:t>
      </w:r>
      <w:r>
        <w:rPr>
          <w:szCs w:val="22"/>
          <w:lang w:val="en-US"/>
          <w:i/>
        </w:rPr>
        <w:t xml:space="preserve">Current Issues in Tourism, 23</w:t>
      </w:r>
      <w:r>
        <w:rPr>
          <w:szCs w:val="22"/>
          <w:lang w:val="en-US"/>
        </w:rPr>
        <w:t xml:space="preserve">(15), 1948–1962. https://doi.org/10.1080/13683500.2019.1700941</w:t>
      </w:r>
    </w:p>
    <w:p w14:paraId="7181E931" w14:textId="12400B6F" w:rsidR="00D67217" w:rsidRPr="004D166C" w:rsidRDefault="00A529DA" w:rsidP="00A529DA">
      <w:pPr>
        <w:ind w:left="709" w:hanging="709"/>
        <w:rPr>
          <w:szCs w:val="22"/>
          <w:lang w:val="en-US"/>
        </w:rPr>
      </w:pPr>
      <w:r>
        <w:rPr>
          <w:szCs w:val="22"/>
          <w:lang w:val="en-US"/>
        </w:rPr>
        <w:t xml:space="preserve">Dayoub, B., Yang, P., Omran, S., Zhang, Q., Chen, X., Ahmed Noman Alabsi, A., &amp; Dayoub, A. (2024). The Belt and Road Initiative's impact on tourism and heritage along the Silk Roads: A systematic literature review and future research agenda. </w:t>
      </w:r>
      <w:r>
        <w:rPr>
          <w:szCs w:val="22"/>
          <w:lang w:val="en-US"/>
          <w:i/>
        </w:rPr>
        <w:t xml:space="preserve">PLOS ONE, 19</w:t>
      </w:r>
      <w:r>
        <w:rPr>
          <w:szCs w:val="22"/>
          <w:lang w:val="en-US"/>
        </w:rPr>
        <w:t xml:space="preserve">(7), e0306298. https://doi.org/10.1371/journal.pone.0306298</w:t>
      </w:r>
    </w:p>
    <w:p w14:paraId="7181E931" w14:textId="12400B6F" w:rsidR="00D67217" w:rsidRPr="004D166C" w:rsidRDefault="00A529DA" w:rsidP="00A529DA">
      <w:pPr>
        <w:ind w:left="709" w:hanging="709"/>
        <w:rPr>
          <w:szCs w:val="22"/>
          <w:lang w:val="en-US"/>
        </w:rPr>
      </w:pPr>
      <w:r>
        <w:rPr>
          <w:szCs w:val="22"/>
          <w:lang w:val="en-US"/>
        </w:rPr>
        <w:t xml:space="preserve">Debarbieux, B., Bortolotto, C., Munz, H., &amp; Raziano, C. (2023). Sharing heritage? Politics and territoriality in UNESCO's heritage lists. </w:t>
      </w:r>
      <w:r>
        <w:rPr>
          <w:szCs w:val="22"/>
          <w:lang w:val="en-US"/>
          <w:i/>
        </w:rPr>
        <w:t xml:space="preserve">Territory, Politics, Governance, 11</w:t>
      </w:r>
      <w:r>
        <w:rPr>
          <w:szCs w:val="22"/>
          <w:lang w:val="en-US"/>
        </w:rPr>
        <w:t xml:space="preserve">(3), 608–624. https://doi.org/10.1080/21622671.2020.1854112</w:t>
      </w:r>
    </w:p>
    <w:p w14:paraId="7181E931" w14:textId="12400B6F" w:rsidR="00D67217" w:rsidRPr="004D166C" w:rsidRDefault="00A529DA" w:rsidP="00A529DA">
      <w:pPr>
        <w:ind w:left="709" w:hanging="709"/>
        <w:rPr>
          <w:szCs w:val="22"/>
          <w:lang w:val="en-US"/>
        </w:rPr>
      </w:pPr>
      <w:r>
        <w:rPr>
          <w:szCs w:val="22"/>
          <w:lang w:val="en-US"/>
        </w:rPr>
        <w:t xml:space="preserve">Deng, T., &amp; Hu, Y. (2019). Modelling China's outbound tourist flow to the 'Silk Road': A spatial econometric approach. </w:t>
      </w:r>
      <w:r>
        <w:rPr>
          <w:szCs w:val="22"/>
          <w:lang w:val="en-US"/>
          <w:i/>
        </w:rPr>
        <w:t xml:space="preserve">Tourism Economics, 25</w:t>
      </w:r>
      <w:r>
        <w:rPr>
          <w:szCs w:val="22"/>
          <w:lang w:val="en-US"/>
        </w:rPr>
        <w:t xml:space="preserve">(8), 1167–1181. https://doi.org/10.1177/1354816618809763</w:t>
      </w:r>
    </w:p>
    <w:p w14:paraId="7181E931" w14:textId="12400B6F" w:rsidR="00D67217" w:rsidRPr="004D166C" w:rsidRDefault="00A529DA" w:rsidP="00A529DA">
      <w:pPr>
        <w:ind w:left="709" w:hanging="709"/>
        <w:rPr>
          <w:szCs w:val="22"/>
          <w:lang w:val="en-US"/>
        </w:rPr>
      </w:pPr>
      <w:r>
        <w:rPr>
          <w:szCs w:val="22"/>
          <w:lang w:val="en-US"/>
        </w:rPr>
        <w:t xml:space="preserve">Farmanov, E., Farmanov, U., Bujdosó, Z., &amp; Dávid, L. D. (2026). Capacity without passengers: A five-condition framework for converting Silk Road freight corridors into sustainable heritage tourism corridors. </w:t>
      </w:r>
      <w:r>
        <w:rPr>
          <w:szCs w:val="22"/>
          <w:lang w:val="en-US"/>
          <w:i/>
        </w:rPr>
        <w:t xml:space="preserve">Frontiers in Sustainable Tourism, 5</w:t>
      </w:r>
      <w:r>
        <w:rPr>
          <w:szCs w:val="22"/>
          <w:lang w:val="en-US"/>
        </w:rPr>
        <w:t xml:space="preserve">, 1948903. https://doi.org/10.3389/frsut.2026.1948903</w:t>
      </w:r>
    </w:p>
    <w:p w14:paraId="7181E931" w14:textId="12400B6F" w:rsidR="00D67217" w:rsidRPr="004D166C" w:rsidRDefault="00A529DA" w:rsidP="00A529DA">
      <w:pPr>
        <w:ind w:left="709" w:hanging="709"/>
        <w:rPr>
          <w:szCs w:val="22"/>
          <w:lang w:val="en-US"/>
        </w:rPr>
      </w:pPr>
      <w:r>
        <w:rPr>
          <w:szCs w:val="22"/>
          <w:lang w:val="en-US"/>
        </w:rPr>
        <w:t xml:space="preserve">Gnyawali, D. R., &amp; Ryan Charleton, T. (2018). Nuances in the interplay of competition and cooperation: Towards a theory of coopetition. </w:t>
      </w:r>
      <w:r>
        <w:rPr>
          <w:szCs w:val="22"/>
          <w:lang w:val="en-US"/>
          <w:i/>
        </w:rPr>
        <w:t xml:space="preserve">Journal of Management, 44</w:t>
      </w:r>
      <w:r>
        <w:rPr>
          <w:szCs w:val="22"/>
          <w:lang w:val="en-US"/>
        </w:rPr>
        <w:t xml:space="preserve">(7), 2511–2534. https://doi.org/10.1177/0149206318788945</w:t>
      </w:r>
    </w:p>
    <w:p w14:paraId="7181E931" w14:textId="12400B6F" w:rsidR="00D67217" w:rsidRPr="004D166C" w:rsidRDefault="00A529DA" w:rsidP="00A529DA">
      <w:pPr>
        <w:ind w:left="709" w:hanging="709"/>
        <w:rPr>
          <w:szCs w:val="22"/>
          <w:lang w:val="en-US"/>
        </w:rPr>
      </w:pPr>
      <w:r>
        <w:rPr>
          <w:szCs w:val="22"/>
          <w:lang w:val="en-US"/>
        </w:rPr>
        <w:t xml:space="preserve">Hisarlıoğlu, F., &amp; Yanık, L. K. (2025). Heritage geopolitics: Hegemonic meaning-making, international orders, and the heritagisation of traditional archery in Turkey and beyond. </w:t>
      </w:r>
      <w:r>
        <w:rPr>
          <w:szCs w:val="22"/>
          <w:lang w:val="en-US"/>
          <w:i/>
        </w:rPr>
        <w:t xml:space="preserve">Review of International Studies, 51</w:t>
      </w:r>
      <w:r>
        <w:rPr>
          <w:szCs w:val="22"/>
          <w:lang w:val="en-US"/>
        </w:rPr>
        <w:t xml:space="preserve">(6), 1065–1084. https://doi.org/10.1017/S0260210525101228</w:t>
      </w:r>
    </w:p>
    <w:p w14:paraId="7181E931" w14:textId="12400B6F" w:rsidR="00D67217" w:rsidRPr="004D166C" w:rsidRDefault="00A529DA" w:rsidP="00A529DA">
      <w:pPr>
        <w:ind w:left="709" w:hanging="709"/>
        <w:rPr>
          <w:szCs w:val="22"/>
          <w:lang w:val="en-US"/>
        </w:rPr>
      </w:pPr>
      <w:r>
        <w:rPr>
          <w:szCs w:val="22"/>
          <w:lang w:val="en-US"/>
        </w:rPr>
        <w:t xml:space="preserve">İbiş, S. (2019). Yeni İpek Yolu Projesi ve Türkiye turizmine olası yansımaları. </w:t>
      </w:r>
      <w:r>
        <w:rPr>
          <w:szCs w:val="22"/>
          <w:lang w:val="en-US"/>
          <w:i/>
        </w:rPr>
        <w:t xml:space="preserve">Journal of Business Management and Economic Research, 3</w:t>
      </w:r>
      <w:r>
        <w:rPr>
          <w:szCs w:val="22"/>
          <w:lang w:val="en-US"/>
        </w:rPr>
        <w:t xml:space="preserve">(1), 34–44. https://doi.org/10.29226/TR1001.2019.103</w:t>
      </w:r>
    </w:p>
    <w:p w14:paraId="7181E931" w14:textId="12400B6F" w:rsidR="00D67217" w:rsidRPr="004D166C" w:rsidRDefault="00A529DA" w:rsidP="00A529DA">
      <w:pPr>
        <w:ind w:left="709" w:hanging="709"/>
        <w:rPr>
          <w:szCs w:val="22"/>
          <w:lang w:val="en-US"/>
        </w:rPr>
      </w:pPr>
      <w:r>
        <w:rPr>
          <w:szCs w:val="22"/>
          <w:lang w:val="en-US"/>
        </w:rPr>
        <w:t xml:space="preserve">İbiş, S., &amp; Batman, O. (2018). Türkiye'ye gelen Çinli turistlerin seyahat motivasyonları üzerine bir araştırma. </w:t>
      </w:r>
      <w:r>
        <w:rPr>
          <w:szCs w:val="22"/>
          <w:lang w:val="en-US"/>
          <w:i/>
        </w:rPr>
        <w:t xml:space="preserve">Hitit Üniversitesi Sosyal Bilimler Enstitüsü Dergisi, 11</w:t>
      </w:r>
      <w:r>
        <w:rPr>
          <w:szCs w:val="22"/>
          <w:lang w:val="en-US"/>
        </w:rPr>
        <w:t xml:space="preserve">(1), 455–476. https://doi.org/10.17218/hititsosbil.346388</w:t>
      </w:r>
    </w:p>
    <w:p w14:paraId="7181E931" w14:textId="12400B6F" w:rsidR="00D67217" w:rsidRPr="004D166C" w:rsidRDefault="00A529DA" w:rsidP="00A529DA">
      <w:pPr>
        <w:ind w:left="709" w:hanging="709"/>
        <w:rPr>
          <w:szCs w:val="22"/>
          <w:lang w:val="en-US"/>
        </w:rPr>
      </w:pPr>
      <w:r>
        <w:rPr>
          <w:szCs w:val="22"/>
          <w:lang w:val="en-US"/>
        </w:rPr>
        <w:t xml:space="preserve">Kılıç, B. (2021). Çin'in Kuşak ve Yol Girişiminin Türkiye'nin turizmine beklenen olası yansımaları. </w:t>
      </w:r>
      <w:r>
        <w:rPr>
          <w:szCs w:val="22"/>
          <w:lang w:val="en-US"/>
          <w:i/>
        </w:rPr>
        <w:t xml:space="preserve">The Journal of Academic Social Sciences</w:t>
      </w:r>
      <w:r>
        <w:rPr>
          <w:szCs w:val="22"/>
          <w:lang w:val="en-US"/>
        </w:rPr>
        <w:t xml:space="preserve">, (113), 121–134. https://doi.org/10.29228/ASOS.48560</w:t>
      </w:r>
    </w:p>
    <w:p w14:paraId="7181E931" w14:textId="12400B6F" w:rsidR="00D67217" w:rsidRPr="004D166C" w:rsidRDefault="00A529DA" w:rsidP="00A529DA">
      <w:pPr>
        <w:ind w:left="709" w:hanging="709"/>
        <w:rPr>
          <w:szCs w:val="22"/>
          <w:lang w:val="en-US"/>
        </w:rPr>
      </w:pPr>
      <w:r>
        <w:rPr>
          <w:szCs w:val="22"/>
          <w:lang w:val="en-US"/>
        </w:rPr>
        <w:t xml:space="preserve">Kirillova, K., Park, J., Zhu, M., Dioko, L., &amp; Zeng, G. (2020). Developing the coopetitive destination brand for the Greater Bay Area. </w:t>
      </w:r>
      <w:r>
        <w:rPr>
          <w:szCs w:val="22"/>
          <w:lang w:val="en-US"/>
          <w:i/>
        </w:rPr>
        <w:t xml:space="preserve">Journal of Destination Marketing &amp; Management, 17</w:t>
      </w:r>
      <w:r>
        <w:rPr>
          <w:szCs w:val="22"/>
          <w:lang w:val="en-US"/>
        </w:rPr>
        <w:t xml:space="preserve">, 100439. https://doi.org/10.1016/j.jdmm.2020.100439</w:t>
      </w:r>
    </w:p>
    <w:p w14:paraId="7181E931" w14:textId="12400B6F" w:rsidR="00D67217" w:rsidRPr="004D166C" w:rsidRDefault="00A529DA" w:rsidP="00A529DA">
      <w:pPr>
        <w:ind w:left="709" w:hanging="709"/>
        <w:rPr>
          <w:szCs w:val="22"/>
          <w:lang w:val="en-US"/>
        </w:rPr>
      </w:pPr>
      <w:r>
        <w:rPr>
          <w:szCs w:val="22"/>
          <w:lang w:val="en-US"/>
        </w:rPr>
        <w:t xml:space="preserve">Kostopoulou, S., Sofianou, P.-K., &amp; Tsiokanos, K. (2021). Silk Road heritage branding and polycentric tourism development. </w:t>
      </w:r>
      <w:r>
        <w:rPr>
          <w:szCs w:val="22"/>
          <w:lang w:val="en-US"/>
          <w:i/>
        </w:rPr>
        <w:t xml:space="preserve">Sustainability, 13</w:t>
      </w:r>
      <w:r>
        <w:rPr>
          <w:szCs w:val="22"/>
          <w:lang w:val="en-US"/>
        </w:rPr>
        <w:t xml:space="preserve">(4), 1893. https://doi.org/10.3390/su13041893</w:t>
      </w:r>
    </w:p>
    <w:p w14:paraId="7181E931" w14:textId="12400B6F" w:rsidR="00D67217" w:rsidRPr="004D166C" w:rsidRDefault="00A529DA" w:rsidP="00A529DA">
      <w:pPr>
        <w:ind w:left="709" w:hanging="709"/>
        <w:rPr>
          <w:szCs w:val="22"/>
          <w:lang w:val="en-US"/>
        </w:rPr>
      </w:pPr>
      <w:r>
        <w:rPr>
          <w:szCs w:val="22"/>
          <w:lang w:val="en-US"/>
        </w:rPr>
        <w:t xml:space="preserve">Mozaffari, A., &amp; Akbar, A. (2024). Heritage diplomacy and soft power competition between Iran and Turkey: Competing claims over Rumi and Nowruz. </w:t>
      </w:r>
      <w:r>
        <w:rPr>
          <w:szCs w:val="22"/>
          <w:lang w:val="en-US"/>
          <w:i/>
        </w:rPr>
        <w:t xml:space="preserve">International Journal of Cultural Policy, 30</w:t>
      </w:r>
      <w:r>
        <w:rPr>
          <w:szCs w:val="22"/>
          <w:lang w:val="en-US"/>
        </w:rPr>
        <w:t xml:space="preserve">(5), 597–614. https://doi.org/10.1080/10286632.2023.2241872</w:t>
      </w:r>
    </w:p>
    <w:p w14:paraId="7181E931" w14:textId="12400B6F" w:rsidR="00D67217" w:rsidRPr="004D166C" w:rsidRDefault="00A529DA" w:rsidP="00A529DA">
      <w:pPr>
        <w:ind w:left="709" w:hanging="709"/>
        <w:rPr>
          <w:szCs w:val="22"/>
          <w:lang w:val="en-US"/>
        </w:rPr>
      </w:pPr>
      <w:r>
        <w:rPr>
          <w:szCs w:val="22"/>
          <w:lang w:val="en-US"/>
        </w:rPr>
        <w:t xml:space="preserve">Nakano, R. (2023). A geocultural power competition in UNESCO's Silk Roads Project: China's initiatives and the responses from Japan and South Korea. </w:t>
      </w:r>
      <w:r>
        <w:rPr>
          <w:szCs w:val="22"/>
          <w:lang w:val="en-US"/>
          <w:i/>
        </w:rPr>
        <w:t xml:space="preserve">Journal of Current Chinese Affairs, 52</w:t>
      </w:r>
      <w:r>
        <w:rPr>
          <w:szCs w:val="22"/>
          <w:lang w:val="en-US"/>
        </w:rPr>
        <w:t xml:space="preserve">(2), 185–206. https://doi.org/10.1177/18681026221094054</w:t>
      </w:r>
    </w:p>
    <w:p w14:paraId="7181E931" w14:textId="12400B6F" w:rsidR="00D67217" w:rsidRPr="004D166C" w:rsidRDefault="00A529DA" w:rsidP="00A529DA">
      <w:pPr>
        <w:ind w:left="709" w:hanging="709"/>
        <w:rPr>
          <w:szCs w:val="22"/>
          <w:lang w:val="en-US"/>
        </w:rPr>
      </w:pPr>
      <w:r>
        <w:rPr>
          <w:szCs w:val="22"/>
          <w:lang w:val="en-US"/>
        </w:rPr>
        <w:t xml:space="preserve">Niu, S., &amp; Li, N. (2019). Sino-Turkish tourism cooperation under the framework of the Belt and Road Initiative. </w:t>
      </w:r>
      <w:r>
        <w:rPr>
          <w:szCs w:val="22"/>
          <w:lang w:val="en-US"/>
          <w:i/>
        </w:rPr>
        <w:t xml:space="preserve">Asian Journal of Middle Eastern and Islamic Studies, 13</w:t>
      </w:r>
      <w:r>
        <w:rPr>
          <w:szCs w:val="22"/>
          <w:lang w:val="en-US"/>
        </w:rPr>
        <w:t xml:space="preserve">(3), 445–461. https://doi.org/10.1080/25765949.2019.1630581</w:t>
      </w:r>
    </w:p>
    <w:p w14:paraId="7181E931" w14:textId="12400B6F" w:rsidR="00D67217" w:rsidRPr="004D166C" w:rsidRDefault="00A529DA" w:rsidP="00A529DA">
      <w:pPr>
        <w:ind w:left="709" w:hanging="709"/>
        <w:rPr>
          <w:szCs w:val="22"/>
          <w:lang w:val="en-US"/>
        </w:rPr>
      </w:pPr>
      <w:r>
        <w:rPr>
          <w:szCs w:val="22"/>
          <w:lang w:val="en-US"/>
        </w:rPr>
        <w:t xml:space="preserve">Norheim-Hansen, A., Aarstad, J., Haugland, S. A., &amp; Ness, H. (2026). The impact of status on inter-destination coopetition. </w:t>
      </w:r>
      <w:r>
        <w:rPr>
          <w:szCs w:val="22"/>
          <w:lang w:val="en-US"/>
          <w:i/>
        </w:rPr>
        <w:t xml:space="preserve">Annals of Tourism Research, 120</w:t>
      </w:r>
      <w:r>
        <w:rPr>
          <w:szCs w:val="22"/>
          <w:lang w:val="en-US"/>
        </w:rPr>
        <w:t xml:space="preserve">, 104253. https://doi.org/10.1016/j.annals.2026.104253</w:t>
      </w:r>
    </w:p>
    <w:p w14:paraId="7181E931" w14:textId="12400B6F" w:rsidR="00D67217" w:rsidRPr="004D166C" w:rsidRDefault="00A529DA" w:rsidP="00A529DA">
      <w:pPr>
        <w:ind w:left="709" w:hanging="709"/>
        <w:rPr>
          <w:szCs w:val="22"/>
          <w:lang w:val="en-US"/>
        </w:rPr>
      </w:pPr>
      <w:r>
        <w:rPr>
          <w:szCs w:val="22"/>
          <w:lang w:val="en-US"/>
        </w:rPr>
        <w:t xml:space="preserve">Palidan, M. (2024). Kuşak ve Yol İnisiyatifi'nin Çin-Türkiye turizmi üzerindeki etkisi: Fırsatlar ve zorlukların incelenmesi. </w:t>
      </w:r>
      <w:r>
        <w:rPr>
          <w:szCs w:val="22"/>
          <w:lang w:val="en-US"/>
          <w:i/>
        </w:rPr>
        <w:t xml:space="preserve">The Journal of Social Sciences, 73</w:t>
      </w:r>
      <w:r>
        <w:rPr>
          <w:szCs w:val="22"/>
          <w:lang w:val="en-US"/>
        </w:rPr>
        <w:t xml:space="preserve">, 442–462. https://doi.org/10.29228/SOBIDER.78915</w:t>
      </w:r>
    </w:p>
    <w:p w14:paraId="7181E931" w14:textId="12400B6F" w:rsidR="00D67217" w:rsidRPr="004D166C" w:rsidRDefault="00A529DA" w:rsidP="00A529DA">
      <w:pPr>
        <w:ind w:left="709" w:hanging="709"/>
        <w:rPr>
          <w:szCs w:val="22"/>
          <w:lang w:val="en-US"/>
        </w:rPr>
      </w:pPr>
      <w:r>
        <w:rPr>
          <w:szCs w:val="22"/>
          <w:lang w:val="en-US"/>
        </w:rPr>
        <w:t xml:space="preserve">Redi, F., &amp; Pulido Fernández, J. I. (2018). Describing coopetition among destinations: Evidence from the UNWTO Silk Road Program. I. Oncioiu (Ed.), </w:t>
      </w:r>
      <w:r>
        <w:rPr>
          <w:szCs w:val="22"/>
          <w:lang w:val="en-US"/>
          <w:i/>
        </w:rPr>
        <w:t xml:space="preserve">Ethics and decision-making for sustainable business practices</w:t>
      </w:r>
      <w:r>
        <w:rPr>
          <w:szCs w:val="22"/>
          <w:lang w:val="en-US"/>
        </w:rPr>
        <w:t xml:space="preserve"> içinde (ss. 217–238). IGI Global. https://doi.org/10.4018/978-1-5225-3773-1.ch013</w:t>
      </w:r>
    </w:p>
    <w:p w14:paraId="7181E931" w14:textId="12400B6F" w:rsidR="00D67217" w:rsidRPr="004D166C" w:rsidRDefault="00A529DA" w:rsidP="00A529DA">
      <w:pPr>
        <w:ind w:left="709" w:hanging="709"/>
        <w:rPr>
          <w:szCs w:val="22"/>
          <w:lang w:val="en-US"/>
        </w:rPr>
      </w:pPr>
      <w:r>
        <w:rPr>
          <w:szCs w:val="22"/>
          <w:lang w:val="en-US"/>
        </w:rPr>
        <w:t xml:space="preserve">Resmî Gazete. (2017, 7 Haziran). Türkiye Cumhuriyeti Hükümeti ile Çin Halk Cumhuriyeti Hükümeti arasında İpek Yolu Ekonomik Kuşağının, 21. Yüzyıl Denizdeki İpek Yolunun ve Orta Koridor Girişiminin uyumlaştırılmasına ilişkin mutabakat zaptı (Karar Sayısı: 2017/10379). </w:t>
      </w:r>
      <w:r>
        <w:rPr>
          <w:szCs w:val="22"/>
          <w:lang w:val="en-US"/>
          <w:i/>
        </w:rPr>
        <w:t xml:space="preserve">Resmî Gazete</w:t>
      </w:r>
      <w:r>
        <w:rPr>
          <w:szCs w:val="22"/>
          <w:lang w:val="en-US"/>
        </w:rPr>
        <w:t xml:space="preserve">, 30089. https://www.resmigazete.gov.tr/eskiler/2017/06/20170607-1.pdf</w:t>
      </w:r>
    </w:p>
    <w:p w14:paraId="7181E931" w14:textId="12400B6F" w:rsidR="00D67217" w:rsidRPr="004D166C" w:rsidRDefault="00A529DA" w:rsidP="00A529DA">
      <w:pPr>
        <w:ind w:left="709" w:hanging="709"/>
        <w:rPr>
          <w:szCs w:val="22"/>
          <w:lang w:val="en-US"/>
        </w:rPr>
      </w:pPr>
      <w:r>
        <w:rPr>
          <w:szCs w:val="22"/>
          <w:lang w:val="en-US"/>
        </w:rPr>
        <w:t xml:space="preserve">Sciorati, G. (2023). 'Constructing' heritage diplomacy in Central Asia: China's Sinocentric historicisation of transnational World Heritage Sites. </w:t>
      </w:r>
      <w:r>
        <w:rPr>
          <w:szCs w:val="22"/>
          <w:lang w:val="en-US"/>
          <w:i/>
        </w:rPr>
        <w:t xml:space="preserve">International Journal of Cultural Policy, 29</w:t>
      </w:r>
      <w:r>
        <w:rPr>
          <w:szCs w:val="22"/>
          <w:lang w:val="en-US"/>
        </w:rPr>
        <w:t xml:space="preserve">(1), 94–112. https://doi.org/10.1080/10286632.2022.2141718</w:t>
      </w:r>
    </w:p>
    <w:p w14:paraId="7181E931" w14:textId="12400B6F" w:rsidR="00D67217" w:rsidRPr="004D166C" w:rsidRDefault="00A529DA" w:rsidP="00A529DA">
      <w:pPr>
        <w:ind w:left="709" w:hanging="709"/>
        <w:rPr>
          <w:szCs w:val="22"/>
          <w:lang w:val="en-US"/>
        </w:rPr>
      </w:pPr>
      <w:r>
        <w:rPr>
          <w:szCs w:val="22"/>
          <w:lang w:val="en-US"/>
        </w:rPr>
        <w:t xml:space="preserve">Sirisuthikul, V. (2018). Conceptualizing ASEAN tourism brand: Towards a coopetition framework. </w:t>
      </w:r>
      <w:r>
        <w:rPr>
          <w:szCs w:val="22"/>
          <w:lang w:val="en-US"/>
          <w:i/>
        </w:rPr>
        <w:t xml:space="preserve">GATR Global Journal of Business Social Sciences Review, 6</w:t>
      </w:r>
      <w:r>
        <w:rPr>
          <w:szCs w:val="22"/>
          <w:lang w:val="en-US"/>
        </w:rPr>
        <w:t xml:space="preserve">(4), 114–121. https://doi.org/10.35609/gjbssr.2018.6.4(2)</w:t>
      </w:r>
    </w:p>
    <w:p w14:paraId="7181E931" w14:textId="12400B6F" w:rsidR="00D67217" w:rsidRPr="004D166C" w:rsidRDefault="00A529DA" w:rsidP="00A529DA">
      <w:pPr>
        <w:ind w:left="709" w:hanging="709"/>
        <w:rPr>
          <w:szCs w:val="22"/>
          <w:lang w:val="en-US"/>
        </w:rPr>
      </w:pPr>
      <w:r>
        <w:rPr>
          <w:szCs w:val="22"/>
          <w:lang w:val="en-US"/>
        </w:rPr>
        <w:t xml:space="preserve">Tse, T. S. M. (2013). Chinese outbound tourism as a form of diplomacy. </w:t>
      </w:r>
      <w:r>
        <w:rPr>
          <w:szCs w:val="22"/>
          <w:lang w:val="en-US"/>
          <w:i/>
        </w:rPr>
        <w:t xml:space="preserve">Tourism Planning &amp; Development, 10</w:t>
      </w:r>
      <w:r>
        <w:rPr>
          <w:szCs w:val="22"/>
          <w:lang w:val="en-US"/>
        </w:rPr>
        <w:t xml:space="preserve">(2), 149–158. https://doi.org/10.1080/21568316.2013.783738</w:t>
      </w:r>
    </w:p>
    <w:p w14:paraId="7181E931" w14:textId="12400B6F" w:rsidR="00D67217" w:rsidRPr="004D166C" w:rsidRDefault="00A529DA" w:rsidP="00A529DA">
      <w:pPr>
        <w:ind w:left="709" w:hanging="709"/>
        <w:rPr>
          <w:szCs w:val="22"/>
          <w:lang w:val="en-US"/>
        </w:rPr>
      </w:pPr>
      <w:r>
        <w:rPr>
          <w:szCs w:val="22"/>
          <w:lang w:val="en-US"/>
        </w:rPr>
        <w:t xml:space="preserve">Tuna, M., Özyurt, B., Dülger, A. S., Türkmen, F., &amp; Uyanık, N. (2022). Türk dünyasında turizmin ülkeler arası iş birliği temelli geliştirilmesine yönelik nitel bir araştırma. </w:t>
      </w:r>
      <w:r>
        <w:rPr>
          <w:szCs w:val="22"/>
          <w:lang w:val="en-US"/>
          <w:i/>
        </w:rPr>
        <w:t xml:space="preserve">Bilig</w:t>
      </w:r>
      <w:r>
        <w:rPr>
          <w:szCs w:val="22"/>
          <w:lang w:val="en-US"/>
        </w:rPr>
        <w:t xml:space="preserve">, 137–176. https://doi.org/10.12995/bilig.10007</w:t>
      </w:r>
    </w:p>
    <w:p w14:paraId="7181E931" w14:textId="12400B6F" w:rsidR="00D67217" w:rsidRPr="004D166C" w:rsidRDefault="00A529DA" w:rsidP="00A529DA">
      <w:pPr>
        <w:ind w:left="709" w:hanging="709"/>
        <w:rPr>
          <w:szCs w:val="22"/>
          <w:lang w:val="en-US"/>
        </w:rPr>
      </w:pPr>
      <w:r>
        <w:rPr>
          <w:szCs w:val="22"/>
          <w:lang w:val="en-US"/>
        </w:rPr>
        <w:t xml:space="preserve">Türkiye İstatistik Kurumu. (2026). </w:t>
      </w:r>
      <w:r>
        <w:rPr>
          <w:szCs w:val="22"/>
          <w:lang w:val="en-US"/>
          <w:i/>
        </w:rPr>
        <w:t xml:space="preserve">Giriş yapan yabancı ve vatandaşlar</w:t>
      </w:r>
      <w:r>
        <w:rPr>
          <w:szCs w:val="22"/>
          <w:lang w:val="en-US"/>
        </w:rPr>
        <w:t xml:space="preserve"> [Veri seti]. Türkiye İstatistik Kurumu.</w:t>
      </w:r>
    </w:p>
    <w:p w14:paraId="7181E931" w14:textId="12400B6F" w:rsidR="00D67217" w:rsidRPr="004D166C" w:rsidRDefault="00A529DA" w:rsidP="00A529DA">
      <w:pPr>
        <w:ind w:left="709" w:hanging="709"/>
        <w:rPr>
          <w:szCs w:val="22"/>
          <w:lang w:val="en-US"/>
        </w:rPr>
      </w:pPr>
      <w:r>
        <w:rPr>
          <w:szCs w:val="22"/>
          <w:lang w:val="en-US"/>
        </w:rPr>
        <w:t xml:space="preserve">Türkiye Turizm Tanıtım ve Geliştirme Ajansı. (2026). </w:t>
      </w:r>
      <w:r>
        <w:rPr>
          <w:szCs w:val="22"/>
          <w:lang w:val="en-US"/>
          <w:i/>
        </w:rPr>
        <w:t xml:space="preserve">Visa-free entry policy for Chinese citizens traveling to Türkiye (effective from 2 January 2026)</w:t>
      </w:r>
      <w:r>
        <w:rPr>
          <w:szCs w:val="22"/>
          <w:lang w:val="en-US"/>
        </w:rPr>
        <w:t xml:space="preserve">. GoTürkiye. https://goturkiye.com/visa-free-entry-policy-for-chinese-citizens-traveling-to-turkiye</w:t>
      </w:r>
    </w:p>
    <w:p w14:paraId="7181E931" w14:textId="12400B6F" w:rsidR="00D67217" w:rsidRPr="004D166C" w:rsidRDefault="00A529DA" w:rsidP="00A529DA">
      <w:pPr>
        <w:ind w:left="709" w:hanging="709"/>
        <w:rPr>
          <w:szCs w:val="22"/>
          <w:lang w:val="en-US"/>
        </w:rPr>
      </w:pPr>
      <w:r>
        <w:rPr>
          <w:szCs w:val="22"/>
          <w:lang w:val="en-US"/>
        </w:rPr>
        <w:t xml:space="preserve">Wang, J., &amp; Sun, D. (2024). China and Türkiye's strategic cooperation in the 21st century: A 'complex role' prism. </w:t>
      </w:r>
      <w:r>
        <w:rPr>
          <w:szCs w:val="22"/>
          <w:lang w:val="en-US"/>
          <w:i/>
        </w:rPr>
        <w:t xml:space="preserve">Journal of Balkan and Near Eastern Studies, 26</w:t>
      </w:r>
      <w:r>
        <w:rPr>
          <w:szCs w:val="22"/>
          <w:lang w:val="en-US"/>
        </w:rPr>
        <w:t xml:space="preserve">(5), 732–749. https://doi.org/10.1080/19448953.2024.2308974</w:t>
      </w:r>
    </w:p>
    <w:p w14:paraId="7181E931" w14:textId="12400B6F" w:rsidR="00D67217" w:rsidRPr="004D166C" w:rsidRDefault="00A529DA" w:rsidP="00A529DA">
      <w:pPr>
        <w:ind w:left="709" w:hanging="709"/>
        <w:rPr>
          <w:szCs w:val="22"/>
          <w:lang w:val="en-US"/>
        </w:rPr>
      </w:pPr>
      <w:r>
        <w:rPr>
          <w:szCs w:val="22"/>
          <w:lang w:val="en-US"/>
        </w:rPr>
        <w:t xml:space="preserve">Wang, Y., &amp; Krakover, S. (2008). Destination marketing: Competition, cooperation or coopetition? </w:t>
      </w:r>
      <w:r>
        <w:rPr>
          <w:szCs w:val="22"/>
          <w:lang w:val="en-US"/>
          <w:i/>
        </w:rPr>
        <w:t xml:space="preserve">International Journal of Contemporary Hospitality Management, 20</w:t>
      </w:r>
      <w:r>
        <w:rPr>
          <w:szCs w:val="22"/>
          <w:lang w:val="en-US"/>
        </w:rPr>
        <w:t xml:space="preserve">(2), 126–141. https://doi.org/10.1108/09596110810852122</w:t>
      </w:r>
    </w:p>
    <w:p w14:paraId="7181E931" w14:textId="12400B6F" w:rsidR="00D67217" w:rsidRPr="004D166C" w:rsidRDefault="00A529DA" w:rsidP="00A529DA">
      <w:pPr>
        <w:ind w:left="709" w:hanging="709"/>
        <w:rPr>
          <w:szCs w:val="22"/>
          <w:lang w:val="en-US"/>
        </w:rPr>
      </w:pPr>
      <w:r>
        <w:rPr>
          <w:szCs w:val="22"/>
          <w:lang w:val="en-US"/>
        </w:rPr>
        <w:t xml:space="preserve">Winter, T. (2015). Heritage diplomacy. </w:t>
      </w:r>
      <w:r>
        <w:rPr>
          <w:szCs w:val="22"/>
          <w:lang w:val="en-US"/>
          <w:i/>
        </w:rPr>
        <w:t xml:space="preserve">International Journal of Heritage Studies, 21</w:t>
      </w:r>
      <w:r>
        <w:rPr>
          <w:szCs w:val="22"/>
          <w:lang w:val="en-US"/>
        </w:rPr>
        <w:t xml:space="preserve">(10), 997–1015. https://doi.org/10.1080/13527258.2015.1041412</w:t>
      </w:r>
    </w:p>
    <w:p w14:paraId="7181E931" w14:textId="12400B6F" w:rsidR="00D67217" w:rsidRPr="004D166C" w:rsidRDefault="00A529DA" w:rsidP="00A529DA">
      <w:pPr>
        <w:ind w:left="709" w:hanging="709"/>
        <w:rPr>
          <w:szCs w:val="22"/>
          <w:lang w:val="en-US"/>
        </w:rPr>
      </w:pPr>
      <w:r>
        <w:rPr>
          <w:szCs w:val="22"/>
          <w:lang w:val="en-US"/>
        </w:rPr>
        <w:t xml:space="preserve">Winter, T. (2020). Silk road diplomacy: Geopolitics and histories of connectivity. </w:t>
      </w:r>
      <w:r>
        <w:rPr>
          <w:szCs w:val="22"/>
          <w:lang w:val="en-US"/>
          <w:i/>
        </w:rPr>
        <w:t xml:space="preserve">International Journal of Cultural Policy, 26</w:t>
      </w:r>
      <w:r>
        <w:rPr>
          <w:szCs w:val="22"/>
          <w:lang w:val="en-US"/>
        </w:rPr>
        <w:t xml:space="preserve">(7), 898–912. https://doi.org/10.1080/10286632.2020.1765164</w:t>
      </w:r>
    </w:p>
    <w:p w14:paraId="7181E931" w14:textId="12400B6F" w:rsidR="00D67217" w:rsidRPr="004D166C" w:rsidRDefault="00A529DA" w:rsidP="00A529DA">
      <w:pPr>
        <w:ind w:left="709" w:hanging="709"/>
        <w:rPr>
          <w:szCs w:val="22"/>
          <w:lang w:val="en-US"/>
        </w:rPr>
      </w:pPr>
      <w:r>
        <w:rPr>
          <w:szCs w:val="22"/>
          <w:lang w:val="en-US"/>
        </w:rPr>
        <w:t xml:space="preserve">Winter, T. (2021a). The geocultural heritage of the Silk Roads. </w:t>
      </w:r>
      <w:r>
        <w:rPr>
          <w:szCs w:val="22"/>
          <w:lang w:val="en-US"/>
          <w:i/>
        </w:rPr>
        <w:t xml:space="preserve">International Journal of Heritage Studies, 27</w:t>
      </w:r>
      <w:r>
        <w:rPr>
          <w:szCs w:val="22"/>
          <w:lang w:val="en-US"/>
        </w:rPr>
        <w:t xml:space="preserve">(7), 700–719. https://doi.org/10.1080/13527258.2020.1852296</w:t>
      </w:r>
    </w:p>
    <w:p w14:paraId="7181E931" w14:textId="12400B6F" w:rsidR="00D67217" w:rsidRPr="004D166C" w:rsidRDefault="00A529DA" w:rsidP="00A529DA">
      <w:pPr>
        <w:ind w:left="709" w:hanging="709"/>
        <w:rPr>
          <w:szCs w:val="22"/>
          <w:lang w:val="en-US"/>
        </w:rPr>
      </w:pPr>
      <w:r>
        <w:rPr>
          <w:szCs w:val="22"/>
          <w:lang w:val="en-US"/>
        </w:rPr>
        <w:t xml:space="preserve">Winter, T. (2021b). Geocultural power: China's Belt and Road Initiative. </w:t>
      </w:r>
      <w:r>
        <w:rPr>
          <w:szCs w:val="22"/>
          <w:lang w:val="en-US"/>
          <w:i/>
        </w:rPr>
        <w:t xml:space="preserve">Geopolitics, 26</w:t>
      </w:r>
      <w:r>
        <w:rPr>
          <w:szCs w:val="22"/>
          <w:lang w:val="en-US"/>
        </w:rPr>
        <w:t xml:space="preserve">(5), 1376–1399. https://doi.org/10.1080/14650045.2020.1718656</w:t>
      </w:r>
    </w:p>
    <w:p w14:paraId="7181E931" w14:textId="12400B6F" w:rsidR="00D67217" w:rsidRPr="004D166C" w:rsidRDefault="00A529DA" w:rsidP="00A529DA">
      <w:pPr>
        <w:ind w:left="709" w:hanging="709"/>
        <w:rPr>
          <w:szCs w:val="22"/>
          <w:lang w:val="en-US"/>
        </w:rPr>
      </w:pPr>
      <w:r>
        <w:rPr>
          <w:szCs w:val="22"/>
          <w:lang w:val="en-US"/>
        </w:rPr>
        <w:t xml:space="preserve">Wisniewski, R. (2025). Coopetition as a form of great power relations—The case study of US–China dynamics in the post-Cold War period. </w:t>
      </w:r>
      <w:r>
        <w:rPr>
          <w:szCs w:val="22"/>
          <w:lang w:val="en-US"/>
          <w:i/>
        </w:rPr>
        <w:t xml:space="preserve">Stosunki Międzynarodowe – International Relations, 5</w:t>
      </w:r>
      <w:r>
        <w:rPr>
          <w:szCs w:val="22"/>
          <w:lang w:val="en-US"/>
        </w:rPr>
        <w:t xml:space="preserve">, 18. https://doi.org/10.12688/stomiedintrelat.17973.1</w:t>
      </w:r>
    </w:p>
    <w:p w14:paraId="7181E931" w14:textId="12400B6F" w:rsidR="00D67217" w:rsidRPr="004D166C" w:rsidRDefault="00A529DA" w:rsidP="00A529DA">
      <w:pPr>
        <w:ind w:left="709" w:hanging="709"/>
        <w:rPr>
          <w:szCs w:val="22"/>
          <w:lang w:val="en-US"/>
        </w:rPr>
      </w:pPr>
      <w:r>
        <w:rPr>
          <w:szCs w:val="22"/>
          <w:lang w:val="en-US"/>
        </w:rPr>
        <w:t xml:space="preserve">Zengin, B., &amp; Koç, İ. (2021). Yeni İpek Yolu ticaret hattının Türkiye turizmi açısından değerlendirilmesi. </w:t>
      </w:r>
      <w:r>
        <w:rPr>
          <w:szCs w:val="22"/>
          <w:lang w:val="en-US"/>
          <w:i/>
        </w:rPr>
        <w:t xml:space="preserve">Journal of Gastronomy Hospitality and Travel, 4</w:t>
      </w:r>
      <w:r>
        <w:rPr>
          <w:szCs w:val="22"/>
          <w:lang w:val="en-US"/>
        </w:rPr>
        <w:t xml:space="preserve">(2), 586–599. https://doi.org/10.33083/joghat.2021.95</w:t>
      </w:r>
    </w:p>
    <w:p w14:paraId="67145077" w14:textId="61F759BA" w:rsidR="004724F9" w:rsidRDefault="00FC5974" w:rsidP="001B50BE">
      <w:pPr>
        <w:pStyle w:val="Gvdemetin"/>
      </w:pPr>
      <w:r>
        <w:br w:type="page"/>
      </w:r>
    </w:p>
    <w:p w14:paraId="3FAD8F1C" w14:textId="6E6ACCE1" w:rsidR="004B39A5" w:rsidRPr="00F20263" w:rsidRDefault="00F20263" w:rsidP="00F20263">
      <w:pPr>
        <w:pStyle w:val="1cilbalk"/>
        <w:rPr>
          <w:color w:val="C00000"/>
        </w:rPr>
      </w:pPr>
      <w:r>
        <w:rPr>
          <w:color w:val="C00000"/>
        </w:rPr>
        <w:lastRenderedPageBreak/>
        <w:t>GENİŞLETİLMİŞ ÖZET / EXTENDED SUMMARY</w:t>
      </w:r>
    </w:p>
    <w:p w14:paraId="7D783A8E" w14:textId="3D9086B7" w:rsidR="000D3353" w:rsidRPr="0028281F" w:rsidRDefault="0028281F" w:rsidP="00F20263">
      <w:pPr>
        <w:pStyle w:val="2cilbalk"/>
        <w:jc w:val="left"/>
      </w:pPr>
      <w:r>
        <w:t xml:space="preserve">Amaç / Purpose</w:t>
      </w:r>
    </w:p>
    <w:p w14:paraId="6D020A01" w14:textId="2C30EF26" w:rsidR="00066C8F" w:rsidRPr="009E7A8B" w:rsidRDefault="00904F39" w:rsidP="001B50BE">
      <w:pPr>
        <w:pStyle w:val="Gvdemetin"/>
        <w:rPr>
          <w:b/>
          <w:bCs/>
        </w:rPr>
      </w:pPr>
      <w:r>
        <w:rPr/>
        <w:t xml:space="preserve">Official discourse between Türkiye and China presents the Silk Road as a shared heritage and tourism as a natural field of cooperation. Türkiye aligned its Middle Corridor with the Belt and Road Initiative through a memorandum signed in Antalya in 2015 (Resmî Gazete, 2017), 2018 was celebrated as the Year of Turkish Tourism in China (Niu &amp; Li, 2019), the two culture and tourism ministries signed a tourism cooperation memorandum in 2024, and from 2 January 2026 Türkiye granted Chinese citizens unilateral visa-free entry (Türkiye Turizm Tanıtım ve Geliştirme Ajansı [TGA], 2026). The Turkish tourism literature reads this relationship largely as a win-win partnership and treats its problems, such as security perceptions, language and distance, as technical obstacles (İbiş, 2019; Kılıç, 2021; Palidan, 2024). Heritage politics research, however, shows that "shared" heritage also generates competing claims of ownership and centrality (Brown &amp; O'Brien, 2025; Debarbieux et al., 2023), and China's historicisation of the Silk Road has been described as Sinocentric (Sciorati, 2023). The study asks two questions. First, in which domains do Türkiye and China cooperate and in which do they compete over Silk Road tourism heritage between 2010 and 2026, and does this distribution follow the activity's proximity to the tourist? Second, to what extent have the two countries' cooperation discourse and agreements been reflected in arrivals of Chinese nationals to Türkiye?</w:t>
      </w:r>
    </w:p>
    <w:p w14:paraId="19FE8518" w14:textId="0748B9BF" w:rsidR="000D3353" w:rsidRPr="00513F10" w:rsidRDefault="00513F10" w:rsidP="00F20263">
      <w:pPr>
        <w:pStyle w:val="2cilbalk"/>
        <w:jc w:val="left"/>
      </w:pPr>
      <w:r>
        <w:t xml:space="preserve">Yöntem / Methodology</w:t>
      </w:r>
    </w:p>
    <w:p w14:paraId="3898089E" w14:textId="52605446" w:rsidR="00066C8F" w:rsidRPr="009E7A8B" w:rsidRDefault="002E58C7" w:rsidP="001B50BE">
      <w:pPr>
        <w:pStyle w:val="Gvdemetin"/>
        <w:rPr>
          <w:b/>
          <w:bCs/>
          <w:lang w:val="en-US"/>
        </w:rPr>
      </w:pPr>
      <w:r>
        <w:rPr/>
        <w:t xml:space="preserve">The study adopts a critical realist stance and a single embedded case design, with the Türkiye–China dyad as the case and four domains, ordered in advance by proximity to the tourist, as embedded units: connectivity, tourist flows, narrative and value capture. The theoretical mechanism tested is the separation principle derived from Bengtsson and Kock (2000, p. 421), according to which competitors cooperate in input activities far from the customer and compete in output activities close to the customer. Systematic document analysis (Bowen, 2009) was applied to two corpora: 25 bilateral or joint official documents (Corpus A) and 24 unilateral Silk Road promotion and policy narratives (Corpus B), collected through criterion sampling from Turkish and Chinese official sources. The documents were segmented into 368 meaning units. Orientation was derived mechanically from three manifest markers (a joint subject, self-promotion, and exclusion or one-sidedness) to produce cooperation, competition, mixed or neutral codes. A pilot round showed that interpretive judgement produced very low agreement, which led to the marker-based scheme; pilot codes were not used in the analysis. Final coding was carried out by two independent human coders, and inter-coder agreement is reported with Cohen's kappa </w:t>
      </w:r>
      <w:r>
        <w:rPr>
          <w:highlight w:val="yellow"/>
        </w:rPr>
        <w:t xml:space="preserve">κ domain = __; κ orientation = __</w:t>
      </w:r>
      <w:r>
        <w:rPr/>
        <w:t xml:space="preserve">. The decision rule for the separation principle was written before the analysis: a monotonic increase in the share of competition codes from connectivity to value capture, or a difference of at least 20 percentage points between the two ends, counts as support. Arrivals of Chinese nationals from the Turkish Statistical Institute series for 2010–2025 were used descriptively, without causal testing (Türkiye İstatistik Kurumu [TÜİK], 2026).</w:t>
      </w:r>
    </w:p>
    <w:p w14:paraId="69DBDB7A" w14:textId="5F4C65D2" w:rsidR="000D3353" w:rsidRDefault="004977B3" w:rsidP="00F20263">
      <w:pPr>
        <w:pStyle w:val="2cilbalk"/>
        <w:jc w:val="left"/>
      </w:pPr>
      <w:r>
        <w:t xml:space="preserve">Bulgular / Findings</w:t>
      </w:r>
    </w:p>
    <w:p w14:paraId="186756B3" w14:textId="0348E4F9" w:rsidR="009E7A8B" w:rsidRPr="002A1906" w:rsidRDefault="002E58C7" w:rsidP="001B50BE">
      <w:pPr>
        <w:pStyle w:val="Gvdemetin"/>
        <w:rPr>
          <w:b/>
          <w:bCs/>
        </w:rPr>
      </w:pPr>
      <w:r>
        <w:rPr>
          <w:highlight w:val="yellow"/>
        </w:rPr>
        <w:t xml:space="preserve">P1 and P2: shares of cooperation codes in Corpus A and of competition codes in Corpus B, with one short documentary example each; asymmetry between Turkish and Chinese sources in self-promotion and exclusion markers.</w:t>
      </w:r>
    </w:p>
    <w:p w14:paraId="186756B3" w14:textId="0348E4F9" w:rsidR="009E7A8B" w:rsidRPr="002A1906" w:rsidRDefault="002E58C7" w:rsidP="001B50BE">
      <w:pPr>
        <w:pStyle w:val="Gvdemetin"/>
        <w:rPr>
          <w:b/>
          <w:bCs/>
        </w:rPr>
      </w:pPr>
      <w:r>
        <w:rPr>
          <w:highlight w:val="yellow"/>
        </w:rPr>
        <w:t xml:space="preserve">P3: shares of competition codes across the four domains (connectivity __%, tourist flows __%, narrative __%, value capture __%), with and without neutral units; outcome of the pre-registered rule; number and character of negative cases.</w:t>
      </w:r>
    </w:p>
    <w:p w14:paraId="186756B3" w14:textId="0348E4F9" w:rsidR="009E7A8B" w:rsidRPr="002A1906" w:rsidRDefault="002E58C7" w:rsidP="001B50BE">
      <w:pPr>
        <w:pStyle w:val="Gvdemetin"/>
        <w:rPr>
          <w:b/>
          <w:bCs/>
        </w:rPr>
      </w:pPr>
      <w:r>
        <w:rPr/>
        <w:t xml:space="preserve">The descriptive series shows a clear gap between discourse and flows. Arrivals of Chinese nationals rose from 138,876 in 2013 to 426,344 in 2019 and stood at 425,348 in 2025, but their share of all foreign arrivals peaked at 0.998% in 2018 and never exceeded one per cent (TÜİK, 2026). Connectivity cooperation along the Middle Corridor has produced freight capacity rather than passenger services; the corridor carried about 5.2 million tonnes of freight in 2025 without a scheduled international passenger service on its main axis (Farmanov et al., 2026). </w:t>
      </w:r>
      <w:r>
        <w:rPr>
          <w:highlight w:val="yellow"/>
        </w:rPr>
        <w:t xml:space="preserve">P4 and P5: what the coding adds to this picture, for example Chinese narratives that market domestic Silk Road destinations.</w:t>
      </w:r>
    </w:p>
    <w:p w14:paraId="79C22126" w14:textId="22920F7B" w:rsidR="0003050B" w:rsidRDefault="004977B3" w:rsidP="00F20263">
      <w:pPr>
        <w:pStyle w:val="2cilbalk"/>
        <w:jc w:val="left"/>
      </w:pPr>
      <w:r>
        <w:t xml:space="preserve">Sonuç / Conclusions</w:t>
      </w:r>
    </w:p>
    <w:p w14:paraId="0C7B34A9" w14:textId="6789A283" w:rsidR="009E7A8B" w:rsidRPr="002A1906" w:rsidRDefault="004727F1" w:rsidP="001B50BE">
      <w:pPr>
        <w:pStyle w:val="Gvdemetin"/>
        <w:rPr>
          <w:b/>
          <w:bCs/>
        </w:rPr>
      </w:pPr>
      <w:r>
        <w:rPr>
          <w:highlight w:val="yellow"/>
        </w:rPr>
        <w:t xml:space="preserve">Conclusions (author): whether and how far the separation principle travels to inter-state heritage tourism; how the competing explanations of market-based separation (Bengtsson &amp; Kock, 2000, p. 420), geographic and cultural distance (Deng &amp; Hu, 2019) and status asymmetry (Norheim-Hansen et al., 2026) fare against the findings; one or two policy implications for Türkiye; limitations (corpus selection, Chinese-language sources, the construct–measure gap in value capture, arrivals as border records rather than tourist counts).</w:t>
      </w:r>
    </w:p>
    <w:p w14:paraId="7686A9D5" w14:textId="60F630F1" w:rsidR="000D3353" w:rsidRPr="00C20CCB" w:rsidRDefault="004977B3" w:rsidP="00F20263">
      <w:pPr>
        <w:pStyle w:val="2cilbalk"/>
        <w:jc w:val="left"/>
      </w:pPr>
      <w:r>
        <w:t xml:space="preserve">Özgün Değer / Originality and Value</w:t>
      </w:r>
    </w:p>
    <w:p w14:paraId="3C8AFA5A" w14:textId="79CEB8B9" w:rsidR="00F06507" w:rsidRPr="00E46558" w:rsidRDefault="004727F1" w:rsidP="001B50BE">
      <w:pPr>
        <w:pStyle w:val="Gvdemetin"/>
        <w:rPr>
          <w:b/>
          <w:bCs/>
          <w:lang w:val="en-US"/>
        </w:rPr>
      </w:pPr>
      <w:r>
        <w:rPr/>
        <w:t xml:space="preserve">The study makes three contributions. Theoretically, it carries the separation principle, so far examined among firms and destinations (Chim-Miki &amp; Batista-Canino, 2017a; Wang &amp; Krakover, 2008), to heritage tourism between two states. Existing work on Silk Road coopetition addresses multilateral programme management (Redi &amp; Pulido Fernández, 2018), and international relations studies of the Türkiye–China dyad or of great power coopetition explain the relationship as a whole without asking in which activities cooperation and competition concentrate (Wang &amp; Sun, 2024; Wisniewski, 2025). Conceptually, it shows that the discourse of a "shared Silk Road" can carry partnership and ownership claims at the same time, and proposes that the Silk Road heritage is the object of coopetition rather than a neutral common asset. Practically, it offers a framework for identifying where Türkiye's China tourism policy gains from cooperation and where it needs differentiation.</w:t>
      </w:r>
      <w:r>
        <w:br w:type="page"/>
      </w:r>
    </w:p>
    <w:p w14:paraId="0E6FCCB9" w14:textId="77777777" w:rsidR="0068649C" w:rsidRDefault="0068649C" w:rsidP="00D24CA7"/>
    <w:tbl>
      <w:tblPr>
        <w:tblW w:w="5000" w:type="pct"/>
        <w:jc w:val="center"/>
        <w:tblBorders>
          <w:top w:val="single" w:sz="4" w:space="0" w:color="auto"/>
          <w:bottom w:val="single" w:sz="4" w:space="0" w:color="auto"/>
          <w:insideH w:val="single" w:sz="4" w:space="0" w:color="auto"/>
        </w:tblBorders>
        <w:tblLook w:val="01E0" w:firstRow="1" w:lastRow="1" w:firstColumn="1" w:lastColumn="1" w:noHBand="0" w:noVBand="0"/>
      </w:tblPr>
      <w:tblGrid>
        <w:gridCol w:w="3402"/>
        <w:gridCol w:w="6286"/>
      </w:tblGrid>
      <w:tr w:rsidR="006D63E2" w:rsidRPr="00BF34F4" w14:paraId="06DA61DB" w14:textId="77777777" w:rsidTr="00266A10">
        <w:trPr>
          <w:trHeight w:val="510"/>
          <w:jc w:val="center"/>
        </w:trPr>
        <w:tc>
          <w:tcPr>
            <w:tcW w:w="9688" w:type="dxa"/>
            <w:gridSpan w:val="2"/>
            <w:tcBorders>
              <w:top w:val="single" w:sz="12" w:space="0" w:color="auto"/>
              <w:bottom w:val="single" w:sz="4" w:space="0" w:color="auto"/>
            </w:tcBorders>
            <w:shd w:val="clear" w:color="auto" w:fill="F2F2F2" w:themeFill="background1" w:themeFillShade="F2"/>
            <w:vAlign w:val="center"/>
          </w:tcPr>
          <w:p w14:paraId="63E5EDA3" w14:textId="1982E8EA" w:rsidR="006D63E2" w:rsidRPr="006D63E2" w:rsidRDefault="006D63E2" w:rsidP="006D63E2">
            <w:pPr>
              <w:jc w:val="center"/>
              <w:rPr>
                <w:b/>
                <w:bCs/>
                <w:color w:val="C00000"/>
              </w:rPr>
            </w:pPr>
            <w:r>
              <w:rPr>
                <w:rFonts w:ascii="Times New Roman" w:eastAsia="Calibri" w:hAnsi="Times New Roman" w:cs="Times New Roman"/>
                <w:b/>
                <w:bCs/>
                <w:color w:val="C00000"/>
                <w:sz w:val="20"/>
                <w:szCs w:val="20"/>
              </w:rPr>
              <w:t>YAZARLARIN BEYANI / DECLARATION OF THE AUTHORS</w:t>
            </w:r>
          </w:p>
        </w:tc>
      </w:tr>
      <w:tr w:rsidR="00BF34F4" w:rsidRPr="00BF34F4" w14:paraId="4FD5EAAE" w14:textId="77777777" w:rsidTr="00AE5F22">
        <w:trPr>
          <w:trHeight w:val="284"/>
          <w:jc w:val="center"/>
        </w:trPr>
        <w:tc>
          <w:tcPr>
            <w:tcW w:w="3402" w:type="dxa"/>
            <w:tcBorders>
              <w:top w:val="single" w:sz="12" w:space="0" w:color="auto"/>
              <w:bottom w:val="single" w:sz="4" w:space="0" w:color="auto"/>
            </w:tcBorders>
            <w:vAlign w:val="center"/>
          </w:tcPr>
          <w:p w14:paraId="4536928F" w14:textId="77777777" w:rsidR="00BF34F4" w:rsidRPr="00BF34F4" w:rsidRDefault="00BF34F4" w:rsidP="003966A3">
            <w:pPr>
              <w:spacing w:before="60" w:after="60"/>
              <w:jc w:val="left"/>
              <w:rPr>
                <w:rFonts w:eastAsia="Calibri" w:cs="Times New Roman"/>
                <w:b/>
                <w:color w:val="auto"/>
                <w:sz w:val="18"/>
                <w:szCs w:val="18"/>
              </w:rPr>
            </w:pPr>
            <w:r>
              <w:rPr>
                <w:rFonts w:eastAsia="Calibri" w:cs="Times New Roman"/>
                <w:b/>
                <w:color w:val="auto"/>
                <w:sz w:val="18"/>
                <w:szCs w:val="18"/>
              </w:rPr>
              <w:t>Katkı Oranı Beyanı</w:t>
            </w:r>
          </w:p>
          <w:p w14:paraId="59A1560F" w14:textId="699902EC" w:rsidR="00BF34F4" w:rsidRPr="00BF34F4" w:rsidRDefault="00BF34F4" w:rsidP="003966A3">
            <w:pPr>
              <w:spacing w:before="60" w:after="60"/>
              <w:jc w:val="left"/>
              <w:rPr>
                <w:rFonts w:eastAsia="Calibri" w:cs="Times New Roman"/>
                <w:color w:val="auto"/>
                <w:sz w:val="18"/>
                <w:szCs w:val="18"/>
              </w:rPr>
            </w:pPr>
          </w:p>
        </w:tc>
        <w:tc>
          <w:tcPr>
            <w:tcW w:w="6286" w:type="dxa"/>
            <w:tcBorders>
              <w:top w:val="single" w:sz="12" w:space="0" w:color="auto"/>
              <w:bottom w:val="single" w:sz="4" w:space="0" w:color="auto"/>
            </w:tcBorders>
          </w:tcPr>
          <w:p w14:paraId="1D6F5CAF"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18196741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 çalışmanın tümüne tek başına katkı sağlamıştır.</w:t>
            </w:r>
          </w:p>
          <w:p w14:paraId="54437A3E"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549883879"/>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çalışmaya eşit oranda katkı sağlamıştır. </w:t>
            </w:r>
          </w:p>
          <w:p w14:paraId="3D004EA5" w14:textId="1971F283"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12136336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Çalışmaya birinci yazar %XX oranında, ikinci yazar %XX oranında, üçüncü yazar %XX oranında katkı sağlamıştır.</w:t>
            </w:r>
          </w:p>
        </w:tc>
      </w:tr>
      <w:tr w:rsidR="00BF34F4" w:rsidRPr="00BF34F4" w14:paraId="5A5D2DF7" w14:textId="77777777" w:rsidTr="00AE5F22">
        <w:trPr>
          <w:trHeight w:val="284"/>
          <w:jc w:val="center"/>
        </w:trPr>
        <w:tc>
          <w:tcPr>
            <w:tcW w:w="3402" w:type="dxa"/>
            <w:tcBorders>
              <w:top w:val="single" w:sz="4" w:space="0" w:color="auto"/>
              <w:left w:val="nil"/>
              <w:bottom w:val="single" w:sz="12" w:space="0" w:color="auto"/>
              <w:right w:val="nil"/>
            </w:tcBorders>
            <w:vAlign w:val="center"/>
          </w:tcPr>
          <w:p w14:paraId="5C98EDC6" w14:textId="77777777" w:rsidR="00BF34F4" w:rsidRPr="00BF34F4" w:rsidRDefault="00BF34F4" w:rsidP="003966A3">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Contribution Rate</w:t>
            </w:r>
          </w:p>
          <w:p w14:paraId="71E6B997" w14:textId="2E12092D" w:rsidR="00BF34F4" w:rsidRPr="00BF34F4" w:rsidRDefault="00BF34F4" w:rsidP="003966A3">
            <w:pPr>
              <w:spacing w:before="60" w:after="60"/>
              <w:jc w:val="left"/>
              <w:rPr>
                <w:rFonts w:eastAsia="Calibri" w:cs="Times New Roman"/>
                <w:b/>
                <w:color w:val="auto"/>
                <w:sz w:val="18"/>
                <w:szCs w:val="18"/>
              </w:rPr>
            </w:pPr>
          </w:p>
        </w:tc>
        <w:tc>
          <w:tcPr>
            <w:tcW w:w="6286" w:type="dxa"/>
            <w:tcBorders>
              <w:top w:val="single" w:sz="4" w:space="0" w:color="auto"/>
              <w:left w:val="nil"/>
              <w:bottom w:val="single" w:sz="12" w:space="0" w:color="auto"/>
              <w:right w:val="nil"/>
            </w:tcBorders>
          </w:tcPr>
          <w:p w14:paraId="3B6ACEF1"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08795847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 contributes the study on his/her own</w:t>
            </w:r>
          </w:p>
          <w:p w14:paraId="0B91BB69"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66469994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authors have equal contributions. </w:t>
            </w:r>
          </w:p>
          <w:p w14:paraId="5F8A5EA1" w14:textId="4FEB38F1"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79784581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first author contributes XX%, the second author contributes XX%, the third author contributes XX%.</w:t>
            </w:r>
          </w:p>
        </w:tc>
      </w:tr>
      <w:tr w:rsidR="00BF34F4" w:rsidRPr="00BF34F4" w14:paraId="65940C8F" w14:textId="77777777" w:rsidTr="00AE5F22">
        <w:trPr>
          <w:trHeight w:val="284"/>
          <w:jc w:val="center"/>
        </w:trPr>
        <w:tc>
          <w:tcPr>
            <w:tcW w:w="3402" w:type="dxa"/>
            <w:tcBorders>
              <w:top w:val="single" w:sz="12" w:space="0" w:color="auto"/>
              <w:bottom w:val="single" w:sz="4" w:space="0" w:color="auto"/>
            </w:tcBorders>
            <w:vAlign w:val="center"/>
          </w:tcPr>
          <w:p w14:paraId="3033E2D4" w14:textId="77777777" w:rsidR="007076B8" w:rsidRPr="00BF34F4" w:rsidRDefault="007076B8" w:rsidP="00E63ADD">
            <w:pPr>
              <w:spacing w:before="60" w:after="60"/>
              <w:jc w:val="left"/>
              <w:rPr>
                <w:rFonts w:eastAsia="Calibri" w:cs="Times New Roman"/>
                <w:b/>
                <w:color w:val="auto"/>
                <w:sz w:val="18"/>
                <w:szCs w:val="18"/>
              </w:rPr>
            </w:pPr>
            <w:r>
              <w:rPr>
                <w:rFonts w:eastAsia="Calibri" w:cs="Times New Roman"/>
                <w:b/>
                <w:color w:val="auto"/>
                <w:sz w:val="18"/>
                <w:szCs w:val="18"/>
              </w:rPr>
              <w:t>Çatışma Beyanı</w:t>
            </w:r>
          </w:p>
          <w:p w14:paraId="328C3AEE" w14:textId="04F6DD57" w:rsidR="00BF34F4" w:rsidRPr="00BF34F4" w:rsidRDefault="00BF34F4" w:rsidP="00E63ADD">
            <w:pPr>
              <w:spacing w:before="60" w:after="60"/>
              <w:jc w:val="left"/>
              <w:rPr>
                <w:rFonts w:eastAsia="Calibri" w:cs="Times New Roman"/>
                <w:b/>
                <w:color w:val="auto"/>
                <w:sz w:val="18"/>
                <w:szCs w:val="18"/>
              </w:rPr>
            </w:pPr>
          </w:p>
        </w:tc>
        <w:tc>
          <w:tcPr>
            <w:tcW w:w="6286" w:type="dxa"/>
            <w:tcBorders>
              <w:top w:val="single" w:sz="12" w:space="0" w:color="auto"/>
              <w:bottom w:val="single" w:sz="4" w:space="0" w:color="auto"/>
            </w:tcBorders>
          </w:tcPr>
          <w:p w14:paraId="48BD8225" w14:textId="18CF897D"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09347003"/>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Çalışmada herhangi bir potansiyel çıkar çatışması söz konusu değildir.</w:t>
            </w:r>
          </w:p>
          <w:p w14:paraId="2F1C23BE" w14:textId="5E697CAC"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97860768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çalışmadan XXX (firması, kurumu, kişisinin) etkilenebileceğini ve ortaya çıkacak çıkar çatışması durumunu yönetmek için onaylanmış bir planının olduğunu beyan etmektedir.</w:t>
            </w:r>
          </w:p>
        </w:tc>
      </w:tr>
      <w:tr w:rsidR="00BF34F4" w:rsidRPr="00BF34F4" w14:paraId="6D53E4AA" w14:textId="77777777" w:rsidTr="00AE5F22">
        <w:trPr>
          <w:trHeight w:val="284"/>
          <w:jc w:val="center"/>
        </w:trPr>
        <w:tc>
          <w:tcPr>
            <w:tcW w:w="3402" w:type="dxa"/>
            <w:tcBorders>
              <w:top w:val="single" w:sz="4" w:space="0" w:color="auto"/>
              <w:bottom w:val="single" w:sz="12" w:space="0" w:color="auto"/>
            </w:tcBorders>
            <w:vAlign w:val="center"/>
          </w:tcPr>
          <w:p w14:paraId="5EC6A011" w14:textId="77777777" w:rsidR="003966A3" w:rsidRPr="00BF34F4" w:rsidRDefault="003966A3" w:rsidP="00E63ADD">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Conflict</w:t>
            </w:r>
          </w:p>
          <w:p w14:paraId="11225876" w14:textId="0D960BDB" w:rsidR="00BF34F4" w:rsidRPr="00BF34F4" w:rsidRDefault="00BF34F4" w:rsidP="00E63ADD">
            <w:pPr>
              <w:spacing w:before="60" w:after="60"/>
              <w:jc w:val="left"/>
              <w:rPr>
                <w:rFonts w:eastAsia="Calibri" w:cs="Times New Roman"/>
                <w:color w:val="FF0000"/>
                <w:sz w:val="18"/>
                <w:szCs w:val="18"/>
              </w:rPr>
            </w:pPr>
          </w:p>
        </w:tc>
        <w:tc>
          <w:tcPr>
            <w:tcW w:w="6286" w:type="dxa"/>
            <w:tcBorders>
              <w:top w:val="single" w:sz="4" w:space="0" w:color="auto"/>
              <w:bottom w:val="single" w:sz="12" w:space="0" w:color="auto"/>
            </w:tcBorders>
          </w:tcPr>
          <w:p w14:paraId="615C7181" w14:textId="67974BD7" w:rsidR="0075642E"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838495917"/>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There is no potential conflict of interest in the study. </w:t>
            </w:r>
          </w:p>
          <w:p w14:paraId="0C853521" w14:textId="15043B74"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88698472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Authors declare that XXX (firm, institution, person) may be affected from the study and in case of a conflict of interest they have a confirmed plan in order to administer the case. </w:t>
            </w:r>
          </w:p>
        </w:tc>
      </w:tr>
      <w:tr w:rsidR="008C051F" w:rsidRPr="005357D1" w14:paraId="29A73DAF" w14:textId="77777777" w:rsidTr="00AE5F22">
        <w:trPr>
          <w:trHeight w:val="897"/>
          <w:jc w:val="center"/>
        </w:trPr>
        <w:tc>
          <w:tcPr>
            <w:tcW w:w="3402" w:type="dxa"/>
            <w:tcBorders>
              <w:top w:val="single" w:sz="12" w:space="0" w:color="auto"/>
              <w:bottom w:val="single" w:sz="8" w:space="0" w:color="auto"/>
            </w:tcBorders>
            <w:vAlign w:val="center"/>
          </w:tcPr>
          <w:p w14:paraId="741104D5" w14:textId="77777777" w:rsidR="008C051F" w:rsidRPr="00F26C27" w:rsidRDefault="008C051F" w:rsidP="008C051F">
            <w:pPr>
              <w:pStyle w:val="1cilbalk"/>
              <w:jc w:val="left"/>
              <w:rPr>
                <w:sz w:val="18"/>
                <w:szCs w:val="18"/>
                <w:lang w:val="en-US"/>
              </w:rPr>
            </w:pPr>
            <w:r>
              <w:rPr>
                <w:sz w:val="18"/>
                <w:szCs w:val="18"/>
              </w:rPr>
              <w:t>Yayın Etiği Beyanı</w:t>
            </w:r>
            <w:r>
              <w:rPr>
                <w:sz w:val="18"/>
                <w:szCs w:val="18"/>
                <w:lang w:val="en-US"/>
              </w:rPr>
              <w:t xml:space="preserve"> </w:t>
            </w:r>
          </w:p>
          <w:p w14:paraId="0DE127CE" w14:textId="77777777" w:rsidR="008C051F" w:rsidRPr="00F26C27" w:rsidRDefault="008C051F" w:rsidP="005357D1">
            <w:pPr>
              <w:spacing w:before="60" w:after="60"/>
              <w:jc w:val="left"/>
              <w:rPr>
                <w:rFonts w:eastAsia="Calibri" w:cs="Times New Roman"/>
                <w:b/>
                <w:color w:val="auto"/>
                <w:sz w:val="18"/>
                <w:szCs w:val="18"/>
                <w:lang w:val="en-US"/>
              </w:rPr>
            </w:pPr>
          </w:p>
        </w:tc>
        <w:tc>
          <w:tcPr>
            <w:tcW w:w="6286" w:type="dxa"/>
            <w:tcBorders>
              <w:top w:val="single" w:sz="12" w:space="0" w:color="auto"/>
              <w:bottom w:val="single" w:sz="8" w:space="0" w:color="auto"/>
            </w:tcBorders>
            <w:vAlign w:val="center"/>
          </w:tcPr>
          <w:p w14:paraId="61414924" w14:textId="0EE7A8E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117215180"/>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t>
            </w:r>
            <w:r>
              <w:rPr>
                <w:rFonts w:eastAsia="Calibri" w:cs="Times New Roman"/>
                <w:color w:val="auto"/>
                <w:sz w:val="18"/>
                <w:szCs w:val="18"/>
              </w:rPr>
              <w:t xml:space="preserve">Çalışmada etik dışı bir husus bulunmadığını, araştırma ve yayın etiğine özenle uyulduğunu beyan ederiz. </w:t>
            </w:r>
          </w:p>
          <w:p w14:paraId="209FDF6B" w14:textId="0ADED6C2"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08093425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etik kurul belgesi gerektiren bir çalışma değildir.</w:t>
            </w:r>
          </w:p>
          <w:p w14:paraId="11C0B9DE" w14:textId="6F62DE5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280098343"/>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için _______ Üniversitesi, Bilimsel Araştırma ve Yayın Etiği Kurulundan __/__/____ tarih ve ______ sayılı kararı ile etik kurul onayı alınmıştır.</w:t>
            </w:r>
          </w:p>
        </w:tc>
      </w:tr>
      <w:tr w:rsidR="005357D1" w:rsidRPr="005357D1" w14:paraId="22326188" w14:textId="77777777" w:rsidTr="00AE5F22">
        <w:trPr>
          <w:trHeight w:val="897"/>
          <w:jc w:val="center"/>
        </w:trPr>
        <w:tc>
          <w:tcPr>
            <w:tcW w:w="3402" w:type="dxa"/>
            <w:tcBorders>
              <w:top w:val="single" w:sz="8" w:space="0" w:color="auto"/>
              <w:bottom w:val="single" w:sz="12" w:space="0" w:color="auto"/>
            </w:tcBorders>
            <w:vAlign w:val="center"/>
          </w:tcPr>
          <w:p w14:paraId="0FA02B36" w14:textId="29331F1F" w:rsidR="005357D1" w:rsidRPr="00F26C27"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w:t>
            </w:r>
            <w:r>
              <w:rPr>
                <w:b/>
                <w:sz w:val="18"/>
                <w:szCs w:val="18"/>
                <w:lang w:val="en-US"/>
              </w:rPr>
              <w:t xml:space="preserve"> of Publication Ethics</w:t>
            </w:r>
          </w:p>
        </w:tc>
        <w:tc>
          <w:tcPr>
            <w:tcW w:w="6286" w:type="dxa"/>
            <w:tcBorders>
              <w:top w:val="single" w:sz="8" w:space="0" w:color="auto"/>
              <w:bottom w:val="single" w:sz="8" w:space="0" w:color="auto"/>
            </w:tcBorders>
            <w:vAlign w:val="center"/>
          </w:tcPr>
          <w:p w14:paraId="4D18C853" w14:textId="77777777" w:rsidR="00277DFB" w:rsidRPr="00F26C27" w:rsidRDefault="00000000" w:rsidP="00277DF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23798041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We hereby declare that the study has not unethical issues and that research and publication ethics have been observed carefully. </w:t>
            </w:r>
          </w:p>
          <w:p w14:paraId="5760100B" w14:textId="13A44B75"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6864747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This study does not require ethics committee approval.</w:t>
            </w:r>
          </w:p>
          <w:p w14:paraId="0EA67064" w14:textId="43175330"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44830479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 xml:space="preserve">Ethical approval for this study was obtained from the Scientific Research and Publication Ethics Committee of ______ University with decision number ______ dated </w:t>
            </w:r>
            <w:r>
              <w:rPr>
                <w:rFonts w:eastAsia="Calibri" w:cs="Times New Roman"/>
                <w:b/>
                <w:bCs/>
                <w:color w:val="auto"/>
                <w:sz w:val="18"/>
                <w:szCs w:val="18"/>
                <w:lang w:val="en-US"/>
              </w:rPr>
              <w:t>__/__/___</w:t>
            </w:r>
            <w:r>
              <w:rPr>
                <w:rFonts w:eastAsia="Calibri" w:cs="Times New Roman"/>
                <w:color w:val="auto"/>
                <w:sz w:val="18"/>
                <w:szCs w:val="18"/>
                <w:lang w:val="en-US"/>
              </w:rPr>
              <w:t>.</w:t>
            </w:r>
          </w:p>
        </w:tc>
      </w:tr>
      <w:tr w:rsidR="005357D1" w:rsidRPr="00BF34F4" w14:paraId="67BE8FD8" w14:textId="77777777" w:rsidTr="00AE5F22">
        <w:trPr>
          <w:trHeight w:val="897"/>
          <w:jc w:val="center"/>
        </w:trPr>
        <w:tc>
          <w:tcPr>
            <w:tcW w:w="3402" w:type="dxa"/>
            <w:tcBorders>
              <w:top w:val="single" w:sz="12" w:space="0" w:color="auto"/>
              <w:bottom w:val="single" w:sz="8" w:space="0" w:color="auto"/>
            </w:tcBorders>
            <w:vAlign w:val="center"/>
          </w:tcPr>
          <w:p w14:paraId="50EA59E4" w14:textId="15FD41BC" w:rsidR="005357D1" w:rsidRPr="00F26C27" w:rsidRDefault="001C4629" w:rsidP="005357D1">
            <w:pPr>
              <w:spacing w:before="60" w:after="60"/>
              <w:jc w:val="left"/>
              <w:rPr>
                <w:rFonts w:eastAsia="Calibri" w:cs="Times New Roman"/>
                <w:b/>
                <w:color w:val="auto"/>
                <w:sz w:val="18"/>
                <w:szCs w:val="18"/>
              </w:rPr>
            </w:pPr>
            <w:r>
              <w:rPr>
                <w:rFonts w:eastAsia="Calibri" w:cs="Times New Roman"/>
                <w:b/>
                <w:color w:val="auto"/>
                <w:sz w:val="18"/>
                <w:szCs w:val="18"/>
              </w:rPr>
              <w:t xml:space="preserve">Üretken Yapay Zekâ Kullanım Beyanı</w:t>
            </w:r>
          </w:p>
        </w:tc>
        <w:tc>
          <w:tcPr>
            <w:tcW w:w="6286" w:type="dxa"/>
            <w:tcBorders>
              <w:top w:val="single" w:sz="12" w:space="0" w:color="auto"/>
              <w:bottom w:val="single" w:sz="8" w:space="0" w:color="auto"/>
            </w:tcBorders>
            <w:vAlign w:val="center"/>
          </w:tcPr>
          <w:p w14:paraId="069A8AF6" w14:textId="5E1B6C7F" w:rsidR="00CA75F3"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218095704"/>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hiçbir aşamasında üretken yapay zekâ araçlarından faydalanılmamıştır. </w:t>
            </w:r>
          </w:p>
          <w:p w14:paraId="4987546C" w14:textId="7F75BAE1" w:rsidR="005357D1" w:rsidRPr="00F26C27"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66135330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hazırlanması sırasında yazar(lar), literatür taraması ve künye doğrulama, doküman korpusunun hazırlanması ve Çince metinlerin çevirisi, kodlama şemasının pilot sınaması, betimsel hesaplamalar ile Giriş, Kuramsal Çerçeve ve Yöntem bölümlerinde taslak ve dil desteği amacıyla Claude (Anthropic) kullanmıştır. Bu araç/hizmeti kullandıktan sonra, yazar(lar) içeriği gerektiği şekilde gözden geçirip düzenlemiş ve yayınlanan makalenin içeriği konusunda tüm sorumluluğu üstlenmiştir.</w:t>
            </w:r>
          </w:p>
        </w:tc>
      </w:tr>
      <w:tr w:rsidR="005357D1" w:rsidRPr="00BF34F4" w14:paraId="05102F23" w14:textId="77777777" w:rsidTr="00195D95">
        <w:trPr>
          <w:trHeight w:val="976"/>
          <w:jc w:val="center"/>
        </w:trPr>
        <w:tc>
          <w:tcPr>
            <w:tcW w:w="3402" w:type="dxa"/>
            <w:tcBorders>
              <w:top w:val="single" w:sz="8" w:space="0" w:color="auto"/>
              <w:bottom w:val="single" w:sz="12" w:space="0" w:color="auto"/>
            </w:tcBorders>
            <w:vAlign w:val="center"/>
          </w:tcPr>
          <w:p w14:paraId="302486E1" w14:textId="77777777" w:rsidR="001C4629" w:rsidRPr="001C4629" w:rsidRDefault="001C4629" w:rsidP="00195D95">
            <w:pPr>
              <w:spacing w:after="60"/>
              <w:jc w:val="left"/>
              <w:rPr>
                <w:rStyle w:val="Kpr"/>
                <w:rFonts w:eastAsia="Calibri" w:cs="Times New Roman"/>
                <w:b/>
                <w:sz w:val="18"/>
                <w:szCs w:val="18"/>
              </w:rPr>
            </w:pPr>
            <w:r>
              <w:rPr>
                <w:rFonts w:eastAsia="Calibri" w:cs="Times New Roman"/>
                <w:b/>
                <w:color w:val="auto"/>
                <w:sz w:val="18"/>
                <w:szCs w:val="18"/>
              </w:rPr>
              <w:fldChar w:fldCharType="begin"/>
              <w:instrText>HYPERLINK "https://dergipark.org.tr/en/pub/maeuefd/page/19045"</w:instrText>
              <w:fldChar w:fldCharType="separate"/>
            </w:r>
          </w:p>
          <w:p w14:paraId="04574174" w14:textId="77777777" w:rsidR="001C4629" w:rsidRPr="001C4629" w:rsidRDefault="001C4629" w:rsidP="00195D95">
            <w:pPr>
              <w:spacing w:after="60"/>
              <w:jc w:val="left"/>
              <w:rPr>
                <w:rStyle w:val="Kpr"/>
                <w:rFonts w:eastAsia="Calibri" w:cs="Times New Roman"/>
                <w:b/>
                <w:color w:val="auto"/>
                <w:sz w:val="18"/>
                <w:szCs w:val="18"/>
                <w:u w:val="none"/>
                <w:lang w:val="en-US"/>
              </w:rPr>
            </w:pPr>
            <w:r>
              <w:rPr>
                <w:rStyle w:val="Kpr"/>
                <w:rFonts w:eastAsia="Calibri" w:cs="Times New Roman"/>
                <w:b/>
                <w:color w:val="auto"/>
                <w:sz w:val="18"/>
                <w:szCs w:val="18"/>
                <w:u w:val="none"/>
                <w:lang w:val="en-US"/>
              </w:rPr>
              <w:t>Declaration of Generative AI Use</w:t>
            </w:r>
          </w:p>
          <w:p w14:paraId="2276BF35" w14:textId="23C0B01D" w:rsidR="001C4629" w:rsidRPr="001C4629" w:rsidRDefault="001C4629" w:rsidP="00195D95">
            <w:pPr>
              <w:spacing w:after="60"/>
              <w:jc w:val="left"/>
              <w:rPr>
                <w:rStyle w:val="Kpr"/>
                <w:rFonts w:eastAsia="Calibri" w:cs="Times New Roman"/>
                <w:b/>
                <w:sz w:val="18"/>
                <w:szCs w:val="18"/>
              </w:rPr>
            </w:pPr>
          </w:p>
          <w:p w14:paraId="5FCD6C79" w14:textId="40921358" w:rsidR="005357D1" w:rsidRPr="00F26C27" w:rsidRDefault="001C4629" w:rsidP="00195D95">
            <w:pPr>
              <w:spacing w:after="60"/>
              <w:jc w:val="left"/>
              <w:rPr>
                <w:rFonts w:eastAsia="Calibri" w:cs="Times New Roman"/>
                <w:b/>
                <w:color w:val="auto"/>
                <w:sz w:val="18"/>
                <w:szCs w:val="18"/>
              </w:rPr>
            </w:pPr>
            <w:r>
              <w:rPr>
                <w:rFonts w:eastAsia="Calibri" w:cs="Times New Roman"/>
                <w:b/>
                <w:color w:val="auto"/>
                <w:sz w:val="18"/>
                <w:szCs w:val="18"/>
              </w:rPr>
              <w:fldChar w:fldCharType="end"/>
            </w:r>
          </w:p>
        </w:tc>
        <w:tc>
          <w:tcPr>
            <w:tcW w:w="6286" w:type="dxa"/>
            <w:tcBorders>
              <w:top w:val="single" w:sz="8" w:space="0" w:color="auto"/>
              <w:bottom w:val="single" w:sz="12" w:space="0" w:color="auto"/>
            </w:tcBorders>
          </w:tcPr>
          <w:p w14:paraId="7386F75F" w14:textId="68985561" w:rsidR="00AF4A47" w:rsidRPr="00120E5A" w:rsidRDefault="00000000" w:rsidP="00195D95">
            <w:pPr>
              <w:spacing w:before="40"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1363871410"/>
                <w14:checkbox>
                  <w14:checked w14:val="0"/>
                  <w14:checkedState w14:val="2612" w14:font="MS Gothic"/>
                  <w14:uncheckedState w14:val="2610" w14:font="MS Gothic"/>
                </w14:checkbox>
              </w:sdtPr>
              <w:sdtContent>
                <w:r>
                  <w:rPr>
                    <w:rFonts w:ascii="MS Gothic" w:eastAsia="MS Gothic" w:hAnsi="MS Gothic" w:cs="Times New Roman"/>
                    <w:color w:val="auto"/>
                    <w:sz w:val="18"/>
                    <w:szCs w:val="18"/>
                    <w:lang w:val="en-US"/>
                  </w:rPr>
                  <w:t>☐</w:t>
                </w:r>
              </w:sdtContent>
            </w:sdt>
            <w:r>
              <w:rPr>
                <w:rFonts w:eastAsia="Calibri" w:cs="Times New Roman"/>
                <w:color w:val="auto"/>
                <w:sz w:val="18"/>
                <w:szCs w:val="18"/>
                <w:lang w:val="en-US"/>
              </w:rPr>
              <w:t xml:space="preserve"> No generative artificial intelligence tools were used at any stage of this study.</w:t>
            </w:r>
          </w:p>
          <w:p w14:paraId="66C740DC" w14:textId="41C0C31A" w:rsidR="005357D1" w:rsidRPr="00120E5A" w:rsidRDefault="00000000" w:rsidP="00195D95">
            <w:pPr>
              <w:spacing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47187207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During the preparation of this study the author(s) used Claude (Anthropic) in order to literature search and reference verification, preparation of the document corpus and translation of Chinese texts, pilot testing of the coding scheme, descriptive calculations, and drafting and language support in the Introduction, Theoretical Framework and Method sections. After using this tool/service, the author(s) reviewed and edited the content as needed and take(s) full responsibility for the content of the published article.</w:t>
            </w:r>
          </w:p>
        </w:tc>
      </w:tr>
      <w:tr w:rsidR="005357D1" w:rsidRPr="00BF34F4" w14:paraId="1767E4E7" w14:textId="77777777" w:rsidTr="00953D31">
        <w:trPr>
          <w:trHeight w:val="284"/>
          <w:jc w:val="center"/>
        </w:trPr>
        <w:tc>
          <w:tcPr>
            <w:tcW w:w="3402" w:type="dxa"/>
            <w:tcBorders>
              <w:top w:val="single" w:sz="12" w:space="0" w:color="auto"/>
              <w:bottom w:val="single" w:sz="8" w:space="0" w:color="auto"/>
            </w:tcBorders>
            <w:vAlign w:val="center"/>
          </w:tcPr>
          <w:p w14:paraId="0D096E16" w14:textId="7A792764" w:rsidR="005357D1" w:rsidRPr="00BF34F4" w:rsidRDefault="005357D1" w:rsidP="005357D1">
            <w:pPr>
              <w:spacing w:before="60" w:after="60"/>
              <w:jc w:val="left"/>
              <w:rPr>
                <w:rFonts w:eastAsia="Calibri" w:cs="Times New Roman"/>
                <w:b/>
                <w:color w:val="auto"/>
                <w:sz w:val="18"/>
                <w:szCs w:val="18"/>
              </w:rPr>
            </w:pPr>
            <w:r>
              <w:rPr>
                <w:rFonts w:eastAsia="Calibri" w:cs="Times New Roman"/>
                <w:b/>
                <w:color w:val="auto"/>
                <w:sz w:val="18"/>
                <w:szCs w:val="18"/>
              </w:rPr>
              <w:t>Destek ve Teşekkür Beyanı</w:t>
            </w:r>
          </w:p>
        </w:tc>
        <w:tc>
          <w:tcPr>
            <w:tcW w:w="6286" w:type="dxa"/>
            <w:tcBorders>
              <w:top w:val="single" w:sz="12" w:space="0" w:color="auto"/>
              <w:bottom w:val="single" w:sz="8" w:space="0" w:color="auto"/>
            </w:tcBorders>
          </w:tcPr>
          <w:p w14:paraId="3DD0EECD" w14:textId="1674A34F" w:rsidR="005357D1"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60415515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Çalışmada herhangi bir kurum ya da kuruluştan mali destek alınmamıştır.</w:t>
            </w:r>
          </w:p>
          <w:p w14:paraId="78B538D4" w14:textId="7E7BFBF9" w:rsidR="005357D1" w:rsidRPr="00F26C27"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rPr>
                <w:id w:val="-1647423827"/>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Bu çalışma, X Projesi (Proje No: XXXXX) tarafından desteklenmektedir.</w:t>
            </w:r>
          </w:p>
          <w:p w14:paraId="4A2C0FD3" w14:textId="62FD54CC" w:rsidR="005357D1" w:rsidRPr="00BF34F4"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lang w:val="en-US"/>
                </w:rPr>
                <w:id w:val="-1230771952"/>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Diğer (Belirtiniz) ……….</w:t>
            </w:r>
          </w:p>
        </w:tc>
      </w:tr>
      <w:tr w:rsidR="005357D1" w:rsidRPr="00BF34F4" w14:paraId="55A359F5" w14:textId="77777777" w:rsidTr="00953D31">
        <w:trPr>
          <w:trHeight w:val="284"/>
          <w:jc w:val="center"/>
        </w:trPr>
        <w:tc>
          <w:tcPr>
            <w:tcW w:w="3402" w:type="dxa"/>
            <w:tcBorders>
              <w:top w:val="single" w:sz="8" w:space="0" w:color="auto"/>
              <w:bottom w:val="single" w:sz="12" w:space="0" w:color="auto"/>
            </w:tcBorders>
            <w:vAlign w:val="center"/>
          </w:tcPr>
          <w:p w14:paraId="3016126D" w14:textId="4E63FDF8" w:rsidR="005357D1" w:rsidRPr="00BF34F4"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 xml:space="preserve">Declaration of Support and </w:t>
            </w:r>
            <w:r>
              <w:rPr>
                <w:rFonts w:eastAsia="Calibri" w:cs="Times New Roman"/>
                <w:b/>
                <w:bCs/>
                <w:color w:val="auto"/>
                <w:sz w:val="18"/>
                <w:szCs w:val="18"/>
              </w:rPr>
              <w:t>Acknowledgments</w:t>
            </w:r>
          </w:p>
        </w:tc>
        <w:tc>
          <w:tcPr>
            <w:tcW w:w="6286" w:type="dxa"/>
            <w:tcBorders>
              <w:top w:val="single" w:sz="8" w:space="0" w:color="auto"/>
              <w:bottom w:val="single" w:sz="12" w:space="0" w:color="auto"/>
            </w:tcBorders>
          </w:tcPr>
          <w:p w14:paraId="59CDB337" w14:textId="7E78DA41" w:rsidR="005357D1" w:rsidRPr="00BF34F4" w:rsidRDefault="00000000" w:rsidP="00D52E6B">
            <w:pPr>
              <w:spacing w:before="40" w:after="40"/>
              <w:rPr>
                <w:rFonts w:eastAsia="Calibri" w:cs="Times New Roman"/>
                <w:color w:val="auto"/>
                <w:sz w:val="18"/>
                <w:szCs w:val="18"/>
                <w:lang w:val="en-US"/>
              </w:rPr>
            </w:pPr>
            <w:sdt>
              <w:sdtPr>
                <w:rPr>
                  <w:rFonts w:eastAsia="Calibri" w:cs="Times New Roman"/>
                  <w:color w:val="auto"/>
                  <w:sz w:val="18"/>
                  <w:szCs w:val="18"/>
                  <w:lang w:val="en-US"/>
                </w:rPr>
                <w:id w:val="-56109194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No financial support is taken from any institution or organization.</w:t>
            </w:r>
          </w:p>
          <w:p w14:paraId="08272AEE" w14:textId="6844BF93"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303737074"/>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study is supported by X Project (Project No: XXXXX).</w:t>
            </w:r>
          </w:p>
          <w:p w14:paraId="03FE80E4" w14:textId="77777777"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6802392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Others (Specify) ……….</w:t>
            </w:r>
          </w:p>
        </w:tc>
      </w:tr>
    </w:tbl>
    <w:p w14:paraId="1505A2F7" w14:textId="53EA4FB3" w:rsidR="009F1642" w:rsidRPr="00593EFD" w:rsidRDefault="009F1642" w:rsidP="003232C9">
      <w:pPr>
        <w:pStyle w:val="bulgulartartma"/>
        <w:spacing w:before="0" w:after="0"/>
        <w:jc w:val="both"/>
        <w:rPr>
          <w:rFonts w:cstheme="minorBidi"/>
          <w:b w:val="0"/>
          <w:bCs w:val="0"/>
          <w:color w:val="000000" w:themeColor="text1"/>
          <w:sz w:val="18"/>
          <w:szCs w:val="18"/>
        </w:rPr>
      </w:pPr>
    </w:p>
    <w:sectPr w:rsidR="009F1642" w:rsidRPr="00593EFD" w:rsidSect="006E3BB4">
      <w:headerReference w:type="default" r:id="rId22"/>
      <w:footerReference w:type="default" r:id="rId23"/>
      <w:type w:val="continuous"/>
      <w:pgSz w:w="12240" w:h="15840"/>
      <w:pgMar w:top="1134" w:right="1134" w:bottom="1134" w:left="1418"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CEF87" w14:textId="77777777" w:rsidR="00811B8E" w:rsidRDefault="00811B8E" w:rsidP="002D526B">
      <w:r>
        <w:separator/>
      </w:r>
    </w:p>
  </w:endnote>
  <w:endnote w:type="continuationSeparator" w:id="0">
    <w:p w14:paraId="2824300B" w14:textId="77777777" w:rsidR="00811B8E" w:rsidRDefault="00811B8E" w:rsidP="002D5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1CBB" w14:textId="363315C2" w:rsidR="00DF57E8" w:rsidRPr="000651EB" w:rsidRDefault="0014236D">
    <w:pPr>
      <w:pStyle w:val="AltBilgi"/>
      <w:rPr>
        <w:b/>
        <w:bCs/>
        <w:sz w:val="18"/>
        <w:szCs w:val="18"/>
      </w:rPr>
    </w:pPr>
    <w:r w:rsidRPr="000651EB">
      <w:rPr>
        <w:rFonts w:ascii="Aptos" w:eastAsia="Aptos" w:hAnsi="Aptos" w:cs="Times New Roman"/>
        <w:noProof/>
        <w:color w:val="808080"/>
        <w:kern w:val="2"/>
        <w:sz w:val="18"/>
        <w:szCs w:val="18"/>
        <w:lang w:eastAsia="tr-TR"/>
        <w14:ligatures w14:val="standardContextual"/>
      </w:rPr>
      <w:drawing>
        <wp:anchor distT="0" distB="0" distL="114300" distR="114300" simplePos="0" relativeHeight="251659264" behindDoc="1" locked="0" layoutInCell="1" allowOverlap="1" wp14:anchorId="7B4CA2E0" wp14:editId="33E983DC">
          <wp:simplePos x="0" y="0"/>
          <wp:positionH relativeFrom="column">
            <wp:posOffset>-18687</wp:posOffset>
          </wp:positionH>
          <wp:positionV relativeFrom="paragraph">
            <wp:posOffset>131989</wp:posOffset>
          </wp:positionV>
          <wp:extent cx="819150" cy="293915"/>
          <wp:effectExtent l="0" t="0" r="0" b="0"/>
          <wp:wrapNone/>
          <wp:docPr id="139648897" name="Resim 4" descr="simge, sembol, ekran görüntüsü, bilardo topu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14565" name="Resim 4" descr="simge, sembol, ekran görüntüsü, bilardo topu içeren bir resim&#10;&#10;Yapay zeka tarafından oluşturulmuş içerik yanlış olabili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20672" cy="29446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651EB" w:rsidRPr="000651EB">
      <w:rPr>
        <w:rStyle w:val="Gl"/>
        <w:color w:val="0A0A0A"/>
        <w:sz w:val="18"/>
        <w:szCs w:val="18"/>
      </w:rPr>
      <w:t xml:space="preserve">© </w:t>
    </w:r>
    <w:r w:rsidR="000651EB" w:rsidRPr="000651EB">
      <w:rPr>
        <w:rStyle w:val="Gl"/>
        <w:b w:val="0"/>
        <w:bCs w:val="0"/>
        <w:color w:val="0A0A0A"/>
        <w:sz w:val="18"/>
        <w:szCs w:val="18"/>
      </w:rPr>
      <w:t>Yazarlar</w:t>
    </w:r>
    <w:r w:rsidR="000651EB">
      <w:rPr>
        <w:rStyle w:val="Gl"/>
        <w:b w:val="0"/>
        <w:bCs w:val="0"/>
        <w:color w:val="0A0A0A"/>
        <w:sz w:val="18"/>
        <w:szCs w:val="18"/>
      </w:rPr>
      <w:t xml:space="preserve">. Bu çalışmanın telif hakları yazarlara aittir. </w:t>
    </w:r>
    <w:r w:rsidR="000651EB" w:rsidRPr="000651EB">
      <w:rPr>
        <w:rStyle w:val="Gl"/>
        <w:b w:val="0"/>
        <w:bCs w:val="0"/>
        <w:color w:val="0A0A0A"/>
        <w:sz w:val="18"/>
        <w:szCs w:val="18"/>
      </w:rPr>
      <w:t>/</w:t>
    </w:r>
    <w:proofErr w:type="spellStart"/>
    <w:r w:rsidR="000651EB" w:rsidRPr="000651EB">
      <w:rPr>
        <w:rStyle w:val="Gl"/>
        <w:b w:val="0"/>
        <w:bCs w:val="0"/>
        <w:color w:val="0A0A0A"/>
        <w:sz w:val="18"/>
        <w:szCs w:val="18"/>
      </w:rPr>
      <w:t>Authors</w:t>
    </w:r>
    <w:proofErr w:type="spellEnd"/>
    <w:r w:rsid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copyright</w:t>
    </w:r>
    <w:proofErr w:type="spellEnd"/>
    <w:r w:rsidR="000651EB" w:rsidRPr="000651EB">
      <w:rPr>
        <w:rStyle w:val="Gl"/>
        <w:b w:val="0"/>
        <w:bCs w:val="0"/>
        <w:color w:val="0A0A0A"/>
        <w:sz w:val="18"/>
        <w:szCs w:val="18"/>
      </w:rPr>
      <w:t xml:space="preserve"> of </w:t>
    </w:r>
    <w:proofErr w:type="spellStart"/>
    <w:r w:rsidR="000651EB" w:rsidRPr="000651EB">
      <w:rPr>
        <w:rStyle w:val="Gl"/>
        <w:b w:val="0"/>
        <w:bCs w:val="0"/>
        <w:color w:val="0A0A0A"/>
        <w:sz w:val="18"/>
        <w:szCs w:val="18"/>
      </w:rPr>
      <w:t>this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work</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belongs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to</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authors</w:t>
    </w:r>
    <w:proofErr w:type="spellEnd"/>
    <w:r w:rsidR="000651EB" w:rsidRPr="000651EB">
      <w:rPr>
        <w:rStyle w:val="Gl"/>
        <w:b w:val="0"/>
        <w:bCs w:val="0"/>
        <w:color w:val="0A0A0A"/>
        <w:sz w:val="18"/>
        <w:szCs w:val="18"/>
      </w:rPr>
      <w:t>.</w:t>
    </w:r>
  </w:p>
  <w:tbl>
    <w:tblPr>
      <w:tblStyle w:val="TabloKlavuzu3"/>
      <w:tblW w:w="6616" w:type="dxa"/>
      <w:tblInd w:w="1322" w:type="dxa"/>
      <w:tblBorders>
        <w:insideH w:val="none" w:sz="0" w:space="0" w:color="auto"/>
        <w:insideV w:val="none" w:sz="0" w:space="0" w:color="auto"/>
      </w:tblBorders>
      <w:tblCellMar>
        <w:left w:w="0" w:type="dxa"/>
        <w:right w:w="0" w:type="dxa"/>
      </w:tblCellMar>
      <w:tblLook w:val="04A0" w:firstRow="1" w:lastRow="0" w:firstColumn="1" w:lastColumn="0" w:noHBand="0" w:noVBand="1"/>
    </w:tblPr>
    <w:tblGrid>
      <w:gridCol w:w="6616"/>
    </w:tblGrid>
    <w:tr w:rsidR="0002155D" w:rsidRPr="0002155D" w14:paraId="426E8705" w14:textId="77777777" w:rsidTr="004501CF">
      <w:trPr>
        <w:trHeight w:val="454"/>
      </w:trPr>
      <w:tc>
        <w:tcPr>
          <w:tcW w:w="6616" w:type="dxa"/>
          <w:tcBorders>
            <w:top w:val="nil"/>
            <w:left w:val="nil"/>
            <w:bottom w:val="nil"/>
            <w:right w:val="nil"/>
          </w:tcBorders>
          <w:vAlign w:val="center"/>
        </w:tcPr>
        <w:p w14:paraId="66DBE399" w14:textId="0A3A45BD" w:rsidR="0014236D" w:rsidRPr="0002155D" w:rsidRDefault="0014236D" w:rsidP="0002155D">
          <w:pPr>
            <w:rPr>
              <w:rFonts w:eastAsia="Aptos"/>
              <w:color w:val="auto"/>
              <w:sz w:val="18"/>
              <w:szCs w:val="18"/>
            </w:rPr>
          </w:pPr>
          <w:r w:rsidRPr="004B1A1C">
            <w:rPr>
              <w:rFonts w:eastAsia="Aptos"/>
              <w:color w:val="auto"/>
              <w:sz w:val="18"/>
              <w:szCs w:val="18"/>
            </w:rPr>
            <w:t xml:space="preserve">Bu çalışma </w:t>
          </w:r>
          <w:hyperlink r:id="rId2" w:history="1">
            <w:r w:rsidRPr="000651EB">
              <w:rPr>
                <w:rStyle w:val="Kpr"/>
                <w:rFonts w:eastAsia="Aptos"/>
                <w:sz w:val="18"/>
                <w:szCs w:val="18"/>
                <w:lang w:val="en-US"/>
              </w:rPr>
              <w:t>Creative Commons Attribution (CC-BY)</w:t>
            </w:r>
            <w:r w:rsidRPr="000651EB">
              <w:rPr>
                <w:rStyle w:val="Kpr"/>
                <w:rFonts w:eastAsia="Aptos"/>
                <w:sz w:val="18"/>
                <w:szCs w:val="18"/>
              </w:rPr>
              <w:t xml:space="preserve"> 4.0 Lisansı</w:t>
            </w:r>
          </w:hyperlink>
          <w:r w:rsidRPr="004B1A1C">
            <w:rPr>
              <w:rFonts w:eastAsia="Aptos"/>
              <w:color w:val="auto"/>
              <w:sz w:val="18"/>
              <w:szCs w:val="18"/>
            </w:rPr>
            <w:t xml:space="preserve"> kapsamında lisanslanmıştır.</w:t>
          </w:r>
        </w:p>
        <w:p w14:paraId="1CB76370" w14:textId="0C4B43EC" w:rsidR="0014236D" w:rsidRPr="004B1A1C" w:rsidRDefault="0014236D" w:rsidP="0014236D">
          <w:pPr>
            <w:rPr>
              <w:rFonts w:eastAsia="Aptos"/>
              <w:color w:val="auto"/>
              <w:sz w:val="16"/>
              <w:szCs w:val="16"/>
              <w:lang w:val="en-US"/>
            </w:rPr>
          </w:pPr>
          <w:r w:rsidRPr="004B1A1C">
            <w:rPr>
              <w:rFonts w:eastAsia="Aptos"/>
              <w:color w:val="auto"/>
              <w:sz w:val="18"/>
              <w:szCs w:val="18"/>
              <w:lang w:val="en-US"/>
            </w:rPr>
            <w:t xml:space="preserve">This study is licensed under a </w:t>
          </w:r>
          <w:hyperlink r:id="rId3" w:history="1">
            <w:r w:rsidRPr="000651EB">
              <w:rPr>
                <w:rStyle w:val="Kpr"/>
                <w:rFonts w:eastAsia="Aptos"/>
                <w:sz w:val="18"/>
                <w:szCs w:val="18"/>
                <w:lang w:val="en-US"/>
              </w:rPr>
              <w:t>Creative Commons Attribution (CC-BY) 4.0 License</w:t>
            </w:r>
          </w:hyperlink>
        </w:p>
      </w:tc>
    </w:tr>
  </w:tbl>
  <w:p w14:paraId="69AE0429" w14:textId="2A329CBA" w:rsidR="0014236D" w:rsidRDefault="0014236D">
    <w:pPr>
      <w:pStyle w:val="AltBilgi"/>
    </w:pPr>
    <w:r>
      <w:t xml:space="preserve">        </w:t>
    </w:r>
  </w:p>
  <w:p w14:paraId="1297D2C6" w14:textId="77777777" w:rsidR="00AB4966" w:rsidRDefault="00AB4966">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9A22" w14:textId="0108B84B" w:rsidR="00D713DF" w:rsidRDefault="001A7C30">
    <w:pPr>
      <w:pStyle w:val="AltBilgi"/>
      <w:jc w:val="right"/>
    </w:pPr>
    <w:r w:rsidRPr="004232FE">
      <w:rPr>
        <w:noProof/>
        <w:color w:val="C00000"/>
        <w:lang w:eastAsia="tr-TR"/>
      </w:rPr>
      <mc:AlternateContent>
        <mc:Choice Requires="wps">
          <w:drawing>
            <wp:anchor distT="0" distB="0" distL="114300" distR="114300" simplePos="0" relativeHeight="251670528" behindDoc="0" locked="0" layoutInCell="1" allowOverlap="1" wp14:anchorId="3268C52E" wp14:editId="0B9A1324">
              <wp:simplePos x="0" y="0"/>
              <wp:positionH relativeFrom="margin">
                <wp:posOffset>-3175</wp:posOffset>
              </wp:positionH>
              <wp:positionV relativeFrom="paragraph">
                <wp:posOffset>84243</wp:posOffset>
              </wp:positionV>
              <wp:extent cx="6156000" cy="0"/>
              <wp:effectExtent l="0" t="0" r="0" b="0"/>
              <wp:wrapNone/>
              <wp:docPr id="1734861049" name="Düz Bağlayıcı 6"/>
              <wp:cNvGraphicFramePr/>
              <a:graphic xmlns:a="http://schemas.openxmlformats.org/drawingml/2006/main">
                <a:graphicData uri="http://schemas.microsoft.com/office/word/2010/wordprocessingShape">
                  <wps:wsp>
                    <wps:cNvCnPr/>
                    <wps:spPr>
                      <a:xfrm flipV="1">
                        <a:off x="0" y="0"/>
                        <a:ext cx="6156000" cy="0"/>
                      </a:xfrm>
                      <a:prstGeom prst="line">
                        <a:avLst/>
                      </a:prstGeom>
                      <a:noFill/>
                      <a:ln w="9525" cap="flat" cmpd="sng" algn="ctr">
                        <a:solidFill>
                          <a:srgbClr val="C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3799214" id="Düz Bağlayıcı 6" o:spid="_x0000_s1026" style="position:absolute;flip:y;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pt,6.65pt" to="484.45pt,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" strokecolor="#c00000">
              <v:stroke joinstyle="miter"/>
              <w10:wrap anchorx="margin"/>
            </v:line>
          </w:pict>
        </mc:Fallback>
      </mc:AlternateContent>
    </w:r>
  </w:p>
  <w:p w14:paraId="75010301" w14:textId="16DC372E" w:rsidR="00485FB0" w:rsidRDefault="00D713DF" w:rsidP="005303BC">
    <w:pPr>
      <w:pStyle w:val="AltBilgi"/>
      <w:tabs>
        <w:tab w:val="clear" w:pos="4680"/>
        <w:tab w:val="clear" w:pos="9360"/>
        <w:tab w:val="left" w:pos="5983"/>
      </w:tabs>
    </w:pPr>
    <w:r>
      <w:rPr>
        <w:noProof/>
        <w:lang w:eastAsia="tr-TR"/>
      </w:rPr>
      <mc:AlternateContent>
        <mc:Choice Requires="wps">
          <w:drawing>
            <wp:anchor distT="0" distB="0" distL="114300" distR="114300" simplePos="0" relativeHeight="251667456" behindDoc="0" locked="0" layoutInCell="0" allowOverlap="1" wp14:anchorId="60456B0A" wp14:editId="7EC155D1">
              <wp:simplePos x="0" y="0"/>
              <wp:positionH relativeFrom="page">
                <wp:posOffset>7052310</wp:posOffset>
              </wp:positionH>
              <wp:positionV relativeFrom="topMargin">
                <wp:posOffset>9558443</wp:posOffset>
              </wp:positionV>
              <wp:extent cx="911860" cy="170815"/>
              <wp:effectExtent l="0" t="0" r="3810" b="0"/>
              <wp:wrapNone/>
              <wp:docPr id="1361510084" name="Metin Kutusu 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rgbClr val="C00000"/>
                      </a:solidFill>
                      <a:ln>
                        <a:noFill/>
                      </a:ln>
                    </wps:spPr>
                    <wps:txbx>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type w14:anchorId="60456B0A" id="_x0000_t202" coordsize="21600,21600" o:spt="202" path="m,l,21600r21600,l21600,xe">
              <v:stroke joinstyle="miter"/>
              <v:path gradientshapeok="t" o:connecttype="rect"/>
            </v:shapetype>
            <v:shape id="Metin Kutusu 231" o:spid="_x0000_s1026" type="#_x0000_t202" style="position:absolute;left:0;text-align:left;margin-left:555.3pt;margin-top:752.65pt;width:71.8pt;height:13.45pt;z-index:251667456;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" o:allowincell="f" fillcolor="#c00000" stroked="f">
              <v:textbox style="mso-fit-shape-to-text:t" inset=",0,,0">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v:textbox>
              <w10:wrap anchorx="page" anchory="margin"/>
            </v:shape>
          </w:pict>
        </mc:Fallback>
      </mc:AlternateContent>
    </w:r>
    <w:r w:rsidR="005303BC">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D9914" w14:textId="77777777" w:rsidR="00811B8E" w:rsidRDefault="00811B8E" w:rsidP="002D526B">
      <w:r>
        <w:separator/>
      </w:r>
    </w:p>
  </w:footnote>
  <w:footnote w:type="continuationSeparator" w:id="0">
    <w:p w14:paraId="578C18DB" w14:textId="77777777" w:rsidR="00811B8E" w:rsidRDefault="00811B8E" w:rsidP="002D526B">
      <w:r>
        <w:continuationSeparator/>
      </w:r>
    </w:p>
  </w:footnote>
  <w:footnote w:id="1">
    <w:p w14:paraId="12386353" w14:textId="2C42BAB9" w:rsidR="00B61C3B" w:rsidRPr="0056244A" w:rsidRDefault="00B61C3B" w:rsidP="00222017">
      <w:pPr>
        <w:pStyle w:val="Makalehakkndaekbilgi"/>
        <w:rPr>
          <w:color w:val="C00000"/>
        </w:rPr>
      </w:pPr>
      <w:r w:rsidRPr="00451C7B">
        <w:rPr>
          <w:vertAlign w:val="superscript"/>
        </w:rPr>
        <w:t>*</w:t>
      </w:r>
      <w:r w:rsidR="0056244A">
        <w:rPr>
          <w:vertAlign w:val="superscript"/>
        </w:rPr>
        <w:t xml:space="preserve"> </w:t>
      </w:r>
      <w:r w:rsidR="00451C7B">
        <w:rPr>
          <w:vertAlign w:val="superscript"/>
        </w:rPr>
        <w:t xml:space="preserve"> </w:t>
      </w:r>
      <w:r w:rsidR="00451C7B" w:rsidRPr="0056244A">
        <w:t xml:space="preserve">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w:t>
      </w:r>
      <w:r w:rsidR="00451C7B" w:rsidRPr="00222017">
        <w:t>Additional</w:t>
      </w:r>
      <w:r w:rsidR="00451C7B" w:rsidRPr="0056244A">
        <w:t xml:space="preserve">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w:t>
      </w:r>
      <w:r w:rsidR="00451C7B" w:rsidRPr="0056244A">
        <w:rPr>
          <w:color w:val="C00000"/>
        </w:rPr>
        <w:t xml:space="preserve"> (</w:t>
      </w:r>
      <w:proofErr w:type="spellStart"/>
      <w:r w:rsidR="00451C7B" w:rsidRPr="0056244A">
        <w:rPr>
          <w:color w:val="C00000"/>
        </w:rPr>
        <w:t>Değiştirmeyeniz</w:t>
      </w:r>
      <w:proofErr w:type="spellEnd"/>
      <w:r w:rsidR="00451C7B" w:rsidRPr="0056244A">
        <w:rPr>
          <w:color w:val="C00000"/>
        </w:rPr>
        <w:t xml:space="preserve"> / Do not change)</w:t>
      </w:r>
    </w:p>
    <w:p w14:paraId="66B10ABB" w14:textId="29AE5364" w:rsidR="00C06AF3" w:rsidRPr="0056244A" w:rsidRDefault="00C06AF3" w:rsidP="006B61D0">
      <w:pPr>
        <w:pStyle w:val="Yazaraltbilgi"/>
        <w:rPr>
          <w:color w:val="C00000"/>
        </w:rPr>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9C6B7DF" wp14:editId="1788BA29">
            <wp:extent cx="108000" cy="108000"/>
            <wp:effectExtent l="0" t="0" r="6350" b="6350"/>
            <wp:docPr id="1897767115" name="Resim 1897767115">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F366F8" w:rsidRPr="0056244A">
        <w:t xml:space="preserve"> </w:t>
      </w:r>
      <w:bookmarkStart w:id="0" w:name="_Hlk218280168"/>
      <w:bookmarkStart w:id="1" w:name="_Hlk218280008"/>
      <w:proofErr w:type="spellStart"/>
      <w:r w:rsidR="00477189">
        <w:t>Unvan</w:t>
      </w:r>
      <w:proofErr w:type="spellEnd"/>
      <w:r w:rsidR="00477189">
        <w:t>/</w:t>
      </w:r>
      <w:r w:rsidR="00477189" w:rsidRPr="00477189">
        <w:t>Title</w:t>
      </w:r>
      <w:r w:rsidR="00477189">
        <w:t>,</w:t>
      </w:r>
      <w:bookmarkEnd w:id="0"/>
      <w:r w:rsidR="00477189">
        <w:t xml:space="preserve"> </w:t>
      </w:r>
      <w:r w:rsidR="00F366F8" w:rsidRPr="0056244A">
        <w:t xml:space="preserve">X </w:t>
      </w:r>
      <w:proofErr w:type="spellStart"/>
      <w:r w:rsidR="00F366F8" w:rsidRPr="0056244A">
        <w:t>Üniversitesi</w:t>
      </w:r>
      <w:proofErr w:type="spellEnd"/>
      <w:r w:rsidR="00F366F8" w:rsidRPr="0056244A">
        <w:t xml:space="preserve">/University, Y </w:t>
      </w:r>
      <w:proofErr w:type="spellStart"/>
      <w:r w:rsidR="00F366F8" w:rsidRPr="0056244A">
        <w:t>Fakültesi</w:t>
      </w:r>
      <w:proofErr w:type="spellEnd"/>
      <w:r w:rsidR="00F366F8" w:rsidRPr="0056244A">
        <w:t>/Faculty</w:t>
      </w:r>
      <w:r w:rsidR="00660795" w:rsidRPr="0056244A">
        <w:t xml:space="preserve">, </w:t>
      </w:r>
      <w:proofErr w:type="spellStart"/>
      <w:r w:rsidR="00660795" w:rsidRPr="0056244A">
        <w:t>Ülke</w:t>
      </w:r>
      <w:proofErr w:type="spellEnd"/>
      <w:r w:rsidR="00660795" w:rsidRPr="0056244A">
        <w:t>/Country</w:t>
      </w:r>
      <w:r w:rsidR="002053D0" w:rsidRPr="0056244A">
        <w:t>,</w:t>
      </w:r>
      <w:r w:rsidR="00F366F8" w:rsidRPr="0056244A">
        <w:t xml:space="preserve"> aaa@bbb.edu.tr </w:t>
      </w:r>
      <w:r w:rsidR="00F366F8" w:rsidRPr="0056244A">
        <w:rPr>
          <w:color w:val="C00000"/>
        </w:rPr>
        <w:t>(</w:t>
      </w:r>
      <w:proofErr w:type="spellStart"/>
      <w:r w:rsidR="00F366F8" w:rsidRPr="0056244A">
        <w:rPr>
          <w:color w:val="C00000"/>
        </w:rPr>
        <w:t>Değiştirmeyeniz</w:t>
      </w:r>
      <w:proofErr w:type="spellEnd"/>
      <w:r w:rsidR="00F366F8" w:rsidRPr="0056244A">
        <w:rPr>
          <w:color w:val="C00000"/>
        </w:rPr>
        <w:t xml:space="preserve"> / Do not change)</w:t>
      </w:r>
      <w:bookmarkEnd w:id="1"/>
    </w:p>
  </w:footnote>
  <w:footnote w:id="2">
    <w:p w14:paraId="68173D05" w14:textId="75F88CFE" w:rsidR="00C839B5" w:rsidRPr="0056244A" w:rsidRDefault="00C839B5" w:rsidP="006D49C5">
      <w:pPr>
        <w:pStyle w:val="Yazaraltbilgi"/>
      </w:pPr>
      <w:r w:rsidRPr="0056244A">
        <w:rPr>
          <w:rStyle w:val="DipnotBavurusu"/>
        </w:rPr>
        <w:footnoteRef/>
      </w:r>
      <w:r w:rsidRPr="0056244A">
        <w:t xml:space="preserve"> </w:t>
      </w:r>
      <w:r w:rsidR="002053D0" w:rsidRPr="0056244A">
        <w:t xml:space="preserve"> </w:t>
      </w:r>
      <w:r w:rsidRPr="0056244A">
        <w:rPr>
          <w:rFonts w:ascii="Times New Roman" w:eastAsia="Calibri" w:hAnsi="Times New Roman" w:cs="Times New Roman"/>
          <w:noProof/>
          <w:color w:val="auto"/>
          <w:lang w:val="tr-TR" w:eastAsia="tr-TR"/>
        </w:rPr>
        <w:drawing>
          <wp:inline distT="0" distB="0" distL="0" distR="0" wp14:anchorId="1CA4D0AB" wp14:editId="79E5F221">
            <wp:extent cx="108000" cy="108000"/>
            <wp:effectExtent l="0" t="0" r="6350" b="6350"/>
            <wp:docPr id="1447159826" name="Resim 144715982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3">
    <w:p w14:paraId="458E237A" w14:textId="045236A1" w:rsidR="00C839B5" w:rsidRPr="0056244A" w:rsidRDefault="00C839B5" w:rsidP="00222017">
      <w:pPr>
        <w:pStyle w:val="Yazaraltbilgi"/>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B008599" wp14:editId="1E120278">
            <wp:extent cx="108000" cy="108000"/>
            <wp:effectExtent l="0" t="0" r="6350" b="6350"/>
            <wp:docPr id="394964129" name="Resim 39496412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4">
    <w:p w14:paraId="270A42F1" w14:textId="4D71B7DF" w:rsidR="00583EFC" w:rsidRPr="0056244A" w:rsidRDefault="00583EFC" w:rsidP="000B26A0">
      <w:pPr>
        <w:pStyle w:val="DipnotMetni"/>
        <w:spacing w:after="20"/>
        <w:rPr>
          <w:sz w:val="18"/>
          <w:szCs w:val="18"/>
        </w:rPr>
      </w:pPr>
      <w:r w:rsidRPr="0056244A">
        <w:rPr>
          <w:rStyle w:val="DipnotBavurusu"/>
          <w:sz w:val="18"/>
          <w:szCs w:val="18"/>
        </w:rPr>
        <w:footnoteRef/>
      </w:r>
      <w:r w:rsidR="002053D0" w:rsidRPr="0056244A">
        <w:rPr>
          <w:sz w:val="18"/>
          <w:szCs w:val="18"/>
        </w:rPr>
        <w:t xml:space="preserve"> </w:t>
      </w:r>
      <w:r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04D8151" wp14:editId="6867002D">
            <wp:extent cx="108000" cy="108000"/>
            <wp:effectExtent l="0" t="0" r="6350" b="6350"/>
            <wp:docPr id="1077078677" name="Resim 107707867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5">
    <w:p w14:paraId="7D14678D" w14:textId="34F835A2" w:rsidR="004B1A1C" w:rsidRPr="006E588B" w:rsidRDefault="00583EFC" w:rsidP="000B26A0">
      <w:pPr>
        <w:pStyle w:val="DipnotMetni"/>
        <w:rPr>
          <w:color w:val="C00000"/>
          <w:sz w:val="18"/>
          <w:szCs w:val="18"/>
        </w:rPr>
      </w:pPr>
      <w:r w:rsidRPr="0056244A">
        <w:rPr>
          <w:rStyle w:val="DipnotBavurusu"/>
          <w:sz w:val="18"/>
          <w:szCs w:val="18"/>
        </w:rPr>
        <w:footnoteRef/>
      </w:r>
      <w:r w:rsidRPr="0056244A">
        <w:rPr>
          <w:sz w:val="18"/>
          <w:szCs w:val="18"/>
        </w:rPr>
        <w:t xml:space="preserve"> </w:t>
      </w:r>
      <w:r w:rsidR="002053D0"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740E1E9" wp14:editId="0F27AA06">
            <wp:extent cx="108000" cy="108000"/>
            <wp:effectExtent l="0" t="0" r="6350" b="6350"/>
            <wp:docPr id="1026135212" name="Resim 102613521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6">
    <w:p w14:paraId="3E39D94F" w14:textId="134817DD" w:rsidR="001D7197" w:rsidRPr="0052322F" w:rsidRDefault="001D7197" w:rsidP="00422801">
      <w:pPr>
        <w:pStyle w:val="Dipnot"/>
        <w:spacing w:after="0"/>
      </w:pPr>
      <w:r w:rsidRPr="0052322F">
        <w:rPr>
          <w:rStyle w:val="DipnotBavurusu"/>
        </w:rPr>
        <w:footnoteRef/>
      </w:r>
      <w:r w:rsidRPr="0052322F">
        <w:t xml:space="preserve"> Makale içerisindeki </w:t>
      </w:r>
      <w:r w:rsidRPr="00440781">
        <w:t>dipnot</w:t>
      </w:r>
      <w:r w:rsidRPr="0052322F">
        <w:t>lar</w:t>
      </w:r>
      <w:r w:rsidRPr="00440781">
        <w:t xml:space="preserve"> </w:t>
      </w:r>
      <w:proofErr w:type="spellStart"/>
      <w:r w:rsidRPr="0052322F">
        <w:t>Garamond</w:t>
      </w:r>
      <w:proofErr w:type="spellEnd"/>
      <w:r w:rsidRPr="0052322F">
        <w:t xml:space="preserve"> yazı tipinde, 9</w:t>
      </w:r>
      <w:r w:rsidRPr="00440781">
        <w:t xml:space="preserve"> punto</w:t>
      </w:r>
      <w:r w:rsidRPr="0052322F">
        <w:t xml:space="preserve"> büyüklüğünde, </w:t>
      </w:r>
      <w:r w:rsidRPr="00440781">
        <w:t>iki yana yaslı</w:t>
      </w:r>
      <w:r w:rsidRPr="0052322F">
        <w:t xml:space="preserve">, </w:t>
      </w:r>
      <w:r w:rsidRPr="00440781">
        <w:t>tek satır aralığı</w:t>
      </w:r>
      <w:r w:rsidRPr="0052322F">
        <w:t>nda</w:t>
      </w:r>
      <w:r w:rsidRPr="00440781">
        <w:t xml:space="preserve"> </w:t>
      </w:r>
      <w:r w:rsidRPr="0052322F">
        <w:t>yazılmalı;</w:t>
      </w:r>
      <w:r w:rsidRPr="00440781">
        <w:t xml:space="preserve"> paragraftan önce ve sonra 3</w:t>
      </w:r>
      <w:r w:rsidRPr="0052322F">
        <w:t xml:space="preserve"> </w:t>
      </w:r>
      <w:proofErr w:type="spellStart"/>
      <w:r w:rsidRPr="00440781">
        <w:t>nk</w:t>
      </w:r>
      <w:proofErr w:type="spellEnd"/>
      <w:r w:rsidRPr="00440781">
        <w:t xml:space="preserve"> boşluk bırakıl</w:t>
      </w:r>
      <w:r w:rsidRPr="0052322F">
        <w:t>malıdır</w:t>
      </w:r>
      <w:r w:rsidR="00790162" w:rsidRPr="0052322F">
        <w:t>.</w:t>
      </w:r>
      <w:r w:rsidR="00B3628F">
        <w:t xml:space="preserve"> </w:t>
      </w:r>
      <w:r w:rsidR="00B3628F" w:rsidRPr="00B3628F">
        <w:t xml:space="preserve">Makale içerisindeki </w:t>
      </w:r>
      <w:r w:rsidR="00B3628F" w:rsidRPr="00440781">
        <w:t>dipnot</w:t>
      </w:r>
      <w:r w:rsidR="00B3628F" w:rsidRPr="00B3628F">
        <w:t>lar</w:t>
      </w:r>
      <w:r w:rsidR="00B3628F" w:rsidRPr="00440781">
        <w:t xml:space="preserve"> </w:t>
      </w:r>
      <w:proofErr w:type="spellStart"/>
      <w:r w:rsidR="00B3628F" w:rsidRPr="00B3628F">
        <w:t>Garamond</w:t>
      </w:r>
      <w:proofErr w:type="spellEnd"/>
      <w:r w:rsidR="00B3628F" w:rsidRPr="00B3628F">
        <w:t xml:space="preserve"> yazı tipinde, 9</w:t>
      </w:r>
      <w:r w:rsidR="00B3628F" w:rsidRPr="00440781">
        <w:t xml:space="preserve"> punto</w:t>
      </w:r>
      <w:r w:rsidR="00B3628F" w:rsidRPr="00B3628F">
        <w:t xml:space="preserve"> büyüklüğünde, </w:t>
      </w:r>
      <w:r w:rsidR="00B3628F" w:rsidRPr="00440781">
        <w:t>iki yana yaslı</w:t>
      </w:r>
      <w:r w:rsidR="00B3628F" w:rsidRPr="00B3628F">
        <w:t xml:space="preserve">, </w:t>
      </w:r>
      <w:r w:rsidR="00B3628F" w:rsidRPr="00440781">
        <w:t>tek satır aralığı</w:t>
      </w:r>
      <w:r w:rsidR="00B3628F" w:rsidRPr="00B3628F">
        <w:t>nda</w:t>
      </w:r>
      <w:r w:rsidR="00B3628F" w:rsidRPr="00440781">
        <w:t xml:space="preserve"> </w:t>
      </w:r>
      <w:r w:rsidR="00B3628F" w:rsidRPr="00B3628F">
        <w:t>yazılmalı;</w:t>
      </w:r>
      <w:r w:rsidR="00B3628F" w:rsidRPr="00440781">
        <w:t xml:space="preserve"> paragraftan önce ve sonra 3</w:t>
      </w:r>
      <w:r w:rsidR="00B3628F" w:rsidRPr="00B3628F">
        <w:t xml:space="preserve"> </w:t>
      </w:r>
      <w:proofErr w:type="spellStart"/>
      <w:r w:rsidR="00B3628F" w:rsidRPr="00440781">
        <w:t>nk</w:t>
      </w:r>
      <w:proofErr w:type="spellEnd"/>
      <w:r w:rsidR="00B3628F" w:rsidRPr="00440781">
        <w:t xml:space="preserve"> boşluk bırakıl</w:t>
      </w:r>
      <w:r w:rsidR="00B3628F" w:rsidRPr="00B3628F">
        <w:t>malıdır.</w:t>
      </w:r>
    </w:p>
  </w:footnote>
  <w:footnote w:id="7">
    <w:p w14:paraId="4B725D0C" w14:textId="23FF356D" w:rsidR="00964A76" w:rsidRPr="0052322F" w:rsidRDefault="00964A76" w:rsidP="007002AC">
      <w:pPr>
        <w:pStyle w:val="DipnotMetni"/>
        <w:spacing w:after="60"/>
        <w:ind w:left="113" w:hanging="113"/>
        <w:rPr>
          <w:sz w:val="18"/>
          <w:szCs w:val="18"/>
          <w:lang w:val="en-US"/>
        </w:rPr>
      </w:pPr>
      <w:r w:rsidRPr="0052322F">
        <w:rPr>
          <w:rStyle w:val="DipnotBavurusu"/>
          <w:sz w:val="18"/>
          <w:szCs w:val="18"/>
        </w:rPr>
        <w:footnoteRef/>
      </w:r>
      <w:r w:rsidRPr="0052322F">
        <w:rPr>
          <w:sz w:val="18"/>
          <w:szCs w:val="18"/>
        </w:rPr>
        <w:t xml:space="preserve"> </w:t>
      </w:r>
      <w:r w:rsidR="004401AB" w:rsidRPr="0052322F">
        <w:rPr>
          <w:sz w:val="18"/>
          <w:szCs w:val="18"/>
          <w:lang w:val="en-US"/>
        </w:rPr>
        <w:t xml:space="preserve">Footnotes within the manuscript should be written in Garamond font, 9-point size, justified alignment, and single line spacing; 3 </w:t>
      </w:r>
      <w:proofErr w:type="spellStart"/>
      <w:r w:rsidR="004401AB" w:rsidRPr="0052322F">
        <w:rPr>
          <w:sz w:val="18"/>
          <w:szCs w:val="18"/>
          <w:lang w:val="en-US"/>
        </w:rPr>
        <w:t>nk</w:t>
      </w:r>
      <w:proofErr w:type="spellEnd"/>
      <w:r w:rsidR="004401AB" w:rsidRPr="0052322F">
        <w:rPr>
          <w:sz w:val="18"/>
          <w:szCs w:val="18"/>
          <w:lang w:val="en-US"/>
        </w:rPr>
        <w:t xml:space="preserve"> spacing should be left before and after each paragraph.</w:t>
      </w:r>
      <w:r w:rsidR="00B3628F">
        <w:rPr>
          <w:sz w:val="18"/>
          <w:szCs w:val="18"/>
          <w:lang w:val="en-US"/>
        </w:rPr>
        <w:t xml:space="preserve"> </w:t>
      </w:r>
      <w:r w:rsidR="00B3628F" w:rsidRPr="00B3628F">
        <w:rPr>
          <w:sz w:val="18"/>
          <w:szCs w:val="18"/>
          <w:lang w:val="en-US"/>
        </w:rPr>
        <w:t xml:space="preserve">Footnotes within the manuscript should be written in Garamond font, 9-point size, justified alignment, and single line spacing; 3 </w:t>
      </w:r>
      <w:proofErr w:type="spellStart"/>
      <w:r w:rsidR="00B3628F" w:rsidRPr="00B3628F">
        <w:rPr>
          <w:sz w:val="18"/>
          <w:szCs w:val="18"/>
          <w:lang w:val="en-US"/>
        </w:rPr>
        <w:t>nk</w:t>
      </w:r>
      <w:proofErr w:type="spellEnd"/>
      <w:r w:rsidR="00B3628F" w:rsidRPr="00B3628F">
        <w:rPr>
          <w:sz w:val="18"/>
          <w:szCs w:val="18"/>
          <w:lang w:val="en-US"/>
        </w:rPr>
        <w:t xml:space="preserve"> spacing should be left before and after each paragraph.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131A" w14:textId="2D5BBEF0" w:rsidR="00771D2C" w:rsidRDefault="00242903" w:rsidP="009E6156">
    <w:pPr>
      <w:pStyle w:val="stBilgi"/>
      <w:jc w:val="right"/>
    </w:pPr>
    <w:r>
      <w:t xml:space="preserve">Yazar </w:t>
    </w:r>
    <w:r w:rsidR="002537F2">
      <w:t>Soyadı, Yıl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EE21" w14:textId="66BD6A3F" w:rsidR="00D8650A" w:rsidRPr="0086772C" w:rsidRDefault="0086772C">
    <w:pPr>
      <w:pStyle w:val="stBilgi"/>
      <w:tabs>
        <w:tab w:val="clear" w:pos="4680"/>
        <w:tab w:val="clear" w:pos="9360"/>
      </w:tabs>
      <w:jc w:val="right"/>
      <w:rPr>
        <w:sz w:val="20"/>
        <w:szCs w:val="20"/>
      </w:rPr>
    </w:pPr>
    <w:r>
      <w:rPr>
        <w:b/>
        <w:bCs/>
        <w:color w:val="auto"/>
        <w:sz w:val="20"/>
        <w:szCs w:val="20"/>
      </w:rPr>
      <w:t>Yazar Soyadı</w:t>
    </w:r>
    <w:r w:rsidR="008B08DB" w:rsidRPr="0086772C">
      <w:rPr>
        <w:b/>
        <w:bCs/>
        <w:color w:val="auto"/>
        <w:sz w:val="20"/>
        <w:szCs w:val="20"/>
      </w:rPr>
      <w:t xml:space="preserve">, </w:t>
    </w:r>
    <w:r>
      <w:rPr>
        <w:b/>
        <w:bCs/>
        <w:color w:val="auto"/>
        <w:sz w:val="20"/>
        <w:szCs w:val="20"/>
      </w:rPr>
      <w:t>Yıl</w:t>
    </w:r>
    <w:r w:rsidR="00D8650A" w:rsidRPr="0086772C">
      <w:rPr>
        <w:b/>
        <w:bCs/>
        <w:color w:val="auto"/>
        <w:sz w:val="20"/>
        <w:szCs w:val="20"/>
      </w:rPr>
      <w:t xml:space="preserve">| </w:t>
    </w:r>
    <w:sdt>
      <w:sdtPr>
        <w:rPr>
          <w:b/>
          <w:bCs/>
          <w:color w:val="auto"/>
          <w:sz w:val="20"/>
          <w:szCs w:val="20"/>
        </w:rPr>
        <w:alias w:val="Yazar"/>
        <w:tag w:val=""/>
        <w:id w:val="-1677181147"/>
        <w:placeholder>
          <w:docPart w:val="A3325D6B339641008D37855D32E9516D"/>
        </w:placeholder>
        <w:dataBinding w:prefixMappings="xmlns:ns0='http://purl.org/dc/elements/1.1/' xmlns:ns1='http://schemas.openxmlformats.org/package/2006/metadata/core-properties' " w:xpath="/ns1:coreProperties[1]/ns0:creator[1]" w:storeItemID="{6C3C8BC8-F283-45AE-878A-BAB7291924A1}"/>
        <w:text/>
      </w:sdtPr>
      <w:sdtContent>
        <w:r w:rsidR="008F0DC4">
          <w:rPr>
            <w:b/>
            <w:bCs/>
            <w:color w:val="auto"/>
            <w:sz w:val="20"/>
            <w:szCs w:val="20"/>
          </w:rPr>
          <w:t>Dergi Adı, Cilt (Sayı): Sayfa Aralığı</w:t>
        </w:r>
      </w:sdtContent>
    </w:sdt>
  </w:p>
  <w:p w14:paraId="642B3C14" w14:textId="6D549359" w:rsidR="000A256B" w:rsidRDefault="004232FE">
    <w:pPr>
      <w:pStyle w:val="stBilgi"/>
    </w:pPr>
    <w:r w:rsidRPr="004232FE">
      <w:rPr>
        <w:noProof/>
        <w:color w:val="C00000"/>
        <w:lang w:eastAsia="tr-TR"/>
      </w:rPr>
      <mc:AlternateContent>
        <mc:Choice Requires="wps">
          <w:drawing>
            <wp:anchor distT="0" distB="0" distL="114300" distR="114300" simplePos="0" relativeHeight="251668480" behindDoc="0" locked="0" layoutInCell="1" allowOverlap="1" wp14:anchorId="60A5C0D4" wp14:editId="0D42EF16">
              <wp:simplePos x="0" y="0"/>
              <wp:positionH relativeFrom="margin">
                <wp:posOffset>-1270</wp:posOffset>
              </wp:positionH>
              <wp:positionV relativeFrom="paragraph">
                <wp:posOffset>140335</wp:posOffset>
              </wp:positionV>
              <wp:extent cx="6192000" cy="0"/>
              <wp:effectExtent l="0" t="0" r="0" b="0"/>
              <wp:wrapNone/>
              <wp:docPr id="887942635" name="Düz Bağlayıcı 6"/>
              <wp:cNvGraphicFramePr/>
              <a:graphic xmlns:a="http://schemas.openxmlformats.org/drawingml/2006/main">
                <a:graphicData uri="http://schemas.microsoft.com/office/word/2010/wordprocessingShape">
                  <wps:wsp>
                    <wps:cNvCnPr/>
                    <wps:spPr>
                      <a:xfrm flipV="1">
                        <a:off x="0" y="0"/>
                        <a:ext cx="6192000" cy="0"/>
                      </a:xfrm>
                      <a:prstGeom prst="line">
                        <a:avLst/>
                      </a:prstGeom>
                      <a:ln w="9525">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406DEF" id="Düz Bağlayıcı 6" o:spid="_x0000_s1026" style="position:absolute;flip:y;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11.05pt" to="487.4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" strokecolor="#c00000">
              <v:stroke joinstyle="miter"/>
              <w10:wrap anchorx="margin"/>
            </v:line>
          </w:pict>
        </mc:Fallback>
      </mc:AlternateContent>
    </w:r>
  </w:p>
  <w:p w14:paraId="0002351F" w14:textId="77777777" w:rsidR="008A268F" w:rsidRDefault="008A268F">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35A"/>
    <w:multiLevelType w:val="hybridMultilevel"/>
    <w:tmpl w:val="1D360A6E"/>
    <w:lvl w:ilvl="0" w:tplc="CBF62B7C">
      <w:start w:val="1"/>
      <w:numFmt w:val="bullet"/>
      <w:lvlText w:val=""/>
      <w:lvlJc w:val="left"/>
      <w:pPr>
        <w:ind w:left="0" w:firstLine="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44E2AF6"/>
    <w:multiLevelType w:val="hybridMultilevel"/>
    <w:tmpl w:val="0A3AB9DA"/>
    <w:lvl w:ilvl="0" w:tplc="72B025DA">
      <w:start w:val="1"/>
      <w:numFmt w:val="bullet"/>
      <w:lvlText w:val=""/>
      <w:lvlJc w:val="left"/>
      <w:pPr>
        <w:ind w:left="0" w:firstLine="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1E5985"/>
    <w:multiLevelType w:val="multilevel"/>
    <w:tmpl w:val="00F0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A14410"/>
    <w:multiLevelType w:val="hybridMultilevel"/>
    <w:tmpl w:val="90EE758C"/>
    <w:lvl w:ilvl="0" w:tplc="02C0C98C">
      <w:start w:val="1"/>
      <w:numFmt w:val="bullet"/>
      <w:pStyle w:val="Maddelendirme"/>
      <w:lvlText w:val=""/>
      <w:lvlJc w:val="left"/>
      <w:pPr>
        <w:ind w:left="357" w:hanging="357"/>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B9B79BF"/>
    <w:multiLevelType w:val="multilevel"/>
    <w:tmpl w:val="C464A1F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AC116E0"/>
    <w:multiLevelType w:val="hybridMultilevel"/>
    <w:tmpl w:val="368E3178"/>
    <w:lvl w:ilvl="0" w:tplc="EB34ADFE">
      <w:start w:val="1"/>
      <w:numFmt w:val="bullet"/>
      <w:lvlText w:val=""/>
      <w:lvlJc w:val="left"/>
      <w:pPr>
        <w:ind w:left="284" w:firstLine="76"/>
      </w:pPr>
      <w:rPr>
        <w:rFonts w:ascii="Symbol" w:hAnsi="Symbol" w:hint="default"/>
        <w:color w:val="000000" w:themeColor="text1"/>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75784A64"/>
    <w:multiLevelType w:val="multilevel"/>
    <w:tmpl w:val="BFC6BE84"/>
    <w:lvl w:ilvl="0">
      <w:start w:val="1"/>
      <w:numFmt w:val="decimal"/>
      <w:lvlText w:val="%1."/>
      <w:lvlJc w:val="left"/>
      <w:pPr>
        <w:ind w:left="1080" w:hanging="360"/>
      </w:pPr>
      <w:rPr>
        <w:rFonts w:hint="default"/>
        <w:color w:val="C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num w:numId="1" w16cid:durableId="1804888073">
    <w:abstractNumId w:val="6"/>
  </w:num>
  <w:num w:numId="2" w16cid:durableId="702025366">
    <w:abstractNumId w:val="4"/>
  </w:num>
  <w:num w:numId="3" w16cid:durableId="1610237843">
    <w:abstractNumId w:val="5"/>
  </w:num>
  <w:num w:numId="4" w16cid:durableId="560555389">
    <w:abstractNumId w:val="0"/>
  </w:num>
  <w:num w:numId="5" w16cid:durableId="379136206">
    <w:abstractNumId w:val="1"/>
  </w:num>
  <w:num w:numId="6" w16cid:durableId="1713841323">
    <w:abstractNumId w:val="3"/>
  </w:num>
  <w:num w:numId="7" w16cid:durableId="813372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W0tDA3NQYyjYwMDJV0lIJTi4sz8/NACkxqAewLjwAsAAAA"/>
  </w:docVars>
  <w:rsids>
    <w:rsidRoot w:val="00200254"/>
    <w:rsid w:val="0000045F"/>
    <w:rsid w:val="00000F21"/>
    <w:rsid w:val="0000311F"/>
    <w:rsid w:val="00003BFA"/>
    <w:rsid w:val="000042C8"/>
    <w:rsid w:val="00004733"/>
    <w:rsid w:val="0000543A"/>
    <w:rsid w:val="0000666D"/>
    <w:rsid w:val="00006D28"/>
    <w:rsid w:val="00013BA0"/>
    <w:rsid w:val="0001510D"/>
    <w:rsid w:val="000169CD"/>
    <w:rsid w:val="00016D1C"/>
    <w:rsid w:val="000171AB"/>
    <w:rsid w:val="00020511"/>
    <w:rsid w:val="00021370"/>
    <w:rsid w:val="0002155D"/>
    <w:rsid w:val="0002644B"/>
    <w:rsid w:val="000267E2"/>
    <w:rsid w:val="0003050B"/>
    <w:rsid w:val="0003181F"/>
    <w:rsid w:val="0003256B"/>
    <w:rsid w:val="00034F02"/>
    <w:rsid w:val="00034F88"/>
    <w:rsid w:val="0003577A"/>
    <w:rsid w:val="00035E31"/>
    <w:rsid w:val="00036B38"/>
    <w:rsid w:val="000422EC"/>
    <w:rsid w:val="00042F64"/>
    <w:rsid w:val="00042FFC"/>
    <w:rsid w:val="0005284A"/>
    <w:rsid w:val="00052BE3"/>
    <w:rsid w:val="000530F1"/>
    <w:rsid w:val="00053287"/>
    <w:rsid w:val="0005401A"/>
    <w:rsid w:val="00055F34"/>
    <w:rsid w:val="00056866"/>
    <w:rsid w:val="00056A97"/>
    <w:rsid w:val="00056E57"/>
    <w:rsid w:val="0006035D"/>
    <w:rsid w:val="00060E98"/>
    <w:rsid w:val="000640D4"/>
    <w:rsid w:val="000651EB"/>
    <w:rsid w:val="000658CE"/>
    <w:rsid w:val="00066C8F"/>
    <w:rsid w:val="00067712"/>
    <w:rsid w:val="00067FBA"/>
    <w:rsid w:val="00071440"/>
    <w:rsid w:val="00072DE2"/>
    <w:rsid w:val="00075B0B"/>
    <w:rsid w:val="00080B82"/>
    <w:rsid w:val="000819E2"/>
    <w:rsid w:val="0008206D"/>
    <w:rsid w:val="0008212E"/>
    <w:rsid w:val="000842A8"/>
    <w:rsid w:val="00085A75"/>
    <w:rsid w:val="00091234"/>
    <w:rsid w:val="000926C7"/>
    <w:rsid w:val="00093DC4"/>
    <w:rsid w:val="0009474A"/>
    <w:rsid w:val="00095D15"/>
    <w:rsid w:val="000A053F"/>
    <w:rsid w:val="000A1240"/>
    <w:rsid w:val="000A16F1"/>
    <w:rsid w:val="000A1BE2"/>
    <w:rsid w:val="000A256B"/>
    <w:rsid w:val="000A35D1"/>
    <w:rsid w:val="000A3EAD"/>
    <w:rsid w:val="000A4F75"/>
    <w:rsid w:val="000A78F8"/>
    <w:rsid w:val="000B14CE"/>
    <w:rsid w:val="000B25BF"/>
    <w:rsid w:val="000B26A0"/>
    <w:rsid w:val="000B2DE1"/>
    <w:rsid w:val="000B2F48"/>
    <w:rsid w:val="000B3A11"/>
    <w:rsid w:val="000C1378"/>
    <w:rsid w:val="000C20E3"/>
    <w:rsid w:val="000C3046"/>
    <w:rsid w:val="000C5403"/>
    <w:rsid w:val="000C5F2D"/>
    <w:rsid w:val="000C6107"/>
    <w:rsid w:val="000C7270"/>
    <w:rsid w:val="000C7D88"/>
    <w:rsid w:val="000D1487"/>
    <w:rsid w:val="000D309A"/>
    <w:rsid w:val="000D3353"/>
    <w:rsid w:val="000D385D"/>
    <w:rsid w:val="000D48B9"/>
    <w:rsid w:val="000D7EED"/>
    <w:rsid w:val="000E0C71"/>
    <w:rsid w:val="000E0DB1"/>
    <w:rsid w:val="000E1FE3"/>
    <w:rsid w:val="000E3A54"/>
    <w:rsid w:val="000E4133"/>
    <w:rsid w:val="000E4306"/>
    <w:rsid w:val="000E59BB"/>
    <w:rsid w:val="000F10D2"/>
    <w:rsid w:val="000F1620"/>
    <w:rsid w:val="000F18F7"/>
    <w:rsid w:val="000F1C1C"/>
    <w:rsid w:val="000F3A3E"/>
    <w:rsid w:val="000F626D"/>
    <w:rsid w:val="00100437"/>
    <w:rsid w:val="0010200E"/>
    <w:rsid w:val="001034DA"/>
    <w:rsid w:val="00103F0D"/>
    <w:rsid w:val="00104063"/>
    <w:rsid w:val="001048A9"/>
    <w:rsid w:val="00105704"/>
    <w:rsid w:val="001103F3"/>
    <w:rsid w:val="0011062F"/>
    <w:rsid w:val="00111443"/>
    <w:rsid w:val="00120E5A"/>
    <w:rsid w:val="00121242"/>
    <w:rsid w:val="00122181"/>
    <w:rsid w:val="00123570"/>
    <w:rsid w:val="00127896"/>
    <w:rsid w:val="00131046"/>
    <w:rsid w:val="00134549"/>
    <w:rsid w:val="00135382"/>
    <w:rsid w:val="0013749A"/>
    <w:rsid w:val="00137684"/>
    <w:rsid w:val="00140E0D"/>
    <w:rsid w:val="0014236D"/>
    <w:rsid w:val="00142C8B"/>
    <w:rsid w:val="00144603"/>
    <w:rsid w:val="00146AF8"/>
    <w:rsid w:val="00146BB3"/>
    <w:rsid w:val="001476D6"/>
    <w:rsid w:val="001522F9"/>
    <w:rsid w:val="001533C9"/>
    <w:rsid w:val="001536D1"/>
    <w:rsid w:val="0015370F"/>
    <w:rsid w:val="00154353"/>
    <w:rsid w:val="001554A0"/>
    <w:rsid w:val="001557D6"/>
    <w:rsid w:val="0015668B"/>
    <w:rsid w:val="00156B5A"/>
    <w:rsid w:val="001571B9"/>
    <w:rsid w:val="00157F9F"/>
    <w:rsid w:val="001606A2"/>
    <w:rsid w:val="00160E52"/>
    <w:rsid w:val="001671B1"/>
    <w:rsid w:val="001672E0"/>
    <w:rsid w:val="001711C3"/>
    <w:rsid w:val="001772F5"/>
    <w:rsid w:val="00182AEB"/>
    <w:rsid w:val="0018397C"/>
    <w:rsid w:val="001839E7"/>
    <w:rsid w:val="001847A8"/>
    <w:rsid w:val="001850B8"/>
    <w:rsid w:val="0019029F"/>
    <w:rsid w:val="0019038C"/>
    <w:rsid w:val="0019279C"/>
    <w:rsid w:val="00193320"/>
    <w:rsid w:val="001939B3"/>
    <w:rsid w:val="00195D74"/>
    <w:rsid w:val="00195D95"/>
    <w:rsid w:val="00197069"/>
    <w:rsid w:val="00197120"/>
    <w:rsid w:val="001A07A3"/>
    <w:rsid w:val="001A0F41"/>
    <w:rsid w:val="001A6A1A"/>
    <w:rsid w:val="001A71CC"/>
    <w:rsid w:val="001A7C30"/>
    <w:rsid w:val="001A7D93"/>
    <w:rsid w:val="001B1E47"/>
    <w:rsid w:val="001B3DF9"/>
    <w:rsid w:val="001B484C"/>
    <w:rsid w:val="001B4DB5"/>
    <w:rsid w:val="001B5091"/>
    <w:rsid w:val="001B50BE"/>
    <w:rsid w:val="001B609C"/>
    <w:rsid w:val="001B6C8F"/>
    <w:rsid w:val="001B701D"/>
    <w:rsid w:val="001C09CF"/>
    <w:rsid w:val="001C1567"/>
    <w:rsid w:val="001C1579"/>
    <w:rsid w:val="001C4629"/>
    <w:rsid w:val="001C7CE5"/>
    <w:rsid w:val="001D0F4F"/>
    <w:rsid w:val="001D12FC"/>
    <w:rsid w:val="001D2C7F"/>
    <w:rsid w:val="001D3AD5"/>
    <w:rsid w:val="001D51D8"/>
    <w:rsid w:val="001D6560"/>
    <w:rsid w:val="001D7197"/>
    <w:rsid w:val="001E1666"/>
    <w:rsid w:val="001E1E68"/>
    <w:rsid w:val="001E2D99"/>
    <w:rsid w:val="001E33DF"/>
    <w:rsid w:val="001E384E"/>
    <w:rsid w:val="001E689A"/>
    <w:rsid w:val="001F0FBD"/>
    <w:rsid w:val="001F1072"/>
    <w:rsid w:val="001F1979"/>
    <w:rsid w:val="001F1AE5"/>
    <w:rsid w:val="001F53BF"/>
    <w:rsid w:val="001F78B7"/>
    <w:rsid w:val="001F7C1F"/>
    <w:rsid w:val="00200254"/>
    <w:rsid w:val="00201AAF"/>
    <w:rsid w:val="002037E2"/>
    <w:rsid w:val="00203DD9"/>
    <w:rsid w:val="002043DC"/>
    <w:rsid w:val="002053D0"/>
    <w:rsid w:val="00205416"/>
    <w:rsid w:val="0020576D"/>
    <w:rsid w:val="0020679F"/>
    <w:rsid w:val="0021125F"/>
    <w:rsid w:val="002123CD"/>
    <w:rsid w:val="00213476"/>
    <w:rsid w:val="00213B59"/>
    <w:rsid w:val="00213E4B"/>
    <w:rsid w:val="00216899"/>
    <w:rsid w:val="002206C1"/>
    <w:rsid w:val="00222017"/>
    <w:rsid w:val="00222E2D"/>
    <w:rsid w:val="0022388E"/>
    <w:rsid w:val="00223E73"/>
    <w:rsid w:val="0022596C"/>
    <w:rsid w:val="00226524"/>
    <w:rsid w:val="00226862"/>
    <w:rsid w:val="00230613"/>
    <w:rsid w:val="00230901"/>
    <w:rsid w:val="00231409"/>
    <w:rsid w:val="00231999"/>
    <w:rsid w:val="002332C2"/>
    <w:rsid w:val="00233D9A"/>
    <w:rsid w:val="0023443C"/>
    <w:rsid w:val="00235A67"/>
    <w:rsid w:val="00236E64"/>
    <w:rsid w:val="0024014B"/>
    <w:rsid w:val="002419AA"/>
    <w:rsid w:val="00242903"/>
    <w:rsid w:val="00243807"/>
    <w:rsid w:val="002439BC"/>
    <w:rsid w:val="00244E31"/>
    <w:rsid w:val="002469FA"/>
    <w:rsid w:val="002504FA"/>
    <w:rsid w:val="002535E6"/>
    <w:rsid w:val="002537F2"/>
    <w:rsid w:val="0025799D"/>
    <w:rsid w:val="00261180"/>
    <w:rsid w:val="002618B4"/>
    <w:rsid w:val="00261BCD"/>
    <w:rsid w:val="00262323"/>
    <w:rsid w:val="002625F2"/>
    <w:rsid w:val="002625F7"/>
    <w:rsid w:val="00264C68"/>
    <w:rsid w:val="002656AD"/>
    <w:rsid w:val="0026644C"/>
    <w:rsid w:val="00266632"/>
    <w:rsid w:val="00266A10"/>
    <w:rsid w:val="002702A8"/>
    <w:rsid w:val="002706D8"/>
    <w:rsid w:val="002712B0"/>
    <w:rsid w:val="00276538"/>
    <w:rsid w:val="002776E5"/>
    <w:rsid w:val="00277DFB"/>
    <w:rsid w:val="00280691"/>
    <w:rsid w:val="00280817"/>
    <w:rsid w:val="00280ECC"/>
    <w:rsid w:val="00281E8D"/>
    <w:rsid w:val="0028281F"/>
    <w:rsid w:val="00284842"/>
    <w:rsid w:val="00284970"/>
    <w:rsid w:val="002849EA"/>
    <w:rsid w:val="002858AB"/>
    <w:rsid w:val="00285E2F"/>
    <w:rsid w:val="00285E9C"/>
    <w:rsid w:val="00290099"/>
    <w:rsid w:val="00290270"/>
    <w:rsid w:val="00294278"/>
    <w:rsid w:val="00295F0C"/>
    <w:rsid w:val="00296C65"/>
    <w:rsid w:val="002A0E64"/>
    <w:rsid w:val="002A1906"/>
    <w:rsid w:val="002A2693"/>
    <w:rsid w:val="002A2D83"/>
    <w:rsid w:val="002A3514"/>
    <w:rsid w:val="002A3F34"/>
    <w:rsid w:val="002A427B"/>
    <w:rsid w:val="002A59E7"/>
    <w:rsid w:val="002A78EB"/>
    <w:rsid w:val="002B006F"/>
    <w:rsid w:val="002B033E"/>
    <w:rsid w:val="002B04C9"/>
    <w:rsid w:val="002B0DBE"/>
    <w:rsid w:val="002B1B05"/>
    <w:rsid w:val="002B1C0F"/>
    <w:rsid w:val="002B4011"/>
    <w:rsid w:val="002B49FC"/>
    <w:rsid w:val="002B7AA5"/>
    <w:rsid w:val="002C0148"/>
    <w:rsid w:val="002C0962"/>
    <w:rsid w:val="002C09D6"/>
    <w:rsid w:val="002C0FCD"/>
    <w:rsid w:val="002C14D0"/>
    <w:rsid w:val="002C1638"/>
    <w:rsid w:val="002C246F"/>
    <w:rsid w:val="002C58A7"/>
    <w:rsid w:val="002C728B"/>
    <w:rsid w:val="002C7E78"/>
    <w:rsid w:val="002D0572"/>
    <w:rsid w:val="002D0AA9"/>
    <w:rsid w:val="002D526B"/>
    <w:rsid w:val="002E0094"/>
    <w:rsid w:val="002E05D8"/>
    <w:rsid w:val="002E3680"/>
    <w:rsid w:val="002E48A6"/>
    <w:rsid w:val="002E5063"/>
    <w:rsid w:val="002E58C7"/>
    <w:rsid w:val="002E5A7C"/>
    <w:rsid w:val="002E726A"/>
    <w:rsid w:val="002F077B"/>
    <w:rsid w:val="002F0C5F"/>
    <w:rsid w:val="002F0D0A"/>
    <w:rsid w:val="002F1480"/>
    <w:rsid w:val="002F1FDB"/>
    <w:rsid w:val="002F328F"/>
    <w:rsid w:val="002F6C33"/>
    <w:rsid w:val="00301139"/>
    <w:rsid w:val="0030244A"/>
    <w:rsid w:val="003033C8"/>
    <w:rsid w:val="003037E6"/>
    <w:rsid w:val="00303D93"/>
    <w:rsid w:val="00304E79"/>
    <w:rsid w:val="0030562D"/>
    <w:rsid w:val="00306ED3"/>
    <w:rsid w:val="00307AB5"/>
    <w:rsid w:val="00310F55"/>
    <w:rsid w:val="0031157D"/>
    <w:rsid w:val="003134FF"/>
    <w:rsid w:val="00314643"/>
    <w:rsid w:val="00315947"/>
    <w:rsid w:val="00315B75"/>
    <w:rsid w:val="00317B75"/>
    <w:rsid w:val="003205F5"/>
    <w:rsid w:val="003232C9"/>
    <w:rsid w:val="0032519D"/>
    <w:rsid w:val="0032736A"/>
    <w:rsid w:val="00330566"/>
    <w:rsid w:val="00330C30"/>
    <w:rsid w:val="00330EC3"/>
    <w:rsid w:val="003318A3"/>
    <w:rsid w:val="0033300D"/>
    <w:rsid w:val="00334DFB"/>
    <w:rsid w:val="003378E4"/>
    <w:rsid w:val="00337C0A"/>
    <w:rsid w:val="00340461"/>
    <w:rsid w:val="00341709"/>
    <w:rsid w:val="003419B1"/>
    <w:rsid w:val="00342812"/>
    <w:rsid w:val="0034285C"/>
    <w:rsid w:val="00342A6D"/>
    <w:rsid w:val="00342B67"/>
    <w:rsid w:val="00344126"/>
    <w:rsid w:val="003475AB"/>
    <w:rsid w:val="00350CBA"/>
    <w:rsid w:val="003528D5"/>
    <w:rsid w:val="00354D72"/>
    <w:rsid w:val="00355209"/>
    <w:rsid w:val="003561FD"/>
    <w:rsid w:val="00362046"/>
    <w:rsid w:val="003634B2"/>
    <w:rsid w:val="00365200"/>
    <w:rsid w:val="003652CA"/>
    <w:rsid w:val="00366699"/>
    <w:rsid w:val="00372D42"/>
    <w:rsid w:val="00372FA5"/>
    <w:rsid w:val="0037304C"/>
    <w:rsid w:val="00373AB6"/>
    <w:rsid w:val="00374978"/>
    <w:rsid w:val="00375429"/>
    <w:rsid w:val="00375A9F"/>
    <w:rsid w:val="00376940"/>
    <w:rsid w:val="00376B1A"/>
    <w:rsid w:val="00376B9C"/>
    <w:rsid w:val="00376DD0"/>
    <w:rsid w:val="00376FF2"/>
    <w:rsid w:val="00380833"/>
    <w:rsid w:val="00380A84"/>
    <w:rsid w:val="0038451B"/>
    <w:rsid w:val="003854B7"/>
    <w:rsid w:val="0038555E"/>
    <w:rsid w:val="00385D30"/>
    <w:rsid w:val="00390089"/>
    <w:rsid w:val="00390913"/>
    <w:rsid w:val="00391DDA"/>
    <w:rsid w:val="0039225F"/>
    <w:rsid w:val="003925C4"/>
    <w:rsid w:val="00393638"/>
    <w:rsid w:val="00394B6C"/>
    <w:rsid w:val="003958DD"/>
    <w:rsid w:val="003960D8"/>
    <w:rsid w:val="003966A3"/>
    <w:rsid w:val="00397EDF"/>
    <w:rsid w:val="003A24DE"/>
    <w:rsid w:val="003A30A5"/>
    <w:rsid w:val="003A62BE"/>
    <w:rsid w:val="003A7A46"/>
    <w:rsid w:val="003B0238"/>
    <w:rsid w:val="003B09B5"/>
    <w:rsid w:val="003B1ABE"/>
    <w:rsid w:val="003B28F2"/>
    <w:rsid w:val="003B2CA8"/>
    <w:rsid w:val="003B41C3"/>
    <w:rsid w:val="003B4E6D"/>
    <w:rsid w:val="003B6C77"/>
    <w:rsid w:val="003C0669"/>
    <w:rsid w:val="003C1784"/>
    <w:rsid w:val="003C3113"/>
    <w:rsid w:val="003C5EBE"/>
    <w:rsid w:val="003C60A1"/>
    <w:rsid w:val="003C6359"/>
    <w:rsid w:val="003C7257"/>
    <w:rsid w:val="003D03FB"/>
    <w:rsid w:val="003D0FEC"/>
    <w:rsid w:val="003D1CE3"/>
    <w:rsid w:val="003D1E71"/>
    <w:rsid w:val="003D1FEC"/>
    <w:rsid w:val="003D2DB6"/>
    <w:rsid w:val="003D30B0"/>
    <w:rsid w:val="003D3D21"/>
    <w:rsid w:val="003D420D"/>
    <w:rsid w:val="003D5CFF"/>
    <w:rsid w:val="003D6571"/>
    <w:rsid w:val="003D66F4"/>
    <w:rsid w:val="003D72CE"/>
    <w:rsid w:val="003D7A99"/>
    <w:rsid w:val="003E1835"/>
    <w:rsid w:val="003E287B"/>
    <w:rsid w:val="003E2F26"/>
    <w:rsid w:val="003E3E4B"/>
    <w:rsid w:val="003E5B39"/>
    <w:rsid w:val="003E6687"/>
    <w:rsid w:val="003E6CD7"/>
    <w:rsid w:val="003E7E3F"/>
    <w:rsid w:val="003F1C1D"/>
    <w:rsid w:val="003F4276"/>
    <w:rsid w:val="003F6175"/>
    <w:rsid w:val="003F6CB9"/>
    <w:rsid w:val="003F70ED"/>
    <w:rsid w:val="0040055C"/>
    <w:rsid w:val="0040074A"/>
    <w:rsid w:val="00401C41"/>
    <w:rsid w:val="00401D0A"/>
    <w:rsid w:val="0040270F"/>
    <w:rsid w:val="00402A0F"/>
    <w:rsid w:val="00403783"/>
    <w:rsid w:val="0040514E"/>
    <w:rsid w:val="004106FB"/>
    <w:rsid w:val="00410762"/>
    <w:rsid w:val="00411C46"/>
    <w:rsid w:val="00412B6D"/>
    <w:rsid w:val="00412F29"/>
    <w:rsid w:val="00421B31"/>
    <w:rsid w:val="00422801"/>
    <w:rsid w:val="00422EEC"/>
    <w:rsid w:val="004232FE"/>
    <w:rsid w:val="0042583B"/>
    <w:rsid w:val="004326CD"/>
    <w:rsid w:val="0043305A"/>
    <w:rsid w:val="00435ACA"/>
    <w:rsid w:val="004363A8"/>
    <w:rsid w:val="004401AB"/>
    <w:rsid w:val="00440781"/>
    <w:rsid w:val="00441479"/>
    <w:rsid w:val="0044165D"/>
    <w:rsid w:val="00442EDB"/>
    <w:rsid w:val="00445430"/>
    <w:rsid w:val="00446396"/>
    <w:rsid w:val="004463F1"/>
    <w:rsid w:val="00447434"/>
    <w:rsid w:val="00447783"/>
    <w:rsid w:val="004501CF"/>
    <w:rsid w:val="00451C7B"/>
    <w:rsid w:val="00453E49"/>
    <w:rsid w:val="00455245"/>
    <w:rsid w:val="00462AAF"/>
    <w:rsid w:val="0046413A"/>
    <w:rsid w:val="0046458C"/>
    <w:rsid w:val="00466AC1"/>
    <w:rsid w:val="004674B9"/>
    <w:rsid w:val="00470DA6"/>
    <w:rsid w:val="00471347"/>
    <w:rsid w:val="004724F9"/>
    <w:rsid w:val="004727F1"/>
    <w:rsid w:val="00472F44"/>
    <w:rsid w:val="00473599"/>
    <w:rsid w:val="0047374B"/>
    <w:rsid w:val="00477189"/>
    <w:rsid w:val="004807A2"/>
    <w:rsid w:val="004814A5"/>
    <w:rsid w:val="00481C34"/>
    <w:rsid w:val="004831AB"/>
    <w:rsid w:val="00483A47"/>
    <w:rsid w:val="00484CAE"/>
    <w:rsid w:val="00485FB0"/>
    <w:rsid w:val="00486448"/>
    <w:rsid w:val="004905A9"/>
    <w:rsid w:val="004918B2"/>
    <w:rsid w:val="0049203E"/>
    <w:rsid w:val="004955C2"/>
    <w:rsid w:val="00496ACB"/>
    <w:rsid w:val="004977B3"/>
    <w:rsid w:val="004A03FC"/>
    <w:rsid w:val="004A3924"/>
    <w:rsid w:val="004A597D"/>
    <w:rsid w:val="004A63DB"/>
    <w:rsid w:val="004A7BA8"/>
    <w:rsid w:val="004B1A1C"/>
    <w:rsid w:val="004B2B16"/>
    <w:rsid w:val="004B2E85"/>
    <w:rsid w:val="004B39A5"/>
    <w:rsid w:val="004B3D21"/>
    <w:rsid w:val="004B4663"/>
    <w:rsid w:val="004B61F5"/>
    <w:rsid w:val="004B6C66"/>
    <w:rsid w:val="004B735C"/>
    <w:rsid w:val="004B78F4"/>
    <w:rsid w:val="004B7AA0"/>
    <w:rsid w:val="004C0131"/>
    <w:rsid w:val="004C0141"/>
    <w:rsid w:val="004C1360"/>
    <w:rsid w:val="004C1C3B"/>
    <w:rsid w:val="004C48A4"/>
    <w:rsid w:val="004C5B1E"/>
    <w:rsid w:val="004C6058"/>
    <w:rsid w:val="004C76F9"/>
    <w:rsid w:val="004D09AA"/>
    <w:rsid w:val="004D138D"/>
    <w:rsid w:val="004D1480"/>
    <w:rsid w:val="004D166C"/>
    <w:rsid w:val="004D19B4"/>
    <w:rsid w:val="004D246C"/>
    <w:rsid w:val="004D37DE"/>
    <w:rsid w:val="004D5DC3"/>
    <w:rsid w:val="004D7C70"/>
    <w:rsid w:val="004E33A1"/>
    <w:rsid w:val="004E3DA7"/>
    <w:rsid w:val="004E4E8F"/>
    <w:rsid w:val="004E51E5"/>
    <w:rsid w:val="004E6F03"/>
    <w:rsid w:val="004F1ACD"/>
    <w:rsid w:val="004F27B4"/>
    <w:rsid w:val="004F2EA9"/>
    <w:rsid w:val="004F64E3"/>
    <w:rsid w:val="004F66A2"/>
    <w:rsid w:val="004F7F34"/>
    <w:rsid w:val="005021D1"/>
    <w:rsid w:val="00503082"/>
    <w:rsid w:val="0050342C"/>
    <w:rsid w:val="00503EC6"/>
    <w:rsid w:val="00504119"/>
    <w:rsid w:val="00507C1B"/>
    <w:rsid w:val="00507C8F"/>
    <w:rsid w:val="00510001"/>
    <w:rsid w:val="00513F10"/>
    <w:rsid w:val="00515233"/>
    <w:rsid w:val="00515393"/>
    <w:rsid w:val="0051672A"/>
    <w:rsid w:val="00516AD0"/>
    <w:rsid w:val="00517D50"/>
    <w:rsid w:val="00522C0D"/>
    <w:rsid w:val="0052322F"/>
    <w:rsid w:val="00523C04"/>
    <w:rsid w:val="005241F3"/>
    <w:rsid w:val="005251C4"/>
    <w:rsid w:val="00526AAB"/>
    <w:rsid w:val="00527A4A"/>
    <w:rsid w:val="00527D2D"/>
    <w:rsid w:val="005303BC"/>
    <w:rsid w:val="00531103"/>
    <w:rsid w:val="00533B0B"/>
    <w:rsid w:val="005352AE"/>
    <w:rsid w:val="005357D1"/>
    <w:rsid w:val="0053651D"/>
    <w:rsid w:val="00541D7D"/>
    <w:rsid w:val="005434B3"/>
    <w:rsid w:val="005439C3"/>
    <w:rsid w:val="00547ED7"/>
    <w:rsid w:val="00555507"/>
    <w:rsid w:val="00561742"/>
    <w:rsid w:val="0056244A"/>
    <w:rsid w:val="0056335F"/>
    <w:rsid w:val="005648C4"/>
    <w:rsid w:val="00571094"/>
    <w:rsid w:val="0057134F"/>
    <w:rsid w:val="00571F24"/>
    <w:rsid w:val="0057317A"/>
    <w:rsid w:val="0057392A"/>
    <w:rsid w:val="00573B89"/>
    <w:rsid w:val="00574EBE"/>
    <w:rsid w:val="00575B74"/>
    <w:rsid w:val="00580F86"/>
    <w:rsid w:val="00581280"/>
    <w:rsid w:val="005816EC"/>
    <w:rsid w:val="00581EEB"/>
    <w:rsid w:val="00583EFC"/>
    <w:rsid w:val="00591162"/>
    <w:rsid w:val="00591911"/>
    <w:rsid w:val="0059228F"/>
    <w:rsid w:val="00593EFD"/>
    <w:rsid w:val="00594649"/>
    <w:rsid w:val="00596713"/>
    <w:rsid w:val="005973CD"/>
    <w:rsid w:val="00597B7A"/>
    <w:rsid w:val="005A0109"/>
    <w:rsid w:val="005A06D9"/>
    <w:rsid w:val="005A1802"/>
    <w:rsid w:val="005A36CA"/>
    <w:rsid w:val="005A44B8"/>
    <w:rsid w:val="005A463E"/>
    <w:rsid w:val="005A4C15"/>
    <w:rsid w:val="005A6B75"/>
    <w:rsid w:val="005A6D3A"/>
    <w:rsid w:val="005A7BDE"/>
    <w:rsid w:val="005B0A36"/>
    <w:rsid w:val="005B1B70"/>
    <w:rsid w:val="005B42F6"/>
    <w:rsid w:val="005B5BFF"/>
    <w:rsid w:val="005B6218"/>
    <w:rsid w:val="005B6ADE"/>
    <w:rsid w:val="005B72C8"/>
    <w:rsid w:val="005B7DC8"/>
    <w:rsid w:val="005C1DF4"/>
    <w:rsid w:val="005C21B6"/>
    <w:rsid w:val="005C2A7A"/>
    <w:rsid w:val="005C4A5C"/>
    <w:rsid w:val="005C5090"/>
    <w:rsid w:val="005D0E79"/>
    <w:rsid w:val="005D3D7B"/>
    <w:rsid w:val="005D4C9D"/>
    <w:rsid w:val="005D51DD"/>
    <w:rsid w:val="005D57C5"/>
    <w:rsid w:val="005D6E94"/>
    <w:rsid w:val="005D721F"/>
    <w:rsid w:val="005E0BB1"/>
    <w:rsid w:val="005E0DA0"/>
    <w:rsid w:val="005E1285"/>
    <w:rsid w:val="005E16F6"/>
    <w:rsid w:val="005E2D2C"/>
    <w:rsid w:val="005E6ADF"/>
    <w:rsid w:val="005E77AC"/>
    <w:rsid w:val="005F010F"/>
    <w:rsid w:val="005F0323"/>
    <w:rsid w:val="005F14EA"/>
    <w:rsid w:val="005F185C"/>
    <w:rsid w:val="005F2763"/>
    <w:rsid w:val="005F282F"/>
    <w:rsid w:val="005F56D8"/>
    <w:rsid w:val="005F574F"/>
    <w:rsid w:val="00600CCA"/>
    <w:rsid w:val="006032F6"/>
    <w:rsid w:val="00603456"/>
    <w:rsid w:val="0060360A"/>
    <w:rsid w:val="0060514F"/>
    <w:rsid w:val="00606473"/>
    <w:rsid w:val="00607AE6"/>
    <w:rsid w:val="00610C22"/>
    <w:rsid w:val="00611617"/>
    <w:rsid w:val="00612DD5"/>
    <w:rsid w:val="006143F1"/>
    <w:rsid w:val="00615057"/>
    <w:rsid w:val="00615734"/>
    <w:rsid w:val="00616300"/>
    <w:rsid w:val="006166B8"/>
    <w:rsid w:val="00617863"/>
    <w:rsid w:val="00617F81"/>
    <w:rsid w:val="006213A4"/>
    <w:rsid w:val="00623E88"/>
    <w:rsid w:val="0062747E"/>
    <w:rsid w:val="00627CF4"/>
    <w:rsid w:val="00630C65"/>
    <w:rsid w:val="00631676"/>
    <w:rsid w:val="00632AA7"/>
    <w:rsid w:val="00632C5D"/>
    <w:rsid w:val="00633B4B"/>
    <w:rsid w:val="00633BAF"/>
    <w:rsid w:val="00634091"/>
    <w:rsid w:val="0064059A"/>
    <w:rsid w:val="006410E8"/>
    <w:rsid w:val="00641287"/>
    <w:rsid w:val="006459B0"/>
    <w:rsid w:val="0065020D"/>
    <w:rsid w:val="006520AE"/>
    <w:rsid w:val="00652460"/>
    <w:rsid w:val="0065257B"/>
    <w:rsid w:val="0065309D"/>
    <w:rsid w:val="0065509E"/>
    <w:rsid w:val="0065600E"/>
    <w:rsid w:val="006567E1"/>
    <w:rsid w:val="00657A68"/>
    <w:rsid w:val="00660795"/>
    <w:rsid w:val="006609DC"/>
    <w:rsid w:val="00662D09"/>
    <w:rsid w:val="00662F21"/>
    <w:rsid w:val="00664819"/>
    <w:rsid w:val="006648DA"/>
    <w:rsid w:val="006662F9"/>
    <w:rsid w:val="00667A2E"/>
    <w:rsid w:val="0067190F"/>
    <w:rsid w:val="006732A4"/>
    <w:rsid w:val="00674328"/>
    <w:rsid w:val="00675657"/>
    <w:rsid w:val="00676288"/>
    <w:rsid w:val="00677BFF"/>
    <w:rsid w:val="00680157"/>
    <w:rsid w:val="006802EA"/>
    <w:rsid w:val="00680A46"/>
    <w:rsid w:val="00682245"/>
    <w:rsid w:val="00682ADE"/>
    <w:rsid w:val="0068649C"/>
    <w:rsid w:val="006866F2"/>
    <w:rsid w:val="006878C5"/>
    <w:rsid w:val="006904AB"/>
    <w:rsid w:val="00690FFD"/>
    <w:rsid w:val="00691824"/>
    <w:rsid w:val="00691C29"/>
    <w:rsid w:val="00692225"/>
    <w:rsid w:val="00693568"/>
    <w:rsid w:val="00695787"/>
    <w:rsid w:val="00695EA0"/>
    <w:rsid w:val="00697AB6"/>
    <w:rsid w:val="006A14C6"/>
    <w:rsid w:val="006A1C46"/>
    <w:rsid w:val="006A23C0"/>
    <w:rsid w:val="006A2F40"/>
    <w:rsid w:val="006A351B"/>
    <w:rsid w:val="006A4BE9"/>
    <w:rsid w:val="006A6EEE"/>
    <w:rsid w:val="006A799D"/>
    <w:rsid w:val="006B2614"/>
    <w:rsid w:val="006B5870"/>
    <w:rsid w:val="006B5A85"/>
    <w:rsid w:val="006B61D0"/>
    <w:rsid w:val="006B66DC"/>
    <w:rsid w:val="006B72A0"/>
    <w:rsid w:val="006C0A31"/>
    <w:rsid w:val="006C14E4"/>
    <w:rsid w:val="006C1616"/>
    <w:rsid w:val="006C27E3"/>
    <w:rsid w:val="006C56C3"/>
    <w:rsid w:val="006C5B4A"/>
    <w:rsid w:val="006C6479"/>
    <w:rsid w:val="006C703E"/>
    <w:rsid w:val="006C77C9"/>
    <w:rsid w:val="006C7F18"/>
    <w:rsid w:val="006D2C55"/>
    <w:rsid w:val="006D367D"/>
    <w:rsid w:val="006D49C5"/>
    <w:rsid w:val="006D63E2"/>
    <w:rsid w:val="006D7278"/>
    <w:rsid w:val="006D7578"/>
    <w:rsid w:val="006E066D"/>
    <w:rsid w:val="006E0925"/>
    <w:rsid w:val="006E0D55"/>
    <w:rsid w:val="006E2FB5"/>
    <w:rsid w:val="006E3BB4"/>
    <w:rsid w:val="006E3CEB"/>
    <w:rsid w:val="006E5319"/>
    <w:rsid w:val="006E56AF"/>
    <w:rsid w:val="006E588B"/>
    <w:rsid w:val="006E5C01"/>
    <w:rsid w:val="006F05BB"/>
    <w:rsid w:val="006F12B4"/>
    <w:rsid w:val="006F2DBE"/>
    <w:rsid w:val="006F370D"/>
    <w:rsid w:val="006F56C4"/>
    <w:rsid w:val="006F6091"/>
    <w:rsid w:val="006F6EE3"/>
    <w:rsid w:val="006F72E0"/>
    <w:rsid w:val="006F7D25"/>
    <w:rsid w:val="007002AC"/>
    <w:rsid w:val="00700ABE"/>
    <w:rsid w:val="0070176D"/>
    <w:rsid w:val="007055A5"/>
    <w:rsid w:val="00705A0E"/>
    <w:rsid w:val="007076B8"/>
    <w:rsid w:val="007122AF"/>
    <w:rsid w:val="0071495B"/>
    <w:rsid w:val="00716D3C"/>
    <w:rsid w:val="0072045E"/>
    <w:rsid w:val="00721231"/>
    <w:rsid w:val="00726326"/>
    <w:rsid w:val="007270D1"/>
    <w:rsid w:val="00727CD1"/>
    <w:rsid w:val="0073064F"/>
    <w:rsid w:val="0073331A"/>
    <w:rsid w:val="00735215"/>
    <w:rsid w:val="0073620A"/>
    <w:rsid w:val="007362A0"/>
    <w:rsid w:val="00740F63"/>
    <w:rsid w:val="007412DA"/>
    <w:rsid w:val="00742E69"/>
    <w:rsid w:val="0074398A"/>
    <w:rsid w:val="00745B73"/>
    <w:rsid w:val="00746812"/>
    <w:rsid w:val="00746D5D"/>
    <w:rsid w:val="007507B9"/>
    <w:rsid w:val="00753D60"/>
    <w:rsid w:val="0075642E"/>
    <w:rsid w:val="00757562"/>
    <w:rsid w:val="007578AF"/>
    <w:rsid w:val="00760334"/>
    <w:rsid w:val="007611E1"/>
    <w:rsid w:val="007619CD"/>
    <w:rsid w:val="00761A0F"/>
    <w:rsid w:val="00762FD0"/>
    <w:rsid w:val="00763893"/>
    <w:rsid w:val="00764A86"/>
    <w:rsid w:val="00770B23"/>
    <w:rsid w:val="00771D2C"/>
    <w:rsid w:val="00772BB5"/>
    <w:rsid w:val="0077471A"/>
    <w:rsid w:val="00774831"/>
    <w:rsid w:val="00776575"/>
    <w:rsid w:val="00780125"/>
    <w:rsid w:val="00782612"/>
    <w:rsid w:val="00783223"/>
    <w:rsid w:val="007835B3"/>
    <w:rsid w:val="007838B3"/>
    <w:rsid w:val="00784EFE"/>
    <w:rsid w:val="00785CA8"/>
    <w:rsid w:val="007876E5"/>
    <w:rsid w:val="0079005D"/>
    <w:rsid w:val="00790162"/>
    <w:rsid w:val="0079041B"/>
    <w:rsid w:val="0079179C"/>
    <w:rsid w:val="00791C75"/>
    <w:rsid w:val="007936C0"/>
    <w:rsid w:val="00794680"/>
    <w:rsid w:val="00795627"/>
    <w:rsid w:val="00795C76"/>
    <w:rsid w:val="007A0CA2"/>
    <w:rsid w:val="007A2143"/>
    <w:rsid w:val="007A456D"/>
    <w:rsid w:val="007A4BCA"/>
    <w:rsid w:val="007A53B9"/>
    <w:rsid w:val="007B59E8"/>
    <w:rsid w:val="007B689B"/>
    <w:rsid w:val="007B69AC"/>
    <w:rsid w:val="007B6CFE"/>
    <w:rsid w:val="007B7C24"/>
    <w:rsid w:val="007C0924"/>
    <w:rsid w:val="007C1FE0"/>
    <w:rsid w:val="007C3770"/>
    <w:rsid w:val="007C5D3A"/>
    <w:rsid w:val="007C79CA"/>
    <w:rsid w:val="007D1377"/>
    <w:rsid w:val="007D1ADB"/>
    <w:rsid w:val="007D381D"/>
    <w:rsid w:val="007D4A27"/>
    <w:rsid w:val="007D4A41"/>
    <w:rsid w:val="007D5DD0"/>
    <w:rsid w:val="007D63B0"/>
    <w:rsid w:val="007D7D97"/>
    <w:rsid w:val="007D7FFD"/>
    <w:rsid w:val="007E14DD"/>
    <w:rsid w:val="007E5C51"/>
    <w:rsid w:val="007E68C1"/>
    <w:rsid w:val="007E70EA"/>
    <w:rsid w:val="007F241D"/>
    <w:rsid w:val="007F4284"/>
    <w:rsid w:val="007F7674"/>
    <w:rsid w:val="007F7F56"/>
    <w:rsid w:val="00800B6F"/>
    <w:rsid w:val="00800CC2"/>
    <w:rsid w:val="00804AA1"/>
    <w:rsid w:val="00806A4C"/>
    <w:rsid w:val="00806EF9"/>
    <w:rsid w:val="0081002C"/>
    <w:rsid w:val="00810227"/>
    <w:rsid w:val="008102BD"/>
    <w:rsid w:val="00810821"/>
    <w:rsid w:val="00811B8E"/>
    <w:rsid w:val="00811E46"/>
    <w:rsid w:val="00812ED2"/>
    <w:rsid w:val="008153B8"/>
    <w:rsid w:val="00817EF3"/>
    <w:rsid w:val="00820193"/>
    <w:rsid w:val="00820261"/>
    <w:rsid w:val="008235C4"/>
    <w:rsid w:val="00824571"/>
    <w:rsid w:val="0082761D"/>
    <w:rsid w:val="00830FFC"/>
    <w:rsid w:val="00832BDA"/>
    <w:rsid w:val="00835032"/>
    <w:rsid w:val="00835884"/>
    <w:rsid w:val="00836A79"/>
    <w:rsid w:val="00837496"/>
    <w:rsid w:val="008376BD"/>
    <w:rsid w:val="0084127C"/>
    <w:rsid w:val="00842D72"/>
    <w:rsid w:val="008437FD"/>
    <w:rsid w:val="00845AD8"/>
    <w:rsid w:val="00845BCD"/>
    <w:rsid w:val="00846629"/>
    <w:rsid w:val="00846D90"/>
    <w:rsid w:val="0084788E"/>
    <w:rsid w:val="008522B6"/>
    <w:rsid w:val="00852D1D"/>
    <w:rsid w:val="00853845"/>
    <w:rsid w:val="0085433E"/>
    <w:rsid w:val="00855132"/>
    <w:rsid w:val="008573C2"/>
    <w:rsid w:val="00857A05"/>
    <w:rsid w:val="00860A38"/>
    <w:rsid w:val="00864653"/>
    <w:rsid w:val="008648DB"/>
    <w:rsid w:val="00866B07"/>
    <w:rsid w:val="0086772C"/>
    <w:rsid w:val="00867D62"/>
    <w:rsid w:val="00873177"/>
    <w:rsid w:val="00873750"/>
    <w:rsid w:val="0087404C"/>
    <w:rsid w:val="008746A1"/>
    <w:rsid w:val="00876E63"/>
    <w:rsid w:val="0087749B"/>
    <w:rsid w:val="00880BCE"/>
    <w:rsid w:val="008819FC"/>
    <w:rsid w:val="00882722"/>
    <w:rsid w:val="00882AFC"/>
    <w:rsid w:val="0088423F"/>
    <w:rsid w:val="00884648"/>
    <w:rsid w:val="00884FAB"/>
    <w:rsid w:val="008856EB"/>
    <w:rsid w:val="00886A67"/>
    <w:rsid w:val="0089145D"/>
    <w:rsid w:val="008932D6"/>
    <w:rsid w:val="00893518"/>
    <w:rsid w:val="00893DAD"/>
    <w:rsid w:val="00894205"/>
    <w:rsid w:val="0089648E"/>
    <w:rsid w:val="00897702"/>
    <w:rsid w:val="00897EC2"/>
    <w:rsid w:val="008A1951"/>
    <w:rsid w:val="008A1CD8"/>
    <w:rsid w:val="008A268F"/>
    <w:rsid w:val="008A3A6D"/>
    <w:rsid w:val="008A58C5"/>
    <w:rsid w:val="008A6F03"/>
    <w:rsid w:val="008A78D1"/>
    <w:rsid w:val="008B08DB"/>
    <w:rsid w:val="008B0FDC"/>
    <w:rsid w:val="008B376F"/>
    <w:rsid w:val="008C012A"/>
    <w:rsid w:val="008C051F"/>
    <w:rsid w:val="008C0F75"/>
    <w:rsid w:val="008C2539"/>
    <w:rsid w:val="008C2A3B"/>
    <w:rsid w:val="008C439B"/>
    <w:rsid w:val="008C49F0"/>
    <w:rsid w:val="008C57BA"/>
    <w:rsid w:val="008C5AA3"/>
    <w:rsid w:val="008C6752"/>
    <w:rsid w:val="008D0A52"/>
    <w:rsid w:val="008D1E8D"/>
    <w:rsid w:val="008D25BD"/>
    <w:rsid w:val="008D2D6D"/>
    <w:rsid w:val="008D53A6"/>
    <w:rsid w:val="008D5841"/>
    <w:rsid w:val="008E00DC"/>
    <w:rsid w:val="008E0AE2"/>
    <w:rsid w:val="008E245A"/>
    <w:rsid w:val="008F0DC4"/>
    <w:rsid w:val="008F15F5"/>
    <w:rsid w:val="008F23FC"/>
    <w:rsid w:val="008F30C6"/>
    <w:rsid w:val="008F5272"/>
    <w:rsid w:val="008F6017"/>
    <w:rsid w:val="00904F39"/>
    <w:rsid w:val="00905113"/>
    <w:rsid w:val="009124B2"/>
    <w:rsid w:val="009129D7"/>
    <w:rsid w:val="00912C48"/>
    <w:rsid w:val="00915A3F"/>
    <w:rsid w:val="0091617A"/>
    <w:rsid w:val="00916F63"/>
    <w:rsid w:val="0091707E"/>
    <w:rsid w:val="00917937"/>
    <w:rsid w:val="009204C9"/>
    <w:rsid w:val="00921E4D"/>
    <w:rsid w:val="009224B6"/>
    <w:rsid w:val="00924077"/>
    <w:rsid w:val="0092468E"/>
    <w:rsid w:val="009249AF"/>
    <w:rsid w:val="00924B61"/>
    <w:rsid w:val="00926F12"/>
    <w:rsid w:val="009277D2"/>
    <w:rsid w:val="00932DE6"/>
    <w:rsid w:val="009341A1"/>
    <w:rsid w:val="009347EA"/>
    <w:rsid w:val="00935B06"/>
    <w:rsid w:val="009362FA"/>
    <w:rsid w:val="00936462"/>
    <w:rsid w:val="009368E7"/>
    <w:rsid w:val="00936BD2"/>
    <w:rsid w:val="00937720"/>
    <w:rsid w:val="0094027D"/>
    <w:rsid w:val="0094170F"/>
    <w:rsid w:val="00942596"/>
    <w:rsid w:val="009443C8"/>
    <w:rsid w:val="009449F4"/>
    <w:rsid w:val="00944BAD"/>
    <w:rsid w:val="009454D6"/>
    <w:rsid w:val="009455FB"/>
    <w:rsid w:val="00946B52"/>
    <w:rsid w:val="00947495"/>
    <w:rsid w:val="009479B6"/>
    <w:rsid w:val="00950533"/>
    <w:rsid w:val="009507F1"/>
    <w:rsid w:val="00950A31"/>
    <w:rsid w:val="00950DFC"/>
    <w:rsid w:val="00952EF5"/>
    <w:rsid w:val="00953D31"/>
    <w:rsid w:val="009549E4"/>
    <w:rsid w:val="00956A8D"/>
    <w:rsid w:val="00957F21"/>
    <w:rsid w:val="009642A0"/>
    <w:rsid w:val="00964904"/>
    <w:rsid w:val="00964A76"/>
    <w:rsid w:val="00967119"/>
    <w:rsid w:val="0097231F"/>
    <w:rsid w:val="00972368"/>
    <w:rsid w:val="0097285D"/>
    <w:rsid w:val="00976343"/>
    <w:rsid w:val="009769EB"/>
    <w:rsid w:val="00980209"/>
    <w:rsid w:val="0098228C"/>
    <w:rsid w:val="009843E9"/>
    <w:rsid w:val="00985E1C"/>
    <w:rsid w:val="0098632F"/>
    <w:rsid w:val="00986922"/>
    <w:rsid w:val="00990A6A"/>
    <w:rsid w:val="009911AB"/>
    <w:rsid w:val="00992D75"/>
    <w:rsid w:val="00994354"/>
    <w:rsid w:val="00994803"/>
    <w:rsid w:val="00994AF3"/>
    <w:rsid w:val="00995C4C"/>
    <w:rsid w:val="00995D4A"/>
    <w:rsid w:val="00996920"/>
    <w:rsid w:val="00996B09"/>
    <w:rsid w:val="00997AF9"/>
    <w:rsid w:val="009A058A"/>
    <w:rsid w:val="009A5543"/>
    <w:rsid w:val="009A56BE"/>
    <w:rsid w:val="009A769E"/>
    <w:rsid w:val="009B1CA4"/>
    <w:rsid w:val="009B66A5"/>
    <w:rsid w:val="009B71E7"/>
    <w:rsid w:val="009B7693"/>
    <w:rsid w:val="009C2F4C"/>
    <w:rsid w:val="009C3C0C"/>
    <w:rsid w:val="009C50F0"/>
    <w:rsid w:val="009C5D27"/>
    <w:rsid w:val="009C7174"/>
    <w:rsid w:val="009D0531"/>
    <w:rsid w:val="009D1732"/>
    <w:rsid w:val="009D292B"/>
    <w:rsid w:val="009D5737"/>
    <w:rsid w:val="009D5A04"/>
    <w:rsid w:val="009D7711"/>
    <w:rsid w:val="009E2827"/>
    <w:rsid w:val="009E30C1"/>
    <w:rsid w:val="009E31E0"/>
    <w:rsid w:val="009E3E23"/>
    <w:rsid w:val="009E54BA"/>
    <w:rsid w:val="009E6156"/>
    <w:rsid w:val="009E7A8B"/>
    <w:rsid w:val="009F0EFD"/>
    <w:rsid w:val="009F1642"/>
    <w:rsid w:val="009F2AB8"/>
    <w:rsid w:val="009F3C4D"/>
    <w:rsid w:val="009F4EB1"/>
    <w:rsid w:val="009F60DB"/>
    <w:rsid w:val="009F6DE9"/>
    <w:rsid w:val="009F71A3"/>
    <w:rsid w:val="009F75CE"/>
    <w:rsid w:val="009F76D8"/>
    <w:rsid w:val="00A00A82"/>
    <w:rsid w:val="00A03981"/>
    <w:rsid w:val="00A040C6"/>
    <w:rsid w:val="00A05027"/>
    <w:rsid w:val="00A05F58"/>
    <w:rsid w:val="00A06183"/>
    <w:rsid w:val="00A07226"/>
    <w:rsid w:val="00A10A1C"/>
    <w:rsid w:val="00A11FA9"/>
    <w:rsid w:val="00A141BC"/>
    <w:rsid w:val="00A157FC"/>
    <w:rsid w:val="00A17B4A"/>
    <w:rsid w:val="00A22907"/>
    <w:rsid w:val="00A232B3"/>
    <w:rsid w:val="00A23509"/>
    <w:rsid w:val="00A23AD0"/>
    <w:rsid w:val="00A24768"/>
    <w:rsid w:val="00A24B7B"/>
    <w:rsid w:val="00A27D3D"/>
    <w:rsid w:val="00A27FA1"/>
    <w:rsid w:val="00A32A9E"/>
    <w:rsid w:val="00A3694D"/>
    <w:rsid w:val="00A37E77"/>
    <w:rsid w:val="00A41FCC"/>
    <w:rsid w:val="00A42DA6"/>
    <w:rsid w:val="00A444F1"/>
    <w:rsid w:val="00A455B1"/>
    <w:rsid w:val="00A46059"/>
    <w:rsid w:val="00A46727"/>
    <w:rsid w:val="00A4686A"/>
    <w:rsid w:val="00A50326"/>
    <w:rsid w:val="00A529DA"/>
    <w:rsid w:val="00A53185"/>
    <w:rsid w:val="00A5623F"/>
    <w:rsid w:val="00A56C8E"/>
    <w:rsid w:val="00A56F2E"/>
    <w:rsid w:val="00A57698"/>
    <w:rsid w:val="00A65B39"/>
    <w:rsid w:val="00A6607B"/>
    <w:rsid w:val="00A70981"/>
    <w:rsid w:val="00A72B3C"/>
    <w:rsid w:val="00A76ADC"/>
    <w:rsid w:val="00A77A0A"/>
    <w:rsid w:val="00A80120"/>
    <w:rsid w:val="00A821A3"/>
    <w:rsid w:val="00A8236A"/>
    <w:rsid w:val="00A83BD9"/>
    <w:rsid w:val="00A86E4F"/>
    <w:rsid w:val="00A87DA0"/>
    <w:rsid w:val="00A924EF"/>
    <w:rsid w:val="00A92AF6"/>
    <w:rsid w:val="00A957D7"/>
    <w:rsid w:val="00A96E92"/>
    <w:rsid w:val="00A9714A"/>
    <w:rsid w:val="00A9721A"/>
    <w:rsid w:val="00AA0C5D"/>
    <w:rsid w:val="00AA133D"/>
    <w:rsid w:val="00AA29C1"/>
    <w:rsid w:val="00AA3A1B"/>
    <w:rsid w:val="00AA5CA5"/>
    <w:rsid w:val="00AA69CE"/>
    <w:rsid w:val="00AB09DC"/>
    <w:rsid w:val="00AB1690"/>
    <w:rsid w:val="00AB4154"/>
    <w:rsid w:val="00AB4966"/>
    <w:rsid w:val="00AB4AB4"/>
    <w:rsid w:val="00AB4DEE"/>
    <w:rsid w:val="00AB6EB8"/>
    <w:rsid w:val="00AB70D0"/>
    <w:rsid w:val="00AC3FC0"/>
    <w:rsid w:val="00AC5385"/>
    <w:rsid w:val="00AC5439"/>
    <w:rsid w:val="00AC5A9E"/>
    <w:rsid w:val="00AC5F55"/>
    <w:rsid w:val="00AC73DA"/>
    <w:rsid w:val="00AC78E6"/>
    <w:rsid w:val="00AD00A2"/>
    <w:rsid w:val="00AD03E9"/>
    <w:rsid w:val="00AD1049"/>
    <w:rsid w:val="00AD57DE"/>
    <w:rsid w:val="00AD5AF7"/>
    <w:rsid w:val="00AD7CDC"/>
    <w:rsid w:val="00AE29E9"/>
    <w:rsid w:val="00AE4002"/>
    <w:rsid w:val="00AE5F22"/>
    <w:rsid w:val="00AE6AD6"/>
    <w:rsid w:val="00AF0331"/>
    <w:rsid w:val="00AF3C44"/>
    <w:rsid w:val="00AF4A47"/>
    <w:rsid w:val="00AF50C3"/>
    <w:rsid w:val="00AF52EF"/>
    <w:rsid w:val="00AF6E84"/>
    <w:rsid w:val="00B0032D"/>
    <w:rsid w:val="00B034B6"/>
    <w:rsid w:val="00B06195"/>
    <w:rsid w:val="00B062F9"/>
    <w:rsid w:val="00B10F53"/>
    <w:rsid w:val="00B12063"/>
    <w:rsid w:val="00B1296B"/>
    <w:rsid w:val="00B15A66"/>
    <w:rsid w:val="00B16699"/>
    <w:rsid w:val="00B20611"/>
    <w:rsid w:val="00B211FC"/>
    <w:rsid w:val="00B22249"/>
    <w:rsid w:val="00B26784"/>
    <w:rsid w:val="00B270FE"/>
    <w:rsid w:val="00B31F72"/>
    <w:rsid w:val="00B32BB4"/>
    <w:rsid w:val="00B33190"/>
    <w:rsid w:val="00B33865"/>
    <w:rsid w:val="00B338A7"/>
    <w:rsid w:val="00B35049"/>
    <w:rsid w:val="00B3628F"/>
    <w:rsid w:val="00B36722"/>
    <w:rsid w:val="00B36A58"/>
    <w:rsid w:val="00B3755C"/>
    <w:rsid w:val="00B3757C"/>
    <w:rsid w:val="00B40688"/>
    <w:rsid w:val="00B419C9"/>
    <w:rsid w:val="00B42869"/>
    <w:rsid w:val="00B434F0"/>
    <w:rsid w:val="00B44060"/>
    <w:rsid w:val="00B44347"/>
    <w:rsid w:val="00B45115"/>
    <w:rsid w:val="00B4531B"/>
    <w:rsid w:val="00B468D5"/>
    <w:rsid w:val="00B4739B"/>
    <w:rsid w:val="00B51A4C"/>
    <w:rsid w:val="00B55E15"/>
    <w:rsid w:val="00B56440"/>
    <w:rsid w:val="00B568DE"/>
    <w:rsid w:val="00B5751D"/>
    <w:rsid w:val="00B5790B"/>
    <w:rsid w:val="00B6006E"/>
    <w:rsid w:val="00B60187"/>
    <w:rsid w:val="00B606FC"/>
    <w:rsid w:val="00B60F6D"/>
    <w:rsid w:val="00B6142E"/>
    <w:rsid w:val="00B61C3B"/>
    <w:rsid w:val="00B6285B"/>
    <w:rsid w:val="00B62FEA"/>
    <w:rsid w:val="00B65D46"/>
    <w:rsid w:val="00B7085A"/>
    <w:rsid w:val="00B73BB8"/>
    <w:rsid w:val="00B760B4"/>
    <w:rsid w:val="00B80A35"/>
    <w:rsid w:val="00B81941"/>
    <w:rsid w:val="00B83029"/>
    <w:rsid w:val="00B830E1"/>
    <w:rsid w:val="00B84553"/>
    <w:rsid w:val="00B85E03"/>
    <w:rsid w:val="00B86595"/>
    <w:rsid w:val="00B86A45"/>
    <w:rsid w:val="00B87B6D"/>
    <w:rsid w:val="00B87D64"/>
    <w:rsid w:val="00B91F35"/>
    <w:rsid w:val="00B933D7"/>
    <w:rsid w:val="00B946E2"/>
    <w:rsid w:val="00B947BC"/>
    <w:rsid w:val="00B94A1F"/>
    <w:rsid w:val="00B9581F"/>
    <w:rsid w:val="00B95D1A"/>
    <w:rsid w:val="00B9612F"/>
    <w:rsid w:val="00B96E69"/>
    <w:rsid w:val="00B97381"/>
    <w:rsid w:val="00B97DE0"/>
    <w:rsid w:val="00BA140E"/>
    <w:rsid w:val="00BA192F"/>
    <w:rsid w:val="00BA2750"/>
    <w:rsid w:val="00BA29FC"/>
    <w:rsid w:val="00BA42C7"/>
    <w:rsid w:val="00BA4724"/>
    <w:rsid w:val="00BA6347"/>
    <w:rsid w:val="00BA65BC"/>
    <w:rsid w:val="00BA79F7"/>
    <w:rsid w:val="00BA7C49"/>
    <w:rsid w:val="00BB027E"/>
    <w:rsid w:val="00BB077C"/>
    <w:rsid w:val="00BB0862"/>
    <w:rsid w:val="00BB0C6C"/>
    <w:rsid w:val="00BB182B"/>
    <w:rsid w:val="00BB2B59"/>
    <w:rsid w:val="00BB5387"/>
    <w:rsid w:val="00BC0593"/>
    <w:rsid w:val="00BC06A3"/>
    <w:rsid w:val="00BC166A"/>
    <w:rsid w:val="00BC27D2"/>
    <w:rsid w:val="00BC64E8"/>
    <w:rsid w:val="00BC6E35"/>
    <w:rsid w:val="00BD0FE1"/>
    <w:rsid w:val="00BD4651"/>
    <w:rsid w:val="00BD4A38"/>
    <w:rsid w:val="00BD4BDF"/>
    <w:rsid w:val="00BD5818"/>
    <w:rsid w:val="00BD5996"/>
    <w:rsid w:val="00BE0846"/>
    <w:rsid w:val="00BE130B"/>
    <w:rsid w:val="00BE146E"/>
    <w:rsid w:val="00BE1476"/>
    <w:rsid w:val="00BE179B"/>
    <w:rsid w:val="00BE673E"/>
    <w:rsid w:val="00BE6E83"/>
    <w:rsid w:val="00BE6F8E"/>
    <w:rsid w:val="00BE7057"/>
    <w:rsid w:val="00BE7520"/>
    <w:rsid w:val="00BF04C9"/>
    <w:rsid w:val="00BF2461"/>
    <w:rsid w:val="00BF34F4"/>
    <w:rsid w:val="00BF37B1"/>
    <w:rsid w:val="00BF7405"/>
    <w:rsid w:val="00BF7581"/>
    <w:rsid w:val="00BF7BA2"/>
    <w:rsid w:val="00C01652"/>
    <w:rsid w:val="00C05CD0"/>
    <w:rsid w:val="00C06294"/>
    <w:rsid w:val="00C06AF3"/>
    <w:rsid w:val="00C0710D"/>
    <w:rsid w:val="00C12780"/>
    <w:rsid w:val="00C131FC"/>
    <w:rsid w:val="00C1356D"/>
    <w:rsid w:val="00C13986"/>
    <w:rsid w:val="00C14FEB"/>
    <w:rsid w:val="00C154ED"/>
    <w:rsid w:val="00C20CCB"/>
    <w:rsid w:val="00C23595"/>
    <w:rsid w:val="00C25285"/>
    <w:rsid w:val="00C25AB4"/>
    <w:rsid w:val="00C2641B"/>
    <w:rsid w:val="00C2733C"/>
    <w:rsid w:val="00C278D2"/>
    <w:rsid w:val="00C31137"/>
    <w:rsid w:val="00C320AF"/>
    <w:rsid w:val="00C338C2"/>
    <w:rsid w:val="00C4063C"/>
    <w:rsid w:val="00C4381C"/>
    <w:rsid w:val="00C43871"/>
    <w:rsid w:val="00C438DE"/>
    <w:rsid w:val="00C43B2F"/>
    <w:rsid w:val="00C45522"/>
    <w:rsid w:val="00C4572D"/>
    <w:rsid w:val="00C45CF5"/>
    <w:rsid w:val="00C52BAC"/>
    <w:rsid w:val="00C53ACA"/>
    <w:rsid w:val="00C54FCA"/>
    <w:rsid w:val="00C61179"/>
    <w:rsid w:val="00C61591"/>
    <w:rsid w:val="00C61DB6"/>
    <w:rsid w:val="00C61FFB"/>
    <w:rsid w:val="00C62E41"/>
    <w:rsid w:val="00C666F9"/>
    <w:rsid w:val="00C730E9"/>
    <w:rsid w:val="00C772EA"/>
    <w:rsid w:val="00C8008A"/>
    <w:rsid w:val="00C824B2"/>
    <w:rsid w:val="00C82C48"/>
    <w:rsid w:val="00C82C88"/>
    <w:rsid w:val="00C839B5"/>
    <w:rsid w:val="00C8437C"/>
    <w:rsid w:val="00C849E8"/>
    <w:rsid w:val="00C84C40"/>
    <w:rsid w:val="00C872F3"/>
    <w:rsid w:val="00C906FD"/>
    <w:rsid w:val="00C9182E"/>
    <w:rsid w:val="00C91DBB"/>
    <w:rsid w:val="00C92FA3"/>
    <w:rsid w:val="00C93A0A"/>
    <w:rsid w:val="00C93EDA"/>
    <w:rsid w:val="00C93FA2"/>
    <w:rsid w:val="00C95491"/>
    <w:rsid w:val="00C96C0F"/>
    <w:rsid w:val="00C976AE"/>
    <w:rsid w:val="00CA0938"/>
    <w:rsid w:val="00CA5561"/>
    <w:rsid w:val="00CA64B9"/>
    <w:rsid w:val="00CA70A8"/>
    <w:rsid w:val="00CA75F3"/>
    <w:rsid w:val="00CB0FCA"/>
    <w:rsid w:val="00CB130E"/>
    <w:rsid w:val="00CB260B"/>
    <w:rsid w:val="00CB3090"/>
    <w:rsid w:val="00CB6CB4"/>
    <w:rsid w:val="00CC0855"/>
    <w:rsid w:val="00CC1211"/>
    <w:rsid w:val="00CC1FB8"/>
    <w:rsid w:val="00CC2F79"/>
    <w:rsid w:val="00CC33BC"/>
    <w:rsid w:val="00CC3541"/>
    <w:rsid w:val="00CC39A1"/>
    <w:rsid w:val="00CC4983"/>
    <w:rsid w:val="00CC7422"/>
    <w:rsid w:val="00CD07C5"/>
    <w:rsid w:val="00CD1E21"/>
    <w:rsid w:val="00CD20D1"/>
    <w:rsid w:val="00CD392A"/>
    <w:rsid w:val="00CD7E8A"/>
    <w:rsid w:val="00CE1377"/>
    <w:rsid w:val="00CE160E"/>
    <w:rsid w:val="00CE36F9"/>
    <w:rsid w:val="00CE386E"/>
    <w:rsid w:val="00CE3A53"/>
    <w:rsid w:val="00CE4F27"/>
    <w:rsid w:val="00CE4F8B"/>
    <w:rsid w:val="00CE7D22"/>
    <w:rsid w:val="00CF0D34"/>
    <w:rsid w:val="00CF1267"/>
    <w:rsid w:val="00CF3A67"/>
    <w:rsid w:val="00CF491C"/>
    <w:rsid w:val="00CF6B4C"/>
    <w:rsid w:val="00CF7934"/>
    <w:rsid w:val="00D03FFC"/>
    <w:rsid w:val="00D04063"/>
    <w:rsid w:val="00D04723"/>
    <w:rsid w:val="00D04A43"/>
    <w:rsid w:val="00D04AA2"/>
    <w:rsid w:val="00D05773"/>
    <w:rsid w:val="00D063E0"/>
    <w:rsid w:val="00D11221"/>
    <w:rsid w:val="00D12DC2"/>
    <w:rsid w:val="00D159AC"/>
    <w:rsid w:val="00D161F2"/>
    <w:rsid w:val="00D20483"/>
    <w:rsid w:val="00D220A2"/>
    <w:rsid w:val="00D22CA4"/>
    <w:rsid w:val="00D231BB"/>
    <w:rsid w:val="00D24CA7"/>
    <w:rsid w:val="00D25DE7"/>
    <w:rsid w:val="00D2753F"/>
    <w:rsid w:val="00D337C6"/>
    <w:rsid w:val="00D33B41"/>
    <w:rsid w:val="00D40593"/>
    <w:rsid w:val="00D431B1"/>
    <w:rsid w:val="00D43EEE"/>
    <w:rsid w:val="00D44FA2"/>
    <w:rsid w:val="00D46DCE"/>
    <w:rsid w:val="00D470FE"/>
    <w:rsid w:val="00D50687"/>
    <w:rsid w:val="00D5210D"/>
    <w:rsid w:val="00D52E6B"/>
    <w:rsid w:val="00D5623D"/>
    <w:rsid w:val="00D5748E"/>
    <w:rsid w:val="00D574C8"/>
    <w:rsid w:val="00D60B9C"/>
    <w:rsid w:val="00D61121"/>
    <w:rsid w:val="00D61537"/>
    <w:rsid w:val="00D61831"/>
    <w:rsid w:val="00D61EBF"/>
    <w:rsid w:val="00D62343"/>
    <w:rsid w:val="00D62A39"/>
    <w:rsid w:val="00D6534D"/>
    <w:rsid w:val="00D65EAD"/>
    <w:rsid w:val="00D66105"/>
    <w:rsid w:val="00D665B0"/>
    <w:rsid w:val="00D67217"/>
    <w:rsid w:val="00D710FF"/>
    <w:rsid w:val="00D713DF"/>
    <w:rsid w:val="00D72099"/>
    <w:rsid w:val="00D7377D"/>
    <w:rsid w:val="00D73C53"/>
    <w:rsid w:val="00D76DBA"/>
    <w:rsid w:val="00D8030D"/>
    <w:rsid w:val="00D8305F"/>
    <w:rsid w:val="00D8650A"/>
    <w:rsid w:val="00D865DE"/>
    <w:rsid w:val="00D87832"/>
    <w:rsid w:val="00D90725"/>
    <w:rsid w:val="00D9100A"/>
    <w:rsid w:val="00D917C7"/>
    <w:rsid w:val="00D96906"/>
    <w:rsid w:val="00D96AA0"/>
    <w:rsid w:val="00D972A0"/>
    <w:rsid w:val="00D97687"/>
    <w:rsid w:val="00DA59AB"/>
    <w:rsid w:val="00DA6C82"/>
    <w:rsid w:val="00DB01EA"/>
    <w:rsid w:val="00DB0BDA"/>
    <w:rsid w:val="00DB0FAB"/>
    <w:rsid w:val="00DB1248"/>
    <w:rsid w:val="00DB2450"/>
    <w:rsid w:val="00DB2CFF"/>
    <w:rsid w:val="00DB3826"/>
    <w:rsid w:val="00DB3949"/>
    <w:rsid w:val="00DB3B14"/>
    <w:rsid w:val="00DB50EF"/>
    <w:rsid w:val="00DB6533"/>
    <w:rsid w:val="00DB7108"/>
    <w:rsid w:val="00DB71BD"/>
    <w:rsid w:val="00DC3332"/>
    <w:rsid w:val="00DC66AF"/>
    <w:rsid w:val="00DD3335"/>
    <w:rsid w:val="00DD68A6"/>
    <w:rsid w:val="00DE0F00"/>
    <w:rsid w:val="00DE153A"/>
    <w:rsid w:val="00DE1E15"/>
    <w:rsid w:val="00DE2972"/>
    <w:rsid w:val="00DE3241"/>
    <w:rsid w:val="00DF0AF4"/>
    <w:rsid w:val="00DF0DCE"/>
    <w:rsid w:val="00DF171C"/>
    <w:rsid w:val="00DF31C7"/>
    <w:rsid w:val="00DF39B2"/>
    <w:rsid w:val="00DF57E8"/>
    <w:rsid w:val="00DF5E99"/>
    <w:rsid w:val="00DF6D51"/>
    <w:rsid w:val="00E01CA0"/>
    <w:rsid w:val="00E01D4D"/>
    <w:rsid w:val="00E0278C"/>
    <w:rsid w:val="00E02B99"/>
    <w:rsid w:val="00E02F78"/>
    <w:rsid w:val="00E02FE3"/>
    <w:rsid w:val="00E03CD2"/>
    <w:rsid w:val="00E0418B"/>
    <w:rsid w:val="00E0626E"/>
    <w:rsid w:val="00E07665"/>
    <w:rsid w:val="00E07E0C"/>
    <w:rsid w:val="00E10213"/>
    <w:rsid w:val="00E1207F"/>
    <w:rsid w:val="00E13012"/>
    <w:rsid w:val="00E14371"/>
    <w:rsid w:val="00E14678"/>
    <w:rsid w:val="00E152AE"/>
    <w:rsid w:val="00E1600A"/>
    <w:rsid w:val="00E16F7E"/>
    <w:rsid w:val="00E208E3"/>
    <w:rsid w:val="00E20E70"/>
    <w:rsid w:val="00E21E87"/>
    <w:rsid w:val="00E25AF1"/>
    <w:rsid w:val="00E269C8"/>
    <w:rsid w:val="00E3057C"/>
    <w:rsid w:val="00E30845"/>
    <w:rsid w:val="00E3094B"/>
    <w:rsid w:val="00E41650"/>
    <w:rsid w:val="00E43CD1"/>
    <w:rsid w:val="00E456E5"/>
    <w:rsid w:val="00E45BE3"/>
    <w:rsid w:val="00E46558"/>
    <w:rsid w:val="00E465D0"/>
    <w:rsid w:val="00E47C06"/>
    <w:rsid w:val="00E47C26"/>
    <w:rsid w:val="00E53682"/>
    <w:rsid w:val="00E539DC"/>
    <w:rsid w:val="00E55A69"/>
    <w:rsid w:val="00E57ABB"/>
    <w:rsid w:val="00E57B63"/>
    <w:rsid w:val="00E62621"/>
    <w:rsid w:val="00E62E08"/>
    <w:rsid w:val="00E62F7C"/>
    <w:rsid w:val="00E63ADD"/>
    <w:rsid w:val="00E657B5"/>
    <w:rsid w:val="00E66C8D"/>
    <w:rsid w:val="00E671C9"/>
    <w:rsid w:val="00E671F9"/>
    <w:rsid w:val="00E71C3B"/>
    <w:rsid w:val="00E723AA"/>
    <w:rsid w:val="00E72631"/>
    <w:rsid w:val="00E72D2A"/>
    <w:rsid w:val="00E73279"/>
    <w:rsid w:val="00E73AB8"/>
    <w:rsid w:val="00E74107"/>
    <w:rsid w:val="00E763E7"/>
    <w:rsid w:val="00E76C94"/>
    <w:rsid w:val="00E7755F"/>
    <w:rsid w:val="00E775C7"/>
    <w:rsid w:val="00E805A1"/>
    <w:rsid w:val="00E80D36"/>
    <w:rsid w:val="00E81C02"/>
    <w:rsid w:val="00E82693"/>
    <w:rsid w:val="00E83EA4"/>
    <w:rsid w:val="00E84DDD"/>
    <w:rsid w:val="00E86054"/>
    <w:rsid w:val="00E86C9B"/>
    <w:rsid w:val="00E91160"/>
    <w:rsid w:val="00E927C1"/>
    <w:rsid w:val="00E931C6"/>
    <w:rsid w:val="00E936D5"/>
    <w:rsid w:val="00E93F97"/>
    <w:rsid w:val="00E95D6A"/>
    <w:rsid w:val="00EA2D9B"/>
    <w:rsid w:val="00EA5EF8"/>
    <w:rsid w:val="00EA67AA"/>
    <w:rsid w:val="00EB1393"/>
    <w:rsid w:val="00EB2F29"/>
    <w:rsid w:val="00EB722F"/>
    <w:rsid w:val="00EC141E"/>
    <w:rsid w:val="00EC1719"/>
    <w:rsid w:val="00EC23D3"/>
    <w:rsid w:val="00EC261C"/>
    <w:rsid w:val="00EC2A72"/>
    <w:rsid w:val="00EC37B6"/>
    <w:rsid w:val="00EC514A"/>
    <w:rsid w:val="00EC570E"/>
    <w:rsid w:val="00EC5D1B"/>
    <w:rsid w:val="00ED1B71"/>
    <w:rsid w:val="00ED2756"/>
    <w:rsid w:val="00ED45E1"/>
    <w:rsid w:val="00ED64A6"/>
    <w:rsid w:val="00ED779D"/>
    <w:rsid w:val="00EE03C9"/>
    <w:rsid w:val="00EE0441"/>
    <w:rsid w:val="00EE1701"/>
    <w:rsid w:val="00EE29A9"/>
    <w:rsid w:val="00EE3433"/>
    <w:rsid w:val="00EE5678"/>
    <w:rsid w:val="00EE586B"/>
    <w:rsid w:val="00EE6916"/>
    <w:rsid w:val="00EE6E63"/>
    <w:rsid w:val="00EF02C0"/>
    <w:rsid w:val="00EF1BB3"/>
    <w:rsid w:val="00EF1F43"/>
    <w:rsid w:val="00EF4602"/>
    <w:rsid w:val="00EF4848"/>
    <w:rsid w:val="00EF52BE"/>
    <w:rsid w:val="00EF635F"/>
    <w:rsid w:val="00EF69CD"/>
    <w:rsid w:val="00F009BD"/>
    <w:rsid w:val="00F00C62"/>
    <w:rsid w:val="00F00CEB"/>
    <w:rsid w:val="00F01D71"/>
    <w:rsid w:val="00F0302A"/>
    <w:rsid w:val="00F03E41"/>
    <w:rsid w:val="00F05E28"/>
    <w:rsid w:val="00F06507"/>
    <w:rsid w:val="00F124F3"/>
    <w:rsid w:val="00F14EB9"/>
    <w:rsid w:val="00F16B9C"/>
    <w:rsid w:val="00F17F7B"/>
    <w:rsid w:val="00F20263"/>
    <w:rsid w:val="00F2175D"/>
    <w:rsid w:val="00F23C86"/>
    <w:rsid w:val="00F24C02"/>
    <w:rsid w:val="00F26C27"/>
    <w:rsid w:val="00F277DB"/>
    <w:rsid w:val="00F278D4"/>
    <w:rsid w:val="00F30470"/>
    <w:rsid w:val="00F3068B"/>
    <w:rsid w:val="00F30904"/>
    <w:rsid w:val="00F329F9"/>
    <w:rsid w:val="00F32C78"/>
    <w:rsid w:val="00F32E08"/>
    <w:rsid w:val="00F32F0F"/>
    <w:rsid w:val="00F35424"/>
    <w:rsid w:val="00F35B89"/>
    <w:rsid w:val="00F35C53"/>
    <w:rsid w:val="00F366F8"/>
    <w:rsid w:val="00F367A1"/>
    <w:rsid w:val="00F36B31"/>
    <w:rsid w:val="00F36F24"/>
    <w:rsid w:val="00F416DE"/>
    <w:rsid w:val="00F41C84"/>
    <w:rsid w:val="00F41EE9"/>
    <w:rsid w:val="00F433CF"/>
    <w:rsid w:val="00F4442E"/>
    <w:rsid w:val="00F44A23"/>
    <w:rsid w:val="00F45CE8"/>
    <w:rsid w:val="00F475C9"/>
    <w:rsid w:val="00F51FA0"/>
    <w:rsid w:val="00F533D8"/>
    <w:rsid w:val="00F5378C"/>
    <w:rsid w:val="00F544BF"/>
    <w:rsid w:val="00F54D6C"/>
    <w:rsid w:val="00F54E0B"/>
    <w:rsid w:val="00F5579F"/>
    <w:rsid w:val="00F55EC2"/>
    <w:rsid w:val="00F56DB0"/>
    <w:rsid w:val="00F570B7"/>
    <w:rsid w:val="00F57157"/>
    <w:rsid w:val="00F57DC9"/>
    <w:rsid w:val="00F61570"/>
    <w:rsid w:val="00F61C47"/>
    <w:rsid w:val="00F63B8D"/>
    <w:rsid w:val="00F6431C"/>
    <w:rsid w:val="00F64416"/>
    <w:rsid w:val="00F65AA9"/>
    <w:rsid w:val="00F67962"/>
    <w:rsid w:val="00F67AAF"/>
    <w:rsid w:val="00F71571"/>
    <w:rsid w:val="00F7179D"/>
    <w:rsid w:val="00F74D25"/>
    <w:rsid w:val="00F77A5B"/>
    <w:rsid w:val="00F85051"/>
    <w:rsid w:val="00F8582D"/>
    <w:rsid w:val="00F8646C"/>
    <w:rsid w:val="00F86A19"/>
    <w:rsid w:val="00F87974"/>
    <w:rsid w:val="00F900D3"/>
    <w:rsid w:val="00F91A29"/>
    <w:rsid w:val="00F92801"/>
    <w:rsid w:val="00F93C5C"/>
    <w:rsid w:val="00F94326"/>
    <w:rsid w:val="00F9487F"/>
    <w:rsid w:val="00F95672"/>
    <w:rsid w:val="00F95DEB"/>
    <w:rsid w:val="00F95EED"/>
    <w:rsid w:val="00F96456"/>
    <w:rsid w:val="00F96DCB"/>
    <w:rsid w:val="00F97EB6"/>
    <w:rsid w:val="00FA0016"/>
    <w:rsid w:val="00FA0992"/>
    <w:rsid w:val="00FA1F6F"/>
    <w:rsid w:val="00FA7164"/>
    <w:rsid w:val="00FA7B0E"/>
    <w:rsid w:val="00FB0AE4"/>
    <w:rsid w:val="00FB2A78"/>
    <w:rsid w:val="00FB3E0B"/>
    <w:rsid w:val="00FB5FB6"/>
    <w:rsid w:val="00FB6DF4"/>
    <w:rsid w:val="00FB784B"/>
    <w:rsid w:val="00FC14E2"/>
    <w:rsid w:val="00FC151D"/>
    <w:rsid w:val="00FC1F39"/>
    <w:rsid w:val="00FC324B"/>
    <w:rsid w:val="00FC53EA"/>
    <w:rsid w:val="00FC5974"/>
    <w:rsid w:val="00FD0615"/>
    <w:rsid w:val="00FD55C2"/>
    <w:rsid w:val="00FD562A"/>
    <w:rsid w:val="00FD6CD1"/>
    <w:rsid w:val="00FE132F"/>
    <w:rsid w:val="00FE1DE2"/>
    <w:rsid w:val="00FE1EEA"/>
    <w:rsid w:val="00FE2D80"/>
    <w:rsid w:val="00FE4994"/>
    <w:rsid w:val="00FE4A5E"/>
    <w:rsid w:val="00FF1BD8"/>
    <w:rsid w:val="00FF31EA"/>
    <w:rsid w:val="00FF37F9"/>
    <w:rsid w:val="00FF4B63"/>
    <w:rsid w:val="00FF595E"/>
    <w:rsid w:val="00FF7C1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87BB2"/>
  <w15:chartTrackingRefBased/>
  <w15:docId w15:val="{DE2D718C-5CC4-E844-9E1C-2155ACBFF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D30"/>
    <w:pPr>
      <w:jc w:val="both"/>
    </w:pPr>
    <w:rPr>
      <w:rFonts w:ascii="Garamond" w:hAnsi="Garamond"/>
      <w:color w:val="000000" w:themeColor="text1"/>
      <w:sz w:val="22"/>
    </w:rPr>
  </w:style>
  <w:style w:type="paragraph" w:styleId="Balk3">
    <w:name w:val="heading 3"/>
    <w:basedOn w:val="Normal"/>
    <w:next w:val="Normal"/>
    <w:link w:val="Balk3Char"/>
    <w:uiPriority w:val="9"/>
    <w:semiHidden/>
    <w:unhideWhenUsed/>
    <w:qFormat/>
    <w:rsid w:val="001C4629"/>
    <w:pPr>
      <w:keepNext/>
      <w:keepLines/>
      <w:spacing w:before="40"/>
      <w:outlineLvl w:val="2"/>
    </w:pPr>
    <w:rPr>
      <w:rFonts w:asciiTheme="majorHAnsi" w:eastAsiaTheme="majorEastAsia" w:hAnsiTheme="majorHAnsi" w:cstheme="majorBidi"/>
      <w:color w:val="1F3763" w:themeColor="accent1" w:themeShade="7F"/>
      <w:sz w:val="24"/>
    </w:rPr>
  </w:style>
  <w:style w:type="paragraph" w:styleId="Balk4">
    <w:name w:val="heading 4"/>
    <w:basedOn w:val="Normal"/>
    <w:next w:val="Normal"/>
    <w:link w:val="Balk4Char"/>
    <w:uiPriority w:val="9"/>
    <w:semiHidden/>
    <w:unhideWhenUsed/>
    <w:qFormat/>
    <w:rsid w:val="00820193"/>
    <w:pPr>
      <w:keepNext/>
      <w:keepLines/>
      <w:spacing w:before="40"/>
      <w:outlineLvl w:val="3"/>
    </w:pPr>
    <w:rPr>
      <w:rFonts w:asciiTheme="majorHAnsi" w:eastAsiaTheme="majorEastAsia" w:hAnsiTheme="majorHAnsi" w:cstheme="majorBidi"/>
      <w:i/>
      <w:iCs/>
      <w:color w:val="2F5496" w:themeColor="accent1" w:themeShade="BF"/>
    </w:rPr>
  </w:style>
  <w:style w:type="paragraph" w:styleId="Balk6">
    <w:name w:val="heading 6"/>
    <w:aliases w:val="Çalışmanın Başlığı"/>
    <w:basedOn w:val="Normal"/>
    <w:next w:val="Normal"/>
    <w:link w:val="Balk6Char"/>
    <w:qFormat/>
    <w:rsid w:val="00832BDA"/>
    <w:pPr>
      <w:spacing w:line="360" w:lineRule="auto"/>
      <w:jc w:val="center"/>
      <w:outlineLvl w:val="5"/>
    </w:pPr>
    <w:rPr>
      <w:rFonts w:eastAsia="Times New Roman" w:cs="Times New Roman"/>
      <w:b/>
      <w:bCs/>
      <w:szCs w:val="22"/>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uiPriority w:val="99"/>
    <w:unhideWhenUsed/>
    <w:rsid w:val="003A62BE"/>
    <w:rPr>
      <w:color w:val="0563C1" w:themeColor="hyperlink"/>
      <w:u w:val="single"/>
    </w:rPr>
  </w:style>
  <w:style w:type="character" w:customStyle="1" w:styleId="zmlenmeyenBahsetme1">
    <w:name w:val="Çözümlenmeyen Bahsetme1"/>
    <w:basedOn w:val="VarsaylanParagrafYazTipi"/>
    <w:uiPriority w:val="99"/>
    <w:semiHidden/>
    <w:unhideWhenUsed/>
    <w:rsid w:val="003A62BE"/>
    <w:rPr>
      <w:color w:val="605E5C"/>
      <w:shd w:val="clear" w:color="auto" w:fill="E1DFDD"/>
    </w:rPr>
  </w:style>
  <w:style w:type="character" w:customStyle="1" w:styleId="Balk6Char">
    <w:name w:val="Başlık 6 Char"/>
    <w:aliases w:val="Çalışmanın Başlığı Char"/>
    <w:basedOn w:val="VarsaylanParagrafYazTipi"/>
    <w:link w:val="Balk6"/>
    <w:rsid w:val="00832BDA"/>
    <w:rPr>
      <w:rFonts w:ascii="Garamond" w:eastAsia="Times New Roman" w:hAnsi="Garamond" w:cs="Times New Roman"/>
      <w:b/>
      <w:bCs/>
      <w:sz w:val="22"/>
      <w:szCs w:val="22"/>
      <w:lang w:eastAsia="tr-TR"/>
    </w:rPr>
  </w:style>
  <w:style w:type="character" w:styleId="zlenenKpr">
    <w:name w:val="FollowedHyperlink"/>
    <w:basedOn w:val="VarsaylanParagrafYazTipi"/>
    <w:uiPriority w:val="99"/>
    <w:semiHidden/>
    <w:unhideWhenUsed/>
    <w:rsid w:val="006A4BE9"/>
    <w:rPr>
      <w:color w:val="954F72" w:themeColor="followedHyperlink"/>
      <w:u w:val="single"/>
    </w:rPr>
  </w:style>
  <w:style w:type="paragraph" w:styleId="ListeParagraf">
    <w:name w:val="List Paragraph"/>
    <w:basedOn w:val="Normal"/>
    <w:uiPriority w:val="34"/>
    <w:rsid w:val="00E72D2A"/>
    <w:pPr>
      <w:ind w:left="720"/>
      <w:contextualSpacing/>
    </w:pPr>
  </w:style>
  <w:style w:type="paragraph" w:styleId="stBilgi">
    <w:name w:val="header"/>
    <w:basedOn w:val="Normal"/>
    <w:link w:val="stBilgiChar"/>
    <w:uiPriority w:val="99"/>
    <w:unhideWhenUsed/>
    <w:rsid w:val="002D526B"/>
    <w:pPr>
      <w:tabs>
        <w:tab w:val="center" w:pos="4680"/>
        <w:tab w:val="right" w:pos="9360"/>
      </w:tabs>
    </w:pPr>
  </w:style>
  <w:style w:type="character" w:customStyle="1" w:styleId="stBilgiChar">
    <w:name w:val="Üst Bilgi Char"/>
    <w:basedOn w:val="VarsaylanParagrafYazTipi"/>
    <w:link w:val="stBilgi"/>
    <w:uiPriority w:val="99"/>
    <w:rsid w:val="002D526B"/>
  </w:style>
  <w:style w:type="paragraph" w:styleId="AltBilgi">
    <w:name w:val="footer"/>
    <w:basedOn w:val="Normal"/>
    <w:link w:val="AltBilgiChar"/>
    <w:uiPriority w:val="99"/>
    <w:unhideWhenUsed/>
    <w:rsid w:val="002D526B"/>
    <w:pPr>
      <w:tabs>
        <w:tab w:val="center" w:pos="4680"/>
        <w:tab w:val="right" w:pos="9360"/>
      </w:tabs>
    </w:pPr>
  </w:style>
  <w:style w:type="character" w:customStyle="1" w:styleId="AltBilgiChar">
    <w:name w:val="Alt Bilgi Char"/>
    <w:basedOn w:val="VarsaylanParagrafYazTipi"/>
    <w:link w:val="AltBilgi"/>
    <w:uiPriority w:val="99"/>
    <w:rsid w:val="002D526B"/>
  </w:style>
  <w:style w:type="table" w:customStyle="1" w:styleId="TabloKlavuzu1">
    <w:name w:val="Tablo Kılavuzu1"/>
    <w:basedOn w:val="NormalTablo"/>
    <w:next w:val="TabloKlavuzu"/>
    <w:uiPriority w:val="39"/>
    <w:rsid w:val="00F63B8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
    <w:name w:val="Table Grid"/>
    <w:basedOn w:val="NormalTablo"/>
    <w:uiPriority w:val="59"/>
    <w:rsid w:val="00F63B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simYazs">
    <w:name w:val="caption"/>
    <w:basedOn w:val="Normal"/>
    <w:next w:val="Normal"/>
    <w:uiPriority w:val="35"/>
    <w:unhideWhenUsed/>
    <w:rsid w:val="001F1979"/>
    <w:pPr>
      <w:spacing w:after="200"/>
    </w:pPr>
    <w:rPr>
      <w:i/>
      <w:iCs/>
      <w:color w:val="44546A" w:themeColor="text2"/>
      <w:sz w:val="18"/>
      <w:szCs w:val="18"/>
    </w:rPr>
  </w:style>
  <w:style w:type="character" w:styleId="Vurgu">
    <w:name w:val="Emphasis"/>
    <w:basedOn w:val="VarsaylanParagrafYazTipi"/>
    <w:uiPriority w:val="20"/>
    <w:rsid w:val="00820193"/>
    <w:rPr>
      <w:i/>
      <w:iCs/>
    </w:rPr>
  </w:style>
  <w:style w:type="character" w:customStyle="1" w:styleId="Balk4Char">
    <w:name w:val="Başlık 4 Char"/>
    <w:basedOn w:val="VarsaylanParagrafYazTipi"/>
    <w:link w:val="Balk4"/>
    <w:uiPriority w:val="9"/>
    <w:semiHidden/>
    <w:rsid w:val="00820193"/>
    <w:rPr>
      <w:rFonts w:asciiTheme="majorHAnsi" w:eastAsiaTheme="majorEastAsia" w:hAnsiTheme="majorHAnsi" w:cstheme="majorBidi"/>
      <w:i/>
      <w:iCs/>
      <w:color w:val="2F5496" w:themeColor="accent1" w:themeShade="BF"/>
    </w:rPr>
  </w:style>
  <w:style w:type="paragraph" w:customStyle="1" w:styleId="zet">
    <w:name w:val="Özet"/>
    <w:basedOn w:val="Normal"/>
    <w:qFormat/>
    <w:rsid w:val="001B6C8F"/>
    <w:pPr>
      <w:ind w:left="-113" w:right="-113"/>
    </w:pPr>
    <w:rPr>
      <w:rFonts w:cs="Times New Roman"/>
      <w:sz w:val="20"/>
      <w:szCs w:val="20"/>
      <w:shd w:val="clear" w:color="auto" w:fill="FFFFFF"/>
    </w:rPr>
  </w:style>
  <w:style w:type="paragraph" w:customStyle="1" w:styleId="solstun">
    <w:name w:val="sol sütun"/>
    <w:basedOn w:val="Normal"/>
    <w:link w:val="solstunChar"/>
    <w:rsid w:val="00611617"/>
    <w:pPr>
      <w:autoSpaceDE w:val="0"/>
      <w:autoSpaceDN w:val="0"/>
      <w:adjustRightInd w:val="0"/>
      <w:spacing w:before="60" w:after="60"/>
      <w:jc w:val="left"/>
    </w:pPr>
    <w:rPr>
      <w:rFonts w:eastAsia="Calibri" w:cs="Times New Roman"/>
      <w:bCs/>
      <w:sz w:val="18"/>
      <w:szCs w:val="20"/>
    </w:rPr>
  </w:style>
  <w:style w:type="paragraph" w:customStyle="1" w:styleId="adsoyad">
    <w:name w:val="ad soyad"/>
    <w:basedOn w:val="Normal"/>
    <w:qFormat/>
    <w:rsid w:val="00BF04C9"/>
    <w:rPr>
      <w:b/>
      <w:bCs/>
      <w:sz w:val="20"/>
      <w:szCs w:val="21"/>
    </w:rPr>
  </w:style>
  <w:style w:type="paragraph" w:customStyle="1" w:styleId="birincidzeybalk">
    <w:name w:val="birinci düzey başlık"/>
    <w:basedOn w:val="Normal"/>
    <w:qFormat/>
    <w:rsid w:val="00CD392A"/>
    <w:pPr>
      <w:spacing w:before="120" w:after="120"/>
      <w:jc w:val="left"/>
    </w:pPr>
    <w:rPr>
      <w:rFonts w:cs="Times New Roman"/>
      <w:b/>
      <w:bCs/>
      <w:color w:val="auto"/>
    </w:rPr>
  </w:style>
  <w:style w:type="paragraph" w:customStyle="1" w:styleId="ikincidzeybalk">
    <w:name w:val="ikinci düzey başlık"/>
    <w:basedOn w:val="Normal"/>
    <w:link w:val="ikincidzeybalkChar"/>
    <w:qFormat/>
    <w:rsid w:val="009A058A"/>
    <w:pPr>
      <w:spacing w:before="240" w:after="60"/>
    </w:pPr>
    <w:rPr>
      <w:rFonts w:cs="Times New Roman"/>
      <w:b/>
      <w:bCs/>
      <w:color w:val="auto"/>
    </w:rPr>
  </w:style>
  <w:style w:type="paragraph" w:customStyle="1" w:styleId="ncdzeybalk">
    <w:name w:val="üçüncü düzey başlık"/>
    <w:basedOn w:val="Normal"/>
    <w:qFormat/>
    <w:rsid w:val="00800B6F"/>
    <w:pPr>
      <w:spacing w:before="120" w:after="120"/>
    </w:pPr>
    <w:rPr>
      <w:rFonts w:cs="Times New Roman"/>
      <w:b/>
      <w:bCs/>
      <w:color w:val="auto"/>
    </w:rPr>
  </w:style>
  <w:style w:type="paragraph" w:customStyle="1" w:styleId="drdncdzeybalk">
    <w:name w:val="dördüncü düzey başlık"/>
    <w:basedOn w:val="Normal"/>
    <w:qFormat/>
    <w:rsid w:val="00800B6F"/>
    <w:pPr>
      <w:spacing w:before="120" w:after="120"/>
    </w:pPr>
    <w:rPr>
      <w:rFonts w:cs="Times New Roman"/>
      <w:b/>
      <w:bCs/>
      <w:color w:val="auto"/>
    </w:rPr>
  </w:style>
  <w:style w:type="paragraph" w:customStyle="1" w:styleId="beincidzeybalk">
    <w:name w:val="beşinci düzey başlık"/>
    <w:basedOn w:val="Normal"/>
    <w:qFormat/>
    <w:rsid w:val="009A058A"/>
    <w:pPr>
      <w:spacing w:before="60" w:after="60"/>
      <w:ind w:firstLine="720"/>
    </w:pPr>
    <w:rPr>
      <w:rFonts w:ascii="Times New Roman" w:hAnsi="Times New Roman" w:cs="Times New Roman"/>
      <w:b/>
      <w:bCs/>
      <w:i/>
      <w:color w:val="auto"/>
    </w:rPr>
  </w:style>
  <w:style w:type="paragraph" w:customStyle="1" w:styleId="1cilbalk">
    <w:name w:val="1.cil başlık"/>
    <w:basedOn w:val="Normal"/>
    <w:link w:val="1cilbalkChar"/>
    <w:qFormat/>
    <w:rsid w:val="000A78F8"/>
    <w:pPr>
      <w:spacing w:before="120" w:line="276" w:lineRule="auto"/>
      <w:jc w:val="center"/>
    </w:pPr>
    <w:rPr>
      <w:rFonts w:cs="Times New Roman"/>
      <w:b/>
      <w:bCs/>
      <w:color w:val="auto"/>
    </w:rPr>
  </w:style>
  <w:style w:type="paragraph" w:customStyle="1" w:styleId="bulgulartartma">
    <w:name w:val="bulgular tartışma"/>
    <w:basedOn w:val="Normal"/>
    <w:qFormat/>
    <w:rsid w:val="009A058A"/>
    <w:pPr>
      <w:spacing w:before="240" w:after="60"/>
      <w:jc w:val="center"/>
    </w:pPr>
    <w:rPr>
      <w:rFonts w:cs="Times New Roman"/>
      <w:b/>
      <w:bCs/>
      <w:color w:val="auto"/>
    </w:rPr>
  </w:style>
  <w:style w:type="character" w:styleId="YerTutucuMetni">
    <w:name w:val="Placeholder Text"/>
    <w:basedOn w:val="VarsaylanParagrafYazTipi"/>
    <w:uiPriority w:val="99"/>
    <w:semiHidden/>
    <w:rsid w:val="000A16F1"/>
    <w:rPr>
      <w:color w:val="666666"/>
    </w:rPr>
  </w:style>
  <w:style w:type="character" w:customStyle="1" w:styleId="Stil1">
    <w:name w:val="Stil1"/>
    <w:basedOn w:val="VarsaylanParagrafYazTipi"/>
    <w:uiPriority w:val="1"/>
    <w:rsid w:val="00B33865"/>
    <w:rPr>
      <w:rFonts w:ascii="Times New Roman" w:hAnsi="Times New Roman"/>
      <w:b/>
      <w:color w:val="C00000"/>
      <w:sz w:val="20"/>
    </w:rPr>
  </w:style>
  <w:style w:type="character" w:customStyle="1" w:styleId="Stil2">
    <w:name w:val="Stil2"/>
    <w:basedOn w:val="VarsaylanParagrafYazTipi"/>
    <w:uiPriority w:val="1"/>
    <w:rsid w:val="009E54BA"/>
    <w:rPr>
      <w:rFonts w:ascii="Times New Roman" w:hAnsi="Times New Roman"/>
      <w:b/>
      <w:color w:val="C00000"/>
      <w:sz w:val="20"/>
    </w:rPr>
  </w:style>
  <w:style w:type="paragraph" w:styleId="DipnotMetni">
    <w:name w:val="footnote text"/>
    <w:basedOn w:val="Normal"/>
    <w:link w:val="DipnotMetniChar"/>
    <w:uiPriority w:val="99"/>
    <w:unhideWhenUsed/>
    <w:rsid w:val="00373AB6"/>
    <w:rPr>
      <w:sz w:val="20"/>
      <w:szCs w:val="20"/>
    </w:rPr>
  </w:style>
  <w:style w:type="character" w:customStyle="1" w:styleId="DipnotMetniChar">
    <w:name w:val="Dipnot Metni Char"/>
    <w:basedOn w:val="VarsaylanParagrafYazTipi"/>
    <w:link w:val="DipnotMetni"/>
    <w:uiPriority w:val="99"/>
    <w:rsid w:val="00C06AF3"/>
    <w:rPr>
      <w:rFonts w:ascii="Garamond" w:hAnsi="Garamond"/>
      <w:color w:val="000000" w:themeColor="text1"/>
      <w:sz w:val="20"/>
      <w:szCs w:val="20"/>
    </w:rPr>
  </w:style>
  <w:style w:type="character" w:styleId="DipnotBavurusu">
    <w:name w:val="footnote reference"/>
    <w:basedOn w:val="VarsaylanParagrafYazTipi"/>
    <w:uiPriority w:val="99"/>
    <w:semiHidden/>
    <w:unhideWhenUsed/>
    <w:rsid w:val="00C06AF3"/>
    <w:rPr>
      <w:vertAlign w:val="superscript"/>
    </w:rPr>
  </w:style>
  <w:style w:type="table" w:customStyle="1" w:styleId="TabloKlavuzu2">
    <w:name w:val="Tablo Kılavuzu2"/>
    <w:basedOn w:val="NormalTablo"/>
    <w:next w:val="TabloKlavuzu"/>
    <w:uiPriority w:val="59"/>
    <w:rsid w:val="00FA0016"/>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3">
    <w:name w:val="Tablo Kılavuzu3"/>
    <w:basedOn w:val="NormalTablo"/>
    <w:next w:val="TabloKlavuzu"/>
    <w:uiPriority w:val="59"/>
    <w:rsid w:val="004B1A1C"/>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072DE2"/>
    <w:rPr>
      <w:color w:val="605E5C"/>
      <w:shd w:val="clear" w:color="auto" w:fill="E1DFDD"/>
    </w:rPr>
  </w:style>
  <w:style w:type="character" w:customStyle="1" w:styleId="Balk3Char">
    <w:name w:val="Başlık 3 Char"/>
    <w:basedOn w:val="VarsaylanParagrafYazTipi"/>
    <w:link w:val="Balk3"/>
    <w:uiPriority w:val="9"/>
    <w:semiHidden/>
    <w:rsid w:val="001C4629"/>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904F39"/>
    <w:rPr>
      <w:rFonts w:ascii="Times New Roman" w:hAnsi="Times New Roman" w:cs="Times New Roman"/>
      <w:sz w:val="24"/>
    </w:rPr>
  </w:style>
  <w:style w:type="paragraph" w:customStyle="1" w:styleId="2cilbalk">
    <w:name w:val="2.cil başlık"/>
    <w:basedOn w:val="1cilbalk"/>
    <w:link w:val="2cilbalkChar"/>
    <w:qFormat/>
    <w:rsid w:val="000A78F8"/>
    <w:pPr>
      <w:spacing w:before="240"/>
    </w:pPr>
    <w:rPr>
      <w:lang w:eastAsia="tr-TR"/>
    </w:rPr>
  </w:style>
  <w:style w:type="character" w:customStyle="1" w:styleId="1cilbalkChar">
    <w:name w:val="1.cil başlık Char"/>
    <w:basedOn w:val="VarsaylanParagrafYazTipi"/>
    <w:link w:val="1cilbalk"/>
    <w:rsid w:val="000A78F8"/>
    <w:rPr>
      <w:rFonts w:ascii="Garamond" w:hAnsi="Garamond" w:cs="Times New Roman"/>
      <w:b/>
      <w:bCs/>
      <w:sz w:val="22"/>
    </w:rPr>
  </w:style>
  <w:style w:type="character" w:customStyle="1" w:styleId="2cilbalkChar">
    <w:name w:val="2.cil başlık Char"/>
    <w:basedOn w:val="1cilbalkChar"/>
    <w:link w:val="2cilbalk"/>
    <w:rsid w:val="000A78F8"/>
    <w:rPr>
      <w:rFonts w:ascii="Garamond" w:hAnsi="Garamond" w:cs="Times New Roman"/>
      <w:b/>
      <w:bCs/>
      <w:sz w:val="22"/>
      <w:lang w:eastAsia="tr-TR"/>
    </w:rPr>
  </w:style>
  <w:style w:type="paragraph" w:customStyle="1" w:styleId="Yazaraltbilgi">
    <w:name w:val="Yazar alt bilgi"/>
    <w:basedOn w:val="DipnotMetni"/>
    <w:link w:val="YazaraltbilgiChar"/>
    <w:qFormat/>
    <w:rsid w:val="006D49C5"/>
    <w:pPr>
      <w:spacing w:after="20"/>
    </w:pPr>
    <w:rPr>
      <w:sz w:val="18"/>
      <w:szCs w:val="18"/>
      <w:lang w:val="en-US"/>
    </w:rPr>
  </w:style>
  <w:style w:type="character" w:customStyle="1" w:styleId="YazaraltbilgiChar">
    <w:name w:val="Yazar alt bilgi Char"/>
    <w:basedOn w:val="DipnotMetniChar"/>
    <w:link w:val="Yazaraltbilgi"/>
    <w:rsid w:val="006D49C5"/>
    <w:rPr>
      <w:rFonts w:ascii="Garamond" w:hAnsi="Garamond"/>
      <w:color w:val="000000" w:themeColor="text1"/>
      <w:sz w:val="18"/>
      <w:szCs w:val="18"/>
      <w:lang w:val="en-US"/>
    </w:rPr>
  </w:style>
  <w:style w:type="paragraph" w:customStyle="1" w:styleId="Makalehakkndaekbilgi">
    <w:name w:val="Makale hakkında ek bilgi"/>
    <w:basedOn w:val="DipnotMetni"/>
    <w:link w:val="MakalehakkndaekbilgiChar"/>
    <w:qFormat/>
    <w:rsid w:val="006B61D0"/>
    <w:pPr>
      <w:spacing w:after="20"/>
      <w:ind w:left="142" w:hanging="142"/>
    </w:pPr>
    <w:rPr>
      <w:sz w:val="18"/>
      <w:szCs w:val="18"/>
      <w:lang w:val="en-US"/>
    </w:rPr>
  </w:style>
  <w:style w:type="character" w:customStyle="1" w:styleId="MakalehakkndaekbilgiChar">
    <w:name w:val="Makale hakkında ek bilgi Char"/>
    <w:basedOn w:val="DipnotMetniChar"/>
    <w:link w:val="Makalehakkndaekbilgi"/>
    <w:rsid w:val="006B61D0"/>
    <w:rPr>
      <w:rFonts w:ascii="Garamond" w:hAnsi="Garamond"/>
      <w:color w:val="000000" w:themeColor="text1"/>
      <w:sz w:val="18"/>
      <w:szCs w:val="18"/>
      <w:lang w:val="en-US"/>
    </w:rPr>
  </w:style>
  <w:style w:type="paragraph" w:customStyle="1" w:styleId="Gelitarihi">
    <w:name w:val="Geliş tarihi"/>
    <w:basedOn w:val="solstun"/>
    <w:link w:val="GelitarihiChar"/>
    <w:qFormat/>
    <w:rsid w:val="00812ED2"/>
    <w:pPr>
      <w:spacing w:before="0" w:after="120"/>
      <w:ind w:left="-108" w:right="36"/>
    </w:pPr>
  </w:style>
  <w:style w:type="character" w:customStyle="1" w:styleId="solstunChar">
    <w:name w:val="sol sütun Char"/>
    <w:basedOn w:val="VarsaylanParagrafYazTipi"/>
    <w:link w:val="solstun"/>
    <w:rsid w:val="00812ED2"/>
    <w:rPr>
      <w:rFonts w:ascii="Garamond" w:eastAsia="Calibri" w:hAnsi="Garamond" w:cs="Times New Roman"/>
      <w:bCs/>
      <w:color w:val="000000" w:themeColor="text1"/>
      <w:sz w:val="18"/>
      <w:szCs w:val="20"/>
    </w:rPr>
  </w:style>
  <w:style w:type="character" w:customStyle="1" w:styleId="GelitarihiChar">
    <w:name w:val="Geliş tarihi Char"/>
    <w:basedOn w:val="solstunChar"/>
    <w:link w:val="Gelitarihi"/>
    <w:rsid w:val="00812ED2"/>
    <w:rPr>
      <w:rFonts w:ascii="Garamond" w:eastAsia="Calibri" w:hAnsi="Garamond" w:cs="Times New Roman"/>
      <w:bCs/>
      <w:color w:val="000000" w:themeColor="text1"/>
      <w:sz w:val="18"/>
      <w:szCs w:val="20"/>
    </w:rPr>
  </w:style>
  <w:style w:type="paragraph" w:customStyle="1" w:styleId="Gvdemetin">
    <w:name w:val="Gövde metin"/>
    <w:basedOn w:val="Normal"/>
    <w:link w:val="GvdemetinChar"/>
    <w:qFormat/>
    <w:rsid w:val="00222017"/>
    <w:pPr>
      <w:spacing w:before="120" w:after="120"/>
    </w:pPr>
  </w:style>
  <w:style w:type="character" w:customStyle="1" w:styleId="GvdemetinChar">
    <w:name w:val="Gövde metin Char"/>
    <w:basedOn w:val="VarsaylanParagrafYazTipi"/>
    <w:link w:val="Gvdemetin"/>
    <w:rsid w:val="00222017"/>
    <w:rPr>
      <w:rFonts w:ascii="Garamond" w:hAnsi="Garamond"/>
      <w:color w:val="000000" w:themeColor="text1"/>
      <w:sz w:val="22"/>
    </w:rPr>
  </w:style>
  <w:style w:type="paragraph" w:customStyle="1" w:styleId="Maddelendirme">
    <w:name w:val="Maddelendirme"/>
    <w:basedOn w:val="ikincidzeybalk"/>
    <w:link w:val="MaddelendirmeChar"/>
    <w:qFormat/>
    <w:rsid w:val="003D0FEC"/>
    <w:pPr>
      <w:numPr>
        <w:numId w:val="6"/>
      </w:numPr>
      <w:spacing w:before="0"/>
      <w:ind w:left="284" w:hanging="284"/>
    </w:pPr>
    <w:rPr>
      <w:b w:val="0"/>
      <w:bCs w:val="0"/>
      <w:color w:val="000000" w:themeColor="text1"/>
    </w:rPr>
  </w:style>
  <w:style w:type="character" w:customStyle="1" w:styleId="ikincidzeybalkChar">
    <w:name w:val="ikinci düzey başlık Char"/>
    <w:basedOn w:val="VarsaylanParagrafYazTipi"/>
    <w:link w:val="ikincidzeybalk"/>
    <w:rsid w:val="003D0FEC"/>
    <w:rPr>
      <w:rFonts w:ascii="Garamond" w:hAnsi="Garamond" w:cs="Times New Roman"/>
      <w:b/>
      <w:bCs/>
      <w:sz w:val="22"/>
    </w:rPr>
  </w:style>
  <w:style w:type="character" w:customStyle="1" w:styleId="MaddelendirmeChar">
    <w:name w:val="Maddelendirme Char"/>
    <w:basedOn w:val="ikincidzeybalkChar"/>
    <w:link w:val="Maddelendirme"/>
    <w:rsid w:val="003D0FEC"/>
    <w:rPr>
      <w:rFonts w:ascii="Garamond" w:hAnsi="Garamond" w:cs="Times New Roman"/>
      <w:b w:val="0"/>
      <w:bCs w:val="0"/>
      <w:color w:val="000000" w:themeColor="text1"/>
      <w:sz w:val="22"/>
    </w:rPr>
  </w:style>
  <w:style w:type="paragraph" w:customStyle="1" w:styleId="Dipnot">
    <w:name w:val="Dipnot"/>
    <w:basedOn w:val="DipnotMetni"/>
    <w:link w:val="DipnotChar"/>
    <w:qFormat/>
    <w:rsid w:val="007002AC"/>
    <w:pPr>
      <w:spacing w:after="60"/>
      <w:ind w:left="113" w:hanging="113"/>
    </w:pPr>
    <w:rPr>
      <w:sz w:val="18"/>
      <w:szCs w:val="18"/>
    </w:rPr>
  </w:style>
  <w:style w:type="character" w:customStyle="1" w:styleId="DipnotChar">
    <w:name w:val="Dipnot Char"/>
    <w:basedOn w:val="DipnotMetniChar"/>
    <w:link w:val="Dipnot"/>
    <w:rsid w:val="007002AC"/>
    <w:rPr>
      <w:rFonts w:ascii="Garamond" w:hAnsi="Garamond"/>
      <w:color w:val="000000" w:themeColor="text1"/>
      <w:sz w:val="18"/>
      <w:szCs w:val="18"/>
    </w:rPr>
  </w:style>
  <w:style w:type="character" w:styleId="Gl">
    <w:name w:val="Strong"/>
    <w:basedOn w:val="VarsaylanParagrafYazTipi"/>
    <w:uiPriority w:val="22"/>
    <w:qFormat/>
    <w:rsid w:val="000651EB"/>
    <w:rPr>
      <w:b/>
      <w:bCs/>
    </w:rPr>
  </w:style>
  <w:style w:type="character" w:styleId="zmlenmeyenBahsetme">
    <w:name w:val="Unresolved Mention"/>
    <w:basedOn w:val="VarsaylanParagrafYazTipi"/>
    <w:uiPriority w:val="99"/>
    <w:semiHidden/>
    <w:unhideWhenUsed/>
    <w:rsid w:val="000651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4692">
      <w:bodyDiv w:val="1"/>
      <w:marLeft w:val="0"/>
      <w:marRight w:val="0"/>
      <w:marTop w:val="0"/>
      <w:marBottom w:val="0"/>
      <w:divBdr>
        <w:top w:val="none" w:sz="0" w:space="0" w:color="auto"/>
        <w:left w:val="none" w:sz="0" w:space="0" w:color="auto"/>
        <w:bottom w:val="none" w:sz="0" w:space="0" w:color="auto"/>
        <w:right w:val="none" w:sz="0" w:space="0" w:color="auto"/>
      </w:divBdr>
      <w:divsChild>
        <w:div w:id="719015004">
          <w:marLeft w:val="0"/>
          <w:marRight w:val="0"/>
          <w:marTop w:val="0"/>
          <w:marBottom w:val="0"/>
          <w:divBdr>
            <w:top w:val="none" w:sz="0" w:space="0" w:color="auto"/>
            <w:left w:val="none" w:sz="0" w:space="0" w:color="auto"/>
            <w:bottom w:val="none" w:sz="0" w:space="0" w:color="auto"/>
            <w:right w:val="none" w:sz="0" w:space="0" w:color="auto"/>
          </w:divBdr>
          <w:divsChild>
            <w:div w:id="1130905048">
              <w:marLeft w:val="0"/>
              <w:marRight w:val="0"/>
              <w:marTop w:val="0"/>
              <w:marBottom w:val="0"/>
              <w:divBdr>
                <w:top w:val="none" w:sz="0" w:space="0" w:color="auto"/>
                <w:left w:val="none" w:sz="0" w:space="0" w:color="auto"/>
                <w:bottom w:val="none" w:sz="0" w:space="0" w:color="auto"/>
                <w:right w:val="none" w:sz="0" w:space="0" w:color="auto"/>
              </w:divBdr>
              <w:divsChild>
                <w:div w:id="145320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149">
      <w:bodyDiv w:val="1"/>
      <w:marLeft w:val="0"/>
      <w:marRight w:val="0"/>
      <w:marTop w:val="0"/>
      <w:marBottom w:val="0"/>
      <w:divBdr>
        <w:top w:val="none" w:sz="0" w:space="0" w:color="auto"/>
        <w:left w:val="none" w:sz="0" w:space="0" w:color="auto"/>
        <w:bottom w:val="none" w:sz="0" w:space="0" w:color="auto"/>
        <w:right w:val="none" w:sz="0" w:space="0" w:color="auto"/>
      </w:divBdr>
    </w:div>
    <w:div w:id="70471780">
      <w:bodyDiv w:val="1"/>
      <w:marLeft w:val="0"/>
      <w:marRight w:val="0"/>
      <w:marTop w:val="0"/>
      <w:marBottom w:val="0"/>
      <w:divBdr>
        <w:top w:val="none" w:sz="0" w:space="0" w:color="auto"/>
        <w:left w:val="none" w:sz="0" w:space="0" w:color="auto"/>
        <w:bottom w:val="none" w:sz="0" w:space="0" w:color="auto"/>
        <w:right w:val="none" w:sz="0" w:space="0" w:color="auto"/>
      </w:divBdr>
    </w:div>
    <w:div w:id="90509743">
      <w:bodyDiv w:val="1"/>
      <w:marLeft w:val="0"/>
      <w:marRight w:val="0"/>
      <w:marTop w:val="0"/>
      <w:marBottom w:val="0"/>
      <w:divBdr>
        <w:top w:val="none" w:sz="0" w:space="0" w:color="auto"/>
        <w:left w:val="none" w:sz="0" w:space="0" w:color="auto"/>
        <w:bottom w:val="none" w:sz="0" w:space="0" w:color="auto"/>
        <w:right w:val="none" w:sz="0" w:space="0" w:color="auto"/>
      </w:divBdr>
    </w:div>
    <w:div w:id="141851540">
      <w:bodyDiv w:val="1"/>
      <w:marLeft w:val="0"/>
      <w:marRight w:val="0"/>
      <w:marTop w:val="0"/>
      <w:marBottom w:val="0"/>
      <w:divBdr>
        <w:top w:val="none" w:sz="0" w:space="0" w:color="auto"/>
        <w:left w:val="none" w:sz="0" w:space="0" w:color="auto"/>
        <w:bottom w:val="none" w:sz="0" w:space="0" w:color="auto"/>
        <w:right w:val="none" w:sz="0" w:space="0" w:color="auto"/>
      </w:divBdr>
    </w:div>
    <w:div w:id="168450209">
      <w:bodyDiv w:val="1"/>
      <w:marLeft w:val="0"/>
      <w:marRight w:val="0"/>
      <w:marTop w:val="0"/>
      <w:marBottom w:val="0"/>
      <w:divBdr>
        <w:top w:val="none" w:sz="0" w:space="0" w:color="auto"/>
        <w:left w:val="none" w:sz="0" w:space="0" w:color="auto"/>
        <w:bottom w:val="none" w:sz="0" w:space="0" w:color="auto"/>
        <w:right w:val="none" w:sz="0" w:space="0" w:color="auto"/>
      </w:divBdr>
    </w:div>
    <w:div w:id="180628233">
      <w:bodyDiv w:val="1"/>
      <w:marLeft w:val="0"/>
      <w:marRight w:val="0"/>
      <w:marTop w:val="0"/>
      <w:marBottom w:val="0"/>
      <w:divBdr>
        <w:top w:val="none" w:sz="0" w:space="0" w:color="auto"/>
        <w:left w:val="none" w:sz="0" w:space="0" w:color="auto"/>
        <w:bottom w:val="none" w:sz="0" w:space="0" w:color="auto"/>
        <w:right w:val="none" w:sz="0" w:space="0" w:color="auto"/>
      </w:divBdr>
    </w:div>
    <w:div w:id="215244920">
      <w:bodyDiv w:val="1"/>
      <w:marLeft w:val="0"/>
      <w:marRight w:val="0"/>
      <w:marTop w:val="0"/>
      <w:marBottom w:val="0"/>
      <w:divBdr>
        <w:top w:val="none" w:sz="0" w:space="0" w:color="auto"/>
        <w:left w:val="none" w:sz="0" w:space="0" w:color="auto"/>
        <w:bottom w:val="none" w:sz="0" w:space="0" w:color="auto"/>
        <w:right w:val="none" w:sz="0" w:space="0" w:color="auto"/>
      </w:divBdr>
    </w:div>
    <w:div w:id="241960558">
      <w:bodyDiv w:val="1"/>
      <w:marLeft w:val="0"/>
      <w:marRight w:val="0"/>
      <w:marTop w:val="0"/>
      <w:marBottom w:val="0"/>
      <w:divBdr>
        <w:top w:val="none" w:sz="0" w:space="0" w:color="auto"/>
        <w:left w:val="none" w:sz="0" w:space="0" w:color="auto"/>
        <w:bottom w:val="none" w:sz="0" w:space="0" w:color="auto"/>
        <w:right w:val="none" w:sz="0" w:space="0" w:color="auto"/>
      </w:divBdr>
    </w:div>
    <w:div w:id="249508898">
      <w:bodyDiv w:val="1"/>
      <w:marLeft w:val="0"/>
      <w:marRight w:val="0"/>
      <w:marTop w:val="0"/>
      <w:marBottom w:val="0"/>
      <w:divBdr>
        <w:top w:val="none" w:sz="0" w:space="0" w:color="auto"/>
        <w:left w:val="none" w:sz="0" w:space="0" w:color="auto"/>
        <w:bottom w:val="none" w:sz="0" w:space="0" w:color="auto"/>
        <w:right w:val="none" w:sz="0" w:space="0" w:color="auto"/>
      </w:divBdr>
    </w:div>
    <w:div w:id="270866617">
      <w:bodyDiv w:val="1"/>
      <w:marLeft w:val="0"/>
      <w:marRight w:val="0"/>
      <w:marTop w:val="0"/>
      <w:marBottom w:val="0"/>
      <w:divBdr>
        <w:top w:val="none" w:sz="0" w:space="0" w:color="auto"/>
        <w:left w:val="none" w:sz="0" w:space="0" w:color="auto"/>
        <w:bottom w:val="none" w:sz="0" w:space="0" w:color="auto"/>
        <w:right w:val="none" w:sz="0" w:space="0" w:color="auto"/>
      </w:divBdr>
    </w:div>
    <w:div w:id="279187827">
      <w:bodyDiv w:val="1"/>
      <w:marLeft w:val="0"/>
      <w:marRight w:val="0"/>
      <w:marTop w:val="0"/>
      <w:marBottom w:val="0"/>
      <w:divBdr>
        <w:top w:val="none" w:sz="0" w:space="0" w:color="auto"/>
        <w:left w:val="none" w:sz="0" w:space="0" w:color="auto"/>
        <w:bottom w:val="none" w:sz="0" w:space="0" w:color="auto"/>
        <w:right w:val="none" w:sz="0" w:space="0" w:color="auto"/>
      </w:divBdr>
    </w:div>
    <w:div w:id="301008489">
      <w:bodyDiv w:val="1"/>
      <w:marLeft w:val="0"/>
      <w:marRight w:val="0"/>
      <w:marTop w:val="0"/>
      <w:marBottom w:val="0"/>
      <w:divBdr>
        <w:top w:val="none" w:sz="0" w:space="0" w:color="auto"/>
        <w:left w:val="none" w:sz="0" w:space="0" w:color="auto"/>
        <w:bottom w:val="none" w:sz="0" w:space="0" w:color="auto"/>
        <w:right w:val="none" w:sz="0" w:space="0" w:color="auto"/>
      </w:divBdr>
    </w:div>
    <w:div w:id="308444525">
      <w:bodyDiv w:val="1"/>
      <w:marLeft w:val="0"/>
      <w:marRight w:val="0"/>
      <w:marTop w:val="0"/>
      <w:marBottom w:val="0"/>
      <w:divBdr>
        <w:top w:val="none" w:sz="0" w:space="0" w:color="auto"/>
        <w:left w:val="none" w:sz="0" w:space="0" w:color="auto"/>
        <w:bottom w:val="none" w:sz="0" w:space="0" w:color="auto"/>
        <w:right w:val="none" w:sz="0" w:space="0" w:color="auto"/>
      </w:divBdr>
    </w:div>
    <w:div w:id="317804761">
      <w:bodyDiv w:val="1"/>
      <w:marLeft w:val="0"/>
      <w:marRight w:val="0"/>
      <w:marTop w:val="0"/>
      <w:marBottom w:val="0"/>
      <w:divBdr>
        <w:top w:val="none" w:sz="0" w:space="0" w:color="auto"/>
        <w:left w:val="none" w:sz="0" w:space="0" w:color="auto"/>
        <w:bottom w:val="none" w:sz="0" w:space="0" w:color="auto"/>
        <w:right w:val="none" w:sz="0" w:space="0" w:color="auto"/>
      </w:divBdr>
    </w:div>
    <w:div w:id="321736351">
      <w:bodyDiv w:val="1"/>
      <w:marLeft w:val="0"/>
      <w:marRight w:val="0"/>
      <w:marTop w:val="0"/>
      <w:marBottom w:val="0"/>
      <w:divBdr>
        <w:top w:val="none" w:sz="0" w:space="0" w:color="auto"/>
        <w:left w:val="none" w:sz="0" w:space="0" w:color="auto"/>
        <w:bottom w:val="none" w:sz="0" w:space="0" w:color="auto"/>
        <w:right w:val="none" w:sz="0" w:space="0" w:color="auto"/>
      </w:divBdr>
    </w:div>
    <w:div w:id="373891143">
      <w:bodyDiv w:val="1"/>
      <w:marLeft w:val="0"/>
      <w:marRight w:val="0"/>
      <w:marTop w:val="0"/>
      <w:marBottom w:val="0"/>
      <w:divBdr>
        <w:top w:val="none" w:sz="0" w:space="0" w:color="auto"/>
        <w:left w:val="none" w:sz="0" w:space="0" w:color="auto"/>
        <w:bottom w:val="none" w:sz="0" w:space="0" w:color="auto"/>
        <w:right w:val="none" w:sz="0" w:space="0" w:color="auto"/>
      </w:divBdr>
      <w:divsChild>
        <w:div w:id="1813478516">
          <w:marLeft w:val="0"/>
          <w:marRight w:val="0"/>
          <w:marTop w:val="0"/>
          <w:marBottom w:val="0"/>
          <w:divBdr>
            <w:top w:val="none" w:sz="0" w:space="0" w:color="auto"/>
            <w:left w:val="none" w:sz="0" w:space="0" w:color="auto"/>
            <w:bottom w:val="none" w:sz="0" w:space="0" w:color="auto"/>
            <w:right w:val="none" w:sz="0" w:space="0" w:color="auto"/>
          </w:divBdr>
          <w:divsChild>
            <w:div w:id="1920485634">
              <w:marLeft w:val="0"/>
              <w:marRight w:val="0"/>
              <w:marTop w:val="0"/>
              <w:marBottom w:val="0"/>
              <w:divBdr>
                <w:top w:val="none" w:sz="0" w:space="0" w:color="auto"/>
                <w:left w:val="none" w:sz="0" w:space="0" w:color="auto"/>
                <w:bottom w:val="none" w:sz="0" w:space="0" w:color="auto"/>
                <w:right w:val="none" w:sz="0" w:space="0" w:color="auto"/>
              </w:divBdr>
              <w:divsChild>
                <w:div w:id="12641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392930">
      <w:bodyDiv w:val="1"/>
      <w:marLeft w:val="0"/>
      <w:marRight w:val="0"/>
      <w:marTop w:val="0"/>
      <w:marBottom w:val="0"/>
      <w:divBdr>
        <w:top w:val="none" w:sz="0" w:space="0" w:color="auto"/>
        <w:left w:val="none" w:sz="0" w:space="0" w:color="auto"/>
        <w:bottom w:val="none" w:sz="0" w:space="0" w:color="auto"/>
        <w:right w:val="none" w:sz="0" w:space="0" w:color="auto"/>
      </w:divBdr>
      <w:divsChild>
        <w:div w:id="2002392326">
          <w:marLeft w:val="0"/>
          <w:marRight w:val="0"/>
          <w:marTop w:val="0"/>
          <w:marBottom w:val="0"/>
          <w:divBdr>
            <w:top w:val="none" w:sz="0" w:space="0" w:color="auto"/>
            <w:left w:val="none" w:sz="0" w:space="0" w:color="auto"/>
            <w:bottom w:val="none" w:sz="0" w:space="0" w:color="auto"/>
            <w:right w:val="none" w:sz="0" w:space="0" w:color="auto"/>
          </w:divBdr>
          <w:divsChild>
            <w:div w:id="270211747">
              <w:marLeft w:val="0"/>
              <w:marRight w:val="0"/>
              <w:marTop w:val="0"/>
              <w:marBottom w:val="0"/>
              <w:divBdr>
                <w:top w:val="none" w:sz="0" w:space="0" w:color="auto"/>
                <w:left w:val="none" w:sz="0" w:space="0" w:color="auto"/>
                <w:bottom w:val="none" w:sz="0" w:space="0" w:color="auto"/>
                <w:right w:val="none" w:sz="0" w:space="0" w:color="auto"/>
              </w:divBdr>
              <w:divsChild>
                <w:div w:id="186412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345960">
      <w:bodyDiv w:val="1"/>
      <w:marLeft w:val="0"/>
      <w:marRight w:val="0"/>
      <w:marTop w:val="0"/>
      <w:marBottom w:val="0"/>
      <w:divBdr>
        <w:top w:val="none" w:sz="0" w:space="0" w:color="auto"/>
        <w:left w:val="none" w:sz="0" w:space="0" w:color="auto"/>
        <w:bottom w:val="none" w:sz="0" w:space="0" w:color="auto"/>
        <w:right w:val="none" w:sz="0" w:space="0" w:color="auto"/>
      </w:divBdr>
    </w:div>
    <w:div w:id="551426008">
      <w:bodyDiv w:val="1"/>
      <w:marLeft w:val="0"/>
      <w:marRight w:val="0"/>
      <w:marTop w:val="0"/>
      <w:marBottom w:val="0"/>
      <w:divBdr>
        <w:top w:val="none" w:sz="0" w:space="0" w:color="auto"/>
        <w:left w:val="none" w:sz="0" w:space="0" w:color="auto"/>
        <w:bottom w:val="none" w:sz="0" w:space="0" w:color="auto"/>
        <w:right w:val="none" w:sz="0" w:space="0" w:color="auto"/>
      </w:divBdr>
      <w:divsChild>
        <w:div w:id="1637640517">
          <w:marLeft w:val="0"/>
          <w:marRight w:val="0"/>
          <w:marTop w:val="0"/>
          <w:marBottom w:val="0"/>
          <w:divBdr>
            <w:top w:val="none" w:sz="0" w:space="0" w:color="auto"/>
            <w:left w:val="none" w:sz="0" w:space="0" w:color="auto"/>
            <w:bottom w:val="none" w:sz="0" w:space="0" w:color="auto"/>
            <w:right w:val="none" w:sz="0" w:space="0" w:color="auto"/>
          </w:divBdr>
          <w:divsChild>
            <w:div w:id="30611423">
              <w:marLeft w:val="0"/>
              <w:marRight w:val="0"/>
              <w:marTop w:val="0"/>
              <w:marBottom w:val="0"/>
              <w:divBdr>
                <w:top w:val="none" w:sz="0" w:space="0" w:color="auto"/>
                <w:left w:val="none" w:sz="0" w:space="0" w:color="auto"/>
                <w:bottom w:val="none" w:sz="0" w:space="0" w:color="auto"/>
                <w:right w:val="none" w:sz="0" w:space="0" w:color="auto"/>
              </w:divBdr>
              <w:divsChild>
                <w:div w:id="84832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465610">
      <w:bodyDiv w:val="1"/>
      <w:marLeft w:val="0"/>
      <w:marRight w:val="0"/>
      <w:marTop w:val="0"/>
      <w:marBottom w:val="0"/>
      <w:divBdr>
        <w:top w:val="none" w:sz="0" w:space="0" w:color="auto"/>
        <w:left w:val="none" w:sz="0" w:space="0" w:color="auto"/>
        <w:bottom w:val="none" w:sz="0" w:space="0" w:color="auto"/>
        <w:right w:val="none" w:sz="0" w:space="0" w:color="auto"/>
      </w:divBdr>
    </w:div>
    <w:div w:id="593704779">
      <w:bodyDiv w:val="1"/>
      <w:marLeft w:val="0"/>
      <w:marRight w:val="0"/>
      <w:marTop w:val="0"/>
      <w:marBottom w:val="0"/>
      <w:divBdr>
        <w:top w:val="none" w:sz="0" w:space="0" w:color="auto"/>
        <w:left w:val="none" w:sz="0" w:space="0" w:color="auto"/>
        <w:bottom w:val="none" w:sz="0" w:space="0" w:color="auto"/>
        <w:right w:val="none" w:sz="0" w:space="0" w:color="auto"/>
      </w:divBdr>
    </w:div>
    <w:div w:id="603613442">
      <w:bodyDiv w:val="1"/>
      <w:marLeft w:val="0"/>
      <w:marRight w:val="0"/>
      <w:marTop w:val="0"/>
      <w:marBottom w:val="0"/>
      <w:divBdr>
        <w:top w:val="none" w:sz="0" w:space="0" w:color="auto"/>
        <w:left w:val="none" w:sz="0" w:space="0" w:color="auto"/>
        <w:bottom w:val="none" w:sz="0" w:space="0" w:color="auto"/>
        <w:right w:val="none" w:sz="0" w:space="0" w:color="auto"/>
      </w:divBdr>
      <w:divsChild>
        <w:div w:id="265357453">
          <w:marLeft w:val="0"/>
          <w:marRight w:val="0"/>
          <w:marTop w:val="0"/>
          <w:marBottom w:val="0"/>
          <w:divBdr>
            <w:top w:val="none" w:sz="0" w:space="0" w:color="auto"/>
            <w:left w:val="none" w:sz="0" w:space="0" w:color="auto"/>
            <w:bottom w:val="none" w:sz="0" w:space="0" w:color="auto"/>
            <w:right w:val="none" w:sz="0" w:space="0" w:color="auto"/>
          </w:divBdr>
          <w:divsChild>
            <w:div w:id="1369331578">
              <w:marLeft w:val="0"/>
              <w:marRight w:val="0"/>
              <w:marTop w:val="0"/>
              <w:marBottom w:val="0"/>
              <w:divBdr>
                <w:top w:val="none" w:sz="0" w:space="0" w:color="auto"/>
                <w:left w:val="none" w:sz="0" w:space="0" w:color="auto"/>
                <w:bottom w:val="none" w:sz="0" w:space="0" w:color="auto"/>
                <w:right w:val="none" w:sz="0" w:space="0" w:color="auto"/>
              </w:divBdr>
              <w:divsChild>
                <w:div w:id="8097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731350">
      <w:bodyDiv w:val="1"/>
      <w:marLeft w:val="0"/>
      <w:marRight w:val="0"/>
      <w:marTop w:val="0"/>
      <w:marBottom w:val="0"/>
      <w:divBdr>
        <w:top w:val="none" w:sz="0" w:space="0" w:color="auto"/>
        <w:left w:val="none" w:sz="0" w:space="0" w:color="auto"/>
        <w:bottom w:val="none" w:sz="0" w:space="0" w:color="auto"/>
        <w:right w:val="none" w:sz="0" w:space="0" w:color="auto"/>
      </w:divBdr>
    </w:div>
    <w:div w:id="661810149">
      <w:bodyDiv w:val="1"/>
      <w:marLeft w:val="0"/>
      <w:marRight w:val="0"/>
      <w:marTop w:val="0"/>
      <w:marBottom w:val="0"/>
      <w:divBdr>
        <w:top w:val="none" w:sz="0" w:space="0" w:color="auto"/>
        <w:left w:val="none" w:sz="0" w:space="0" w:color="auto"/>
        <w:bottom w:val="none" w:sz="0" w:space="0" w:color="auto"/>
        <w:right w:val="none" w:sz="0" w:space="0" w:color="auto"/>
      </w:divBdr>
    </w:div>
    <w:div w:id="703286667">
      <w:bodyDiv w:val="1"/>
      <w:marLeft w:val="0"/>
      <w:marRight w:val="0"/>
      <w:marTop w:val="0"/>
      <w:marBottom w:val="0"/>
      <w:divBdr>
        <w:top w:val="none" w:sz="0" w:space="0" w:color="auto"/>
        <w:left w:val="none" w:sz="0" w:space="0" w:color="auto"/>
        <w:bottom w:val="none" w:sz="0" w:space="0" w:color="auto"/>
        <w:right w:val="none" w:sz="0" w:space="0" w:color="auto"/>
      </w:divBdr>
    </w:div>
    <w:div w:id="717627990">
      <w:bodyDiv w:val="1"/>
      <w:marLeft w:val="0"/>
      <w:marRight w:val="0"/>
      <w:marTop w:val="0"/>
      <w:marBottom w:val="0"/>
      <w:divBdr>
        <w:top w:val="none" w:sz="0" w:space="0" w:color="auto"/>
        <w:left w:val="none" w:sz="0" w:space="0" w:color="auto"/>
        <w:bottom w:val="none" w:sz="0" w:space="0" w:color="auto"/>
        <w:right w:val="none" w:sz="0" w:space="0" w:color="auto"/>
      </w:divBdr>
    </w:div>
    <w:div w:id="740517941">
      <w:bodyDiv w:val="1"/>
      <w:marLeft w:val="0"/>
      <w:marRight w:val="0"/>
      <w:marTop w:val="0"/>
      <w:marBottom w:val="0"/>
      <w:divBdr>
        <w:top w:val="none" w:sz="0" w:space="0" w:color="auto"/>
        <w:left w:val="none" w:sz="0" w:space="0" w:color="auto"/>
        <w:bottom w:val="none" w:sz="0" w:space="0" w:color="auto"/>
        <w:right w:val="none" w:sz="0" w:space="0" w:color="auto"/>
      </w:divBdr>
      <w:divsChild>
        <w:div w:id="579289697">
          <w:marLeft w:val="0"/>
          <w:marRight w:val="0"/>
          <w:marTop w:val="0"/>
          <w:marBottom w:val="0"/>
          <w:divBdr>
            <w:top w:val="none" w:sz="0" w:space="0" w:color="auto"/>
            <w:left w:val="none" w:sz="0" w:space="0" w:color="auto"/>
            <w:bottom w:val="none" w:sz="0" w:space="0" w:color="auto"/>
            <w:right w:val="none" w:sz="0" w:space="0" w:color="auto"/>
          </w:divBdr>
          <w:divsChild>
            <w:div w:id="830171518">
              <w:marLeft w:val="0"/>
              <w:marRight w:val="0"/>
              <w:marTop w:val="0"/>
              <w:marBottom w:val="0"/>
              <w:divBdr>
                <w:top w:val="none" w:sz="0" w:space="0" w:color="auto"/>
                <w:left w:val="none" w:sz="0" w:space="0" w:color="auto"/>
                <w:bottom w:val="none" w:sz="0" w:space="0" w:color="auto"/>
                <w:right w:val="none" w:sz="0" w:space="0" w:color="auto"/>
              </w:divBdr>
              <w:divsChild>
                <w:div w:id="95298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260761">
      <w:bodyDiv w:val="1"/>
      <w:marLeft w:val="0"/>
      <w:marRight w:val="0"/>
      <w:marTop w:val="0"/>
      <w:marBottom w:val="0"/>
      <w:divBdr>
        <w:top w:val="none" w:sz="0" w:space="0" w:color="auto"/>
        <w:left w:val="none" w:sz="0" w:space="0" w:color="auto"/>
        <w:bottom w:val="none" w:sz="0" w:space="0" w:color="auto"/>
        <w:right w:val="none" w:sz="0" w:space="0" w:color="auto"/>
      </w:divBdr>
    </w:div>
    <w:div w:id="838733985">
      <w:bodyDiv w:val="1"/>
      <w:marLeft w:val="0"/>
      <w:marRight w:val="0"/>
      <w:marTop w:val="0"/>
      <w:marBottom w:val="0"/>
      <w:divBdr>
        <w:top w:val="none" w:sz="0" w:space="0" w:color="auto"/>
        <w:left w:val="none" w:sz="0" w:space="0" w:color="auto"/>
        <w:bottom w:val="none" w:sz="0" w:space="0" w:color="auto"/>
        <w:right w:val="none" w:sz="0" w:space="0" w:color="auto"/>
      </w:divBdr>
    </w:div>
    <w:div w:id="925311141">
      <w:bodyDiv w:val="1"/>
      <w:marLeft w:val="0"/>
      <w:marRight w:val="0"/>
      <w:marTop w:val="0"/>
      <w:marBottom w:val="0"/>
      <w:divBdr>
        <w:top w:val="none" w:sz="0" w:space="0" w:color="auto"/>
        <w:left w:val="none" w:sz="0" w:space="0" w:color="auto"/>
        <w:bottom w:val="none" w:sz="0" w:space="0" w:color="auto"/>
        <w:right w:val="none" w:sz="0" w:space="0" w:color="auto"/>
      </w:divBdr>
    </w:div>
    <w:div w:id="928272951">
      <w:bodyDiv w:val="1"/>
      <w:marLeft w:val="0"/>
      <w:marRight w:val="0"/>
      <w:marTop w:val="0"/>
      <w:marBottom w:val="0"/>
      <w:divBdr>
        <w:top w:val="none" w:sz="0" w:space="0" w:color="auto"/>
        <w:left w:val="none" w:sz="0" w:space="0" w:color="auto"/>
        <w:bottom w:val="none" w:sz="0" w:space="0" w:color="auto"/>
        <w:right w:val="none" w:sz="0" w:space="0" w:color="auto"/>
      </w:divBdr>
      <w:divsChild>
        <w:div w:id="1788305006">
          <w:marLeft w:val="0"/>
          <w:marRight w:val="0"/>
          <w:marTop w:val="0"/>
          <w:marBottom w:val="0"/>
          <w:divBdr>
            <w:top w:val="none" w:sz="0" w:space="0" w:color="auto"/>
            <w:left w:val="none" w:sz="0" w:space="0" w:color="auto"/>
            <w:bottom w:val="none" w:sz="0" w:space="0" w:color="auto"/>
            <w:right w:val="none" w:sz="0" w:space="0" w:color="auto"/>
          </w:divBdr>
          <w:divsChild>
            <w:div w:id="992952714">
              <w:marLeft w:val="0"/>
              <w:marRight w:val="0"/>
              <w:marTop w:val="0"/>
              <w:marBottom w:val="0"/>
              <w:divBdr>
                <w:top w:val="none" w:sz="0" w:space="0" w:color="auto"/>
                <w:left w:val="none" w:sz="0" w:space="0" w:color="auto"/>
                <w:bottom w:val="none" w:sz="0" w:space="0" w:color="auto"/>
                <w:right w:val="none" w:sz="0" w:space="0" w:color="auto"/>
              </w:divBdr>
              <w:divsChild>
                <w:div w:id="928663765">
                  <w:marLeft w:val="0"/>
                  <w:marRight w:val="0"/>
                  <w:marTop w:val="0"/>
                  <w:marBottom w:val="0"/>
                  <w:divBdr>
                    <w:top w:val="none" w:sz="0" w:space="0" w:color="auto"/>
                    <w:left w:val="none" w:sz="0" w:space="0" w:color="auto"/>
                    <w:bottom w:val="none" w:sz="0" w:space="0" w:color="auto"/>
                    <w:right w:val="none" w:sz="0" w:space="0" w:color="auto"/>
                  </w:divBdr>
                  <w:divsChild>
                    <w:div w:id="69103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546504">
      <w:bodyDiv w:val="1"/>
      <w:marLeft w:val="0"/>
      <w:marRight w:val="0"/>
      <w:marTop w:val="0"/>
      <w:marBottom w:val="0"/>
      <w:divBdr>
        <w:top w:val="none" w:sz="0" w:space="0" w:color="auto"/>
        <w:left w:val="none" w:sz="0" w:space="0" w:color="auto"/>
        <w:bottom w:val="none" w:sz="0" w:space="0" w:color="auto"/>
        <w:right w:val="none" w:sz="0" w:space="0" w:color="auto"/>
      </w:divBdr>
    </w:div>
    <w:div w:id="955328357">
      <w:bodyDiv w:val="1"/>
      <w:marLeft w:val="0"/>
      <w:marRight w:val="0"/>
      <w:marTop w:val="0"/>
      <w:marBottom w:val="0"/>
      <w:divBdr>
        <w:top w:val="none" w:sz="0" w:space="0" w:color="auto"/>
        <w:left w:val="none" w:sz="0" w:space="0" w:color="auto"/>
        <w:bottom w:val="none" w:sz="0" w:space="0" w:color="auto"/>
        <w:right w:val="none" w:sz="0" w:space="0" w:color="auto"/>
      </w:divBdr>
    </w:div>
    <w:div w:id="976297348">
      <w:bodyDiv w:val="1"/>
      <w:marLeft w:val="0"/>
      <w:marRight w:val="0"/>
      <w:marTop w:val="0"/>
      <w:marBottom w:val="0"/>
      <w:divBdr>
        <w:top w:val="none" w:sz="0" w:space="0" w:color="auto"/>
        <w:left w:val="none" w:sz="0" w:space="0" w:color="auto"/>
        <w:bottom w:val="none" w:sz="0" w:space="0" w:color="auto"/>
        <w:right w:val="none" w:sz="0" w:space="0" w:color="auto"/>
      </w:divBdr>
    </w:div>
    <w:div w:id="1036394782">
      <w:bodyDiv w:val="1"/>
      <w:marLeft w:val="0"/>
      <w:marRight w:val="0"/>
      <w:marTop w:val="0"/>
      <w:marBottom w:val="0"/>
      <w:divBdr>
        <w:top w:val="none" w:sz="0" w:space="0" w:color="auto"/>
        <w:left w:val="none" w:sz="0" w:space="0" w:color="auto"/>
        <w:bottom w:val="none" w:sz="0" w:space="0" w:color="auto"/>
        <w:right w:val="none" w:sz="0" w:space="0" w:color="auto"/>
      </w:divBdr>
      <w:divsChild>
        <w:div w:id="1015960834">
          <w:marLeft w:val="0"/>
          <w:marRight w:val="0"/>
          <w:marTop w:val="0"/>
          <w:marBottom w:val="0"/>
          <w:divBdr>
            <w:top w:val="none" w:sz="0" w:space="0" w:color="auto"/>
            <w:left w:val="none" w:sz="0" w:space="0" w:color="auto"/>
            <w:bottom w:val="none" w:sz="0" w:space="0" w:color="auto"/>
            <w:right w:val="none" w:sz="0" w:space="0" w:color="auto"/>
          </w:divBdr>
          <w:divsChild>
            <w:div w:id="2016689628">
              <w:marLeft w:val="0"/>
              <w:marRight w:val="0"/>
              <w:marTop w:val="0"/>
              <w:marBottom w:val="0"/>
              <w:divBdr>
                <w:top w:val="none" w:sz="0" w:space="0" w:color="auto"/>
                <w:left w:val="none" w:sz="0" w:space="0" w:color="auto"/>
                <w:bottom w:val="none" w:sz="0" w:space="0" w:color="auto"/>
                <w:right w:val="none" w:sz="0" w:space="0" w:color="auto"/>
              </w:divBdr>
              <w:divsChild>
                <w:div w:id="2114282810">
                  <w:marLeft w:val="0"/>
                  <w:marRight w:val="0"/>
                  <w:marTop w:val="0"/>
                  <w:marBottom w:val="0"/>
                  <w:divBdr>
                    <w:top w:val="none" w:sz="0" w:space="0" w:color="auto"/>
                    <w:left w:val="none" w:sz="0" w:space="0" w:color="auto"/>
                    <w:bottom w:val="none" w:sz="0" w:space="0" w:color="auto"/>
                    <w:right w:val="none" w:sz="0" w:space="0" w:color="auto"/>
                  </w:divBdr>
                  <w:divsChild>
                    <w:div w:id="18915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08894">
      <w:bodyDiv w:val="1"/>
      <w:marLeft w:val="0"/>
      <w:marRight w:val="0"/>
      <w:marTop w:val="0"/>
      <w:marBottom w:val="0"/>
      <w:divBdr>
        <w:top w:val="none" w:sz="0" w:space="0" w:color="auto"/>
        <w:left w:val="none" w:sz="0" w:space="0" w:color="auto"/>
        <w:bottom w:val="none" w:sz="0" w:space="0" w:color="auto"/>
        <w:right w:val="none" w:sz="0" w:space="0" w:color="auto"/>
      </w:divBdr>
    </w:div>
    <w:div w:id="1040741852">
      <w:bodyDiv w:val="1"/>
      <w:marLeft w:val="0"/>
      <w:marRight w:val="0"/>
      <w:marTop w:val="0"/>
      <w:marBottom w:val="0"/>
      <w:divBdr>
        <w:top w:val="none" w:sz="0" w:space="0" w:color="auto"/>
        <w:left w:val="none" w:sz="0" w:space="0" w:color="auto"/>
        <w:bottom w:val="none" w:sz="0" w:space="0" w:color="auto"/>
        <w:right w:val="none" w:sz="0" w:space="0" w:color="auto"/>
      </w:divBdr>
      <w:divsChild>
        <w:div w:id="1333996458">
          <w:marLeft w:val="0"/>
          <w:marRight w:val="0"/>
          <w:marTop w:val="0"/>
          <w:marBottom w:val="0"/>
          <w:divBdr>
            <w:top w:val="none" w:sz="0" w:space="0" w:color="auto"/>
            <w:left w:val="none" w:sz="0" w:space="0" w:color="auto"/>
            <w:bottom w:val="none" w:sz="0" w:space="0" w:color="auto"/>
            <w:right w:val="none" w:sz="0" w:space="0" w:color="auto"/>
          </w:divBdr>
          <w:divsChild>
            <w:div w:id="990519350">
              <w:marLeft w:val="0"/>
              <w:marRight w:val="0"/>
              <w:marTop w:val="0"/>
              <w:marBottom w:val="0"/>
              <w:divBdr>
                <w:top w:val="none" w:sz="0" w:space="0" w:color="auto"/>
                <w:left w:val="none" w:sz="0" w:space="0" w:color="auto"/>
                <w:bottom w:val="none" w:sz="0" w:space="0" w:color="auto"/>
                <w:right w:val="none" w:sz="0" w:space="0" w:color="auto"/>
              </w:divBdr>
              <w:divsChild>
                <w:div w:id="2105222375">
                  <w:marLeft w:val="0"/>
                  <w:marRight w:val="0"/>
                  <w:marTop w:val="0"/>
                  <w:marBottom w:val="0"/>
                  <w:divBdr>
                    <w:top w:val="none" w:sz="0" w:space="0" w:color="auto"/>
                    <w:left w:val="none" w:sz="0" w:space="0" w:color="auto"/>
                    <w:bottom w:val="none" w:sz="0" w:space="0" w:color="auto"/>
                    <w:right w:val="none" w:sz="0" w:space="0" w:color="auto"/>
                  </w:divBdr>
                  <w:divsChild>
                    <w:div w:id="202481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6900683">
      <w:bodyDiv w:val="1"/>
      <w:marLeft w:val="0"/>
      <w:marRight w:val="0"/>
      <w:marTop w:val="0"/>
      <w:marBottom w:val="0"/>
      <w:divBdr>
        <w:top w:val="none" w:sz="0" w:space="0" w:color="auto"/>
        <w:left w:val="none" w:sz="0" w:space="0" w:color="auto"/>
        <w:bottom w:val="none" w:sz="0" w:space="0" w:color="auto"/>
        <w:right w:val="none" w:sz="0" w:space="0" w:color="auto"/>
      </w:divBdr>
    </w:div>
    <w:div w:id="1109398818">
      <w:bodyDiv w:val="1"/>
      <w:marLeft w:val="0"/>
      <w:marRight w:val="0"/>
      <w:marTop w:val="0"/>
      <w:marBottom w:val="0"/>
      <w:divBdr>
        <w:top w:val="none" w:sz="0" w:space="0" w:color="auto"/>
        <w:left w:val="none" w:sz="0" w:space="0" w:color="auto"/>
        <w:bottom w:val="none" w:sz="0" w:space="0" w:color="auto"/>
        <w:right w:val="none" w:sz="0" w:space="0" w:color="auto"/>
      </w:divBdr>
    </w:div>
    <w:div w:id="1117023468">
      <w:bodyDiv w:val="1"/>
      <w:marLeft w:val="0"/>
      <w:marRight w:val="0"/>
      <w:marTop w:val="0"/>
      <w:marBottom w:val="0"/>
      <w:divBdr>
        <w:top w:val="none" w:sz="0" w:space="0" w:color="auto"/>
        <w:left w:val="none" w:sz="0" w:space="0" w:color="auto"/>
        <w:bottom w:val="none" w:sz="0" w:space="0" w:color="auto"/>
        <w:right w:val="none" w:sz="0" w:space="0" w:color="auto"/>
      </w:divBdr>
    </w:div>
    <w:div w:id="1127505365">
      <w:bodyDiv w:val="1"/>
      <w:marLeft w:val="0"/>
      <w:marRight w:val="0"/>
      <w:marTop w:val="0"/>
      <w:marBottom w:val="0"/>
      <w:divBdr>
        <w:top w:val="none" w:sz="0" w:space="0" w:color="auto"/>
        <w:left w:val="none" w:sz="0" w:space="0" w:color="auto"/>
        <w:bottom w:val="none" w:sz="0" w:space="0" w:color="auto"/>
        <w:right w:val="none" w:sz="0" w:space="0" w:color="auto"/>
      </w:divBdr>
    </w:div>
    <w:div w:id="1140460628">
      <w:bodyDiv w:val="1"/>
      <w:marLeft w:val="0"/>
      <w:marRight w:val="0"/>
      <w:marTop w:val="0"/>
      <w:marBottom w:val="0"/>
      <w:divBdr>
        <w:top w:val="none" w:sz="0" w:space="0" w:color="auto"/>
        <w:left w:val="none" w:sz="0" w:space="0" w:color="auto"/>
        <w:bottom w:val="none" w:sz="0" w:space="0" w:color="auto"/>
        <w:right w:val="none" w:sz="0" w:space="0" w:color="auto"/>
      </w:divBdr>
    </w:div>
    <w:div w:id="1150630099">
      <w:bodyDiv w:val="1"/>
      <w:marLeft w:val="0"/>
      <w:marRight w:val="0"/>
      <w:marTop w:val="0"/>
      <w:marBottom w:val="0"/>
      <w:divBdr>
        <w:top w:val="none" w:sz="0" w:space="0" w:color="auto"/>
        <w:left w:val="none" w:sz="0" w:space="0" w:color="auto"/>
        <w:bottom w:val="none" w:sz="0" w:space="0" w:color="auto"/>
        <w:right w:val="none" w:sz="0" w:space="0" w:color="auto"/>
      </w:divBdr>
      <w:divsChild>
        <w:div w:id="1321351581">
          <w:marLeft w:val="0"/>
          <w:marRight w:val="0"/>
          <w:marTop w:val="0"/>
          <w:marBottom w:val="0"/>
          <w:divBdr>
            <w:top w:val="none" w:sz="0" w:space="0" w:color="auto"/>
            <w:left w:val="none" w:sz="0" w:space="0" w:color="auto"/>
            <w:bottom w:val="none" w:sz="0" w:space="0" w:color="auto"/>
            <w:right w:val="none" w:sz="0" w:space="0" w:color="auto"/>
          </w:divBdr>
          <w:divsChild>
            <w:div w:id="1179808351">
              <w:marLeft w:val="0"/>
              <w:marRight w:val="0"/>
              <w:marTop w:val="0"/>
              <w:marBottom w:val="0"/>
              <w:divBdr>
                <w:top w:val="none" w:sz="0" w:space="0" w:color="auto"/>
                <w:left w:val="none" w:sz="0" w:space="0" w:color="auto"/>
                <w:bottom w:val="none" w:sz="0" w:space="0" w:color="auto"/>
                <w:right w:val="none" w:sz="0" w:space="0" w:color="auto"/>
              </w:divBdr>
              <w:divsChild>
                <w:div w:id="206656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856878">
      <w:bodyDiv w:val="1"/>
      <w:marLeft w:val="0"/>
      <w:marRight w:val="0"/>
      <w:marTop w:val="0"/>
      <w:marBottom w:val="0"/>
      <w:divBdr>
        <w:top w:val="none" w:sz="0" w:space="0" w:color="auto"/>
        <w:left w:val="none" w:sz="0" w:space="0" w:color="auto"/>
        <w:bottom w:val="none" w:sz="0" w:space="0" w:color="auto"/>
        <w:right w:val="none" w:sz="0" w:space="0" w:color="auto"/>
      </w:divBdr>
    </w:div>
    <w:div w:id="1190492131">
      <w:bodyDiv w:val="1"/>
      <w:marLeft w:val="0"/>
      <w:marRight w:val="0"/>
      <w:marTop w:val="0"/>
      <w:marBottom w:val="0"/>
      <w:divBdr>
        <w:top w:val="none" w:sz="0" w:space="0" w:color="auto"/>
        <w:left w:val="none" w:sz="0" w:space="0" w:color="auto"/>
        <w:bottom w:val="none" w:sz="0" w:space="0" w:color="auto"/>
        <w:right w:val="none" w:sz="0" w:space="0" w:color="auto"/>
      </w:divBdr>
    </w:div>
    <w:div w:id="1208906585">
      <w:bodyDiv w:val="1"/>
      <w:marLeft w:val="0"/>
      <w:marRight w:val="0"/>
      <w:marTop w:val="0"/>
      <w:marBottom w:val="0"/>
      <w:divBdr>
        <w:top w:val="none" w:sz="0" w:space="0" w:color="auto"/>
        <w:left w:val="none" w:sz="0" w:space="0" w:color="auto"/>
        <w:bottom w:val="none" w:sz="0" w:space="0" w:color="auto"/>
        <w:right w:val="none" w:sz="0" w:space="0" w:color="auto"/>
      </w:divBdr>
    </w:div>
    <w:div w:id="1268001260">
      <w:bodyDiv w:val="1"/>
      <w:marLeft w:val="0"/>
      <w:marRight w:val="0"/>
      <w:marTop w:val="0"/>
      <w:marBottom w:val="0"/>
      <w:divBdr>
        <w:top w:val="none" w:sz="0" w:space="0" w:color="auto"/>
        <w:left w:val="none" w:sz="0" w:space="0" w:color="auto"/>
        <w:bottom w:val="none" w:sz="0" w:space="0" w:color="auto"/>
        <w:right w:val="none" w:sz="0" w:space="0" w:color="auto"/>
      </w:divBdr>
    </w:div>
    <w:div w:id="1271548090">
      <w:bodyDiv w:val="1"/>
      <w:marLeft w:val="0"/>
      <w:marRight w:val="0"/>
      <w:marTop w:val="0"/>
      <w:marBottom w:val="0"/>
      <w:divBdr>
        <w:top w:val="none" w:sz="0" w:space="0" w:color="auto"/>
        <w:left w:val="none" w:sz="0" w:space="0" w:color="auto"/>
        <w:bottom w:val="none" w:sz="0" w:space="0" w:color="auto"/>
        <w:right w:val="none" w:sz="0" w:space="0" w:color="auto"/>
      </w:divBdr>
    </w:div>
    <w:div w:id="1282229074">
      <w:bodyDiv w:val="1"/>
      <w:marLeft w:val="0"/>
      <w:marRight w:val="0"/>
      <w:marTop w:val="0"/>
      <w:marBottom w:val="0"/>
      <w:divBdr>
        <w:top w:val="none" w:sz="0" w:space="0" w:color="auto"/>
        <w:left w:val="none" w:sz="0" w:space="0" w:color="auto"/>
        <w:bottom w:val="none" w:sz="0" w:space="0" w:color="auto"/>
        <w:right w:val="none" w:sz="0" w:space="0" w:color="auto"/>
      </w:divBdr>
    </w:div>
    <w:div w:id="1287926000">
      <w:bodyDiv w:val="1"/>
      <w:marLeft w:val="0"/>
      <w:marRight w:val="0"/>
      <w:marTop w:val="0"/>
      <w:marBottom w:val="0"/>
      <w:divBdr>
        <w:top w:val="none" w:sz="0" w:space="0" w:color="auto"/>
        <w:left w:val="none" w:sz="0" w:space="0" w:color="auto"/>
        <w:bottom w:val="none" w:sz="0" w:space="0" w:color="auto"/>
        <w:right w:val="none" w:sz="0" w:space="0" w:color="auto"/>
      </w:divBdr>
    </w:div>
    <w:div w:id="1292400080">
      <w:bodyDiv w:val="1"/>
      <w:marLeft w:val="0"/>
      <w:marRight w:val="0"/>
      <w:marTop w:val="0"/>
      <w:marBottom w:val="0"/>
      <w:divBdr>
        <w:top w:val="none" w:sz="0" w:space="0" w:color="auto"/>
        <w:left w:val="none" w:sz="0" w:space="0" w:color="auto"/>
        <w:bottom w:val="none" w:sz="0" w:space="0" w:color="auto"/>
        <w:right w:val="none" w:sz="0" w:space="0" w:color="auto"/>
      </w:divBdr>
    </w:div>
    <w:div w:id="1321230229">
      <w:bodyDiv w:val="1"/>
      <w:marLeft w:val="0"/>
      <w:marRight w:val="0"/>
      <w:marTop w:val="0"/>
      <w:marBottom w:val="0"/>
      <w:divBdr>
        <w:top w:val="none" w:sz="0" w:space="0" w:color="auto"/>
        <w:left w:val="none" w:sz="0" w:space="0" w:color="auto"/>
        <w:bottom w:val="none" w:sz="0" w:space="0" w:color="auto"/>
        <w:right w:val="none" w:sz="0" w:space="0" w:color="auto"/>
      </w:divBdr>
    </w:div>
    <w:div w:id="1384911796">
      <w:bodyDiv w:val="1"/>
      <w:marLeft w:val="0"/>
      <w:marRight w:val="0"/>
      <w:marTop w:val="0"/>
      <w:marBottom w:val="0"/>
      <w:divBdr>
        <w:top w:val="none" w:sz="0" w:space="0" w:color="auto"/>
        <w:left w:val="none" w:sz="0" w:space="0" w:color="auto"/>
        <w:bottom w:val="none" w:sz="0" w:space="0" w:color="auto"/>
        <w:right w:val="none" w:sz="0" w:space="0" w:color="auto"/>
      </w:divBdr>
    </w:div>
    <w:div w:id="1405687074">
      <w:bodyDiv w:val="1"/>
      <w:marLeft w:val="0"/>
      <w:marRight w:val="0"/>
      <w:marTop w:val="0"/>
      <w:marBottom w:val="0"/>
      <w:divBdr>
        <w:top w:val="none" w:sz="0" w:space="0" w:color="auto"/>
        <w:left w:val="none" w:sz="0" w:space="0" w:color="auto"/>
        <w:bottom w:val="none" w:sz="0" w:space="0" w:color="auto"/>
        <w:right w:val="none" w:sz="0" w:space="0" w:color="auto"/>
      </w:divBdr>
    </w:div>
    <w:div w:id="1432043698">
      <w:bodyDiv w:val="1"/>
      <w:marLeft w:val="0"/>
      <w:marRight w:val="0"/>
      <w:marTop w:val="0"/>
      <w:marBottom w:val="0"/>
      <w:divBdr>
        <w:top w:val="none" w:sz="0" w:space="0" w:color="auto"/>
        <w:left w:val="none" w:sz="0" w:space="0" w:color="auto"/>
        <w:bottom w:val="none" w:sz="0" w:space="0" w:color="auto"/>
        <w:right w:val="none" w:sz="0" w:space="0" w:color="auto"/>
      </w:divBdr>
    </w:div>
    <w:div w:id="1454514880">
      <w:bodyDiv w:val="1"/>
      <w:marLeft w:val="0"/>
      <w:marRight w:val="0"/>
      <w:marTop w:val="0"/>
      <w:marBottom w:val="0"/>
      <w:divBdr>
        <w:top w:val="none" w:sz="0" w:space="0" w:color="auto"/>
        <w:left w:val="none" w:sz="0" w:space="0" w:color="auto"/>
        <w:bottom w:val="none" w:sz="0" w:space="0" w:color="auto"/>
        <w:right w:val="none" w:sz="0" w:space="0" w:color="auto"/>
      </w:divBdr>
    </w:div>
    <w:div w:id="1458641280">
      <w:bodyDiv w:val="1"/>
      <w:marLeft w:val="0"/>
      <w:marRight w:val="0"/>
      <w:marTop w:val="0"/>
      <w:marBottom w:val="0"/>
      <w:divBdr>
        <w:top w:val="none" w:sz="0" w:space="0" w:color="auto"/>
        <w:left w:val="none" w:sz="0" w:space="0" w:color="auto"/>
        <w:bottom w:val="none" w:sz="0" w:space="0" w:color="auto"/>
        <w:right w:val="none" w:sz="0" w:space="0" w:color="auto"/>
      </w:divBdr>
      <w:divsChild>
        <w:div w:id="306933997">
          <w:marLeft w:val="0"/>
          <w:marRight w:val="0"/>
          <w:marTop w:val="0"/>
          <w:marBottom w:val="0"/>
          <w:divBdr>
            <w:top w:val="none" w:sz="0" w:space="0" w:color="auto"/>
            <w:left w:val="none" w:sz="0" w:space="0" w:color="auto"/>
            <w:bottom w:val="none" w:sz="0" w:space="0" w:color="auto"/>
            <w:right w:val="none" w:sz="0" w:space="0" w:color="auto"/>
          </w:divBdr>
          <w:divsChild>
            <w:div w:id="1443913281">
              <w:marLeft w:val="0"/>
              <w:marRight w:val="0"/>
              <w:marTop w:val="0"/>
              <w:marBottom w:val="0"/>
              <w:divBdr>
                <w:top w:val="none" w:sz="0" w:space="0" w:color="auto"/>
                <w:left w:val="none" w:sz="0" w:space="0" w:color="auto"/>
                <w:bottom w:val="none" w:sz="0" w:space="0" w:color="auto"/>
                <w:right w:val="none" w:sz="0" w:space="0" w:color="auto"/>
              </w:divBdr>
              <w:divsChild>
                <w:div w:id="172544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520003">
      <w:bodyDiv w:val="1"/>
      <w:marLeft w:val="0"/>
      <w:marRight w:val="0"/>
      <w:marTop w:val="0"/>
      <w:marBottom w:val="0"/>
      <w:divBdr>
        <w:top w:val="none" w:sz="0" w:space="0" w:color="auto"/>
        <w:left w:val="none" w:sz="0" w:space="0" w:color="auto"/>
        <w:bottom w:val="none" w:sz="0" w:space="0" w:color="auto"/>
        <w:right w:val="none" w:sz="0" w:space="0" w:color="auto"/>
      </w:divBdr>
    </w:div>
    <w:div w:id="1592347125">
      <w:bodyDiv w:val="1"/>
      <w:marLeft w:val="0"/>
      <w:marRight w:val="0"/>
      <w:marTop w:val="0"/>
      <w:marBottom w:val="0"/>
      <w:divBdr>
        <w:top w:val="none" w:sz="0" w:space="0" w:color="auto"/>
        <w:left w:val="none" w:sz="0" w:space="0" w:color="auto"/>
        <w:bottom w:val="none" w:sz="0" w:space="0" w:color="auto"/>
        <w:right w:val="none" w:sz="0" w:space="0" w:color="auto"/>
      </w:divBdr>
    </w:div>
    <w:div w:id="1596211393">
      <w:bodyDiv w:val="1"/>
      <w:marLeft w:val="0"/>
      <w:marRight w:val="0"/>
      <w:marTop w:val="0"/>
      <w:marBottom w:val="0"/>
      <w:divBdr>
        <w:top w:val="none" w:sz="0" w:space="0" w:color="auto"/>
        <w:left w:val="none" w:sz="0" w:space="0" w:color="auto"/>
        <w:bottom w:val="none" w:sz="0" w:space="0" w:color="auto"/>
        <w:right w:val="none" w:sz="0" w:space="0" w:color="auto"/>
      </w:divBdr>
    </w:div>
    <w:div w:id="1601255530">
      <w:bodyDiv w:val="1"/>
      <w:marLeft w:val="0"/>
      <w:marRight w:val="0"/>
      <w:marTop w:val="0"/>
      <w:marBottom w:val="0"/>
      <w:divBdr>
        <w:top w:val="none" w:sz="0" w:space="0" w:color="auto"/>
        <w:left w:val="none" w:sz="0" w:space="0" w:color="auto"/>
        <w:bottom w:val="none" w:sz="0" w:space="0" w:color="auto"/>
        <w:right w:val="none" w:sz="0" w:space="0" w:color="auto"/>
      </w:divBdr>
      <w:divsChild>
        <w:div w:id="1091391543">
          <w:marLeft w:val="0"/>
          <w:marRight w:val="0"/>
          <w:marTop w:val="0"/>
          <w:marBottom w:val="0"/>
          <w:divBdr>
            <w:top w:val="none" w:sz="0" w:space="0" w:color="auto"/>
            <w:left w:val="none" w:sz="0" w:space="0" w:color="auto"/>
            <w:bottom w:val="none" w:sz="0" w:space="0" w:color="auto"/>
            <w:right w:val="none" w:sz="0" w:space="0" w:color="auto"/>
          </w:divBdr>
          <w:divsChild>
            <w:div w:id="222763879">
              <w:marLeft w:val="0"/>
              <w:marRight w:val="0"/>
              <w:marTop w:val="0"/>
              <w:marBottom w:val="0"/>
              <w:divBdr>
                <w:top w:val="none" w:sz="0" w:space="0" w:color="auto"/>
                <w:left w:val="none" w:sz="0" w:space="0" w:color="auto"/>
                <w:bottom w:val="none" w:sz="0" w:space="0" w:color="auto"/>
                <w:right w:val="none" w:sz="0" w:space="0" w:color="auto"/>
              </w:divBdr>
              <w:divsChild>
                <w:div w:id="1255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526351">
      <w:bodyDiv w:val="1"/>
      <w:marLeft w:val="0"/>
      <w:marRight w:val="0"/>
      <w:marTop w:val="0"/>
      <w:marBottom w:val="0"/>
      <w:divBdr>
        <w:top w:val="none" w:sz="0" w:space="0" w:color="auto"/>
        <w:left w:val="none" w:sz="0" w:space="0" w:color="auto"/>
        <w:bottom w:val="none" w:sz="0" w:space="0" w:color="auto"/>
        <w:right w:val="none" w:sz="0" w:space="0" w:color="auto"/>
      </w:divBdr>
    </w:div>
    <w:div w:id="1695766104">
      <w:bodyDiv w:val="1"/>
      <w:marLeft w:val="0"/>
      <w:marRight w:val="0"/>
      <w:marTop w:val="0"/>
      <w:marBottom w:val="0"/>
      <w:divBdr>
        <w:top w:val="none" w:sz="0" w:space="0" w:color="auto"/>
        <w:left w:val="none" w:sz="0" w:space="0" w:color="auto"/>
        <w:bottom w:val="none" w:sz="0" w:space="0" w:color="auto"/>
        <w:right w:val="none" w:sz="0" w:space="0" w:color="auto"/>
      </w:divBdr>
    </w:div>
    <w:div w:id="1765027374">
      <w:bodyDiv w:val="1"/>
      <w:marLeft w:val="0"/>
      <w:marRight w:val="0"/>
      <w:marTop w:val="0"/>
      <w:marBottom w:val="0"/>
      <w:divBdr>
        <w:top w:val="none" w:sz="0" w:space="0" w:color="auto"/>
        <w:left w:val="none" w:sz="0" w:space="0" w:color="auto"/>
        <w:bottom w:val="none" w:sz="0" w:space="0" w:color="auto"/>
        <w:right w:val="none" w:sz="0" w:space="0" w:color="auto"/>
      </w:divBdr>
    </w:div>
    <w:div w:id="1784181998">
      <w:bodyDiv w:val="1"/>
      <w:marLeft w:val="0"/>
      <w:marRight w:val="0"/>
      <w:marTop w:val="0"/>
      <w:marBottom w:val="0"/>
      <w:divBdr>
        <w:top w:val="none" w:sz="0" w:space="0" w:color="auto"/>
        <w:left w:val="none" w:sz="0" w:space="0" w:color="auto"/>
        <w:bottom w:val="none" w:sz="0" w:space="0" w:color="auto"/>
        <w:right w:val="none" w:sz="0" w:space="0" w:color="auto"/>
      </w:divBdr>
    </w:div>
    <w:div w:id="1805386561">
      <w:bodyDiv w:val="1"/>
      <w:marLeft w:val="0"/>
      <w:marRight w:val="0"/>
      <w:marTop w:val="0"/>
      <w:marBottom w:val="0"/>
      <w:divBdr>
        <w:top w:val="none" w:sz="0" w:space="0" w:color="auto"/>
        <w:left w:val="none" w:sz="0" w:space="0" w:color="auto"/>
        <w:bottom w:val="none" w:sz="0" w:space="0" w:color="auto"/>
        <w:right w:val="none" w:sz="0" w:space="0" w:color="auto"/>
      </w:divBdr>
    </w:div>
    <w:div w:id="1808627094">
      <w:bodyDiv w:val="1"/>
      <w:marLeft w:val="0"/>
      <w:marRight w:val="0"/>
      <w:marTop w:val="0"/>
      <w:marBottom w:val="0"/>
      <w:divBdr>
        <w:top w:val="none" w:sz="0" w:space="0" w:color="auto"/>
        <w:left w:val="none" w:sz="0" w:space="0" w:color="auto"/>
        <w:bottom w:val="none" w:sz="0" w:space="0" w:color="auto"/>
        <w:right w:val="none" w:sz="0" w:space="0" w:color="auto"/>
      </w:divBdr>
    </w:div>
    <w:div w:id="1851337083">
      <w:bodyDiv w:val="1"/>
      <w:marLeft w:val="0"/>
      <w:marRight w:val="0"/>
      <w:marTop w:val="0"/>
      <w:marBottom w:val="0"/>
      <w:divBdr>
        <w:top w:val="none" w:sz="0" w:space="0" w:color="auto"/>
        <w:left w:val="none" w:sz="0" w:space="0" w:color="auto"/>
        <w:bottom w:val="none" w:sz="0" w:space="0" w:color="auto"/>
        <w:right w:val="none" w:sz="0" w:space="0" w:color="auto"/>
      </w:divBdr>
      <w:divsChild>
        <w:div w:id="1647276506">
          <w:marLeft w:val="0"/>
          <w:marRight w:val="0"/>
          <w:marTop w:val="0"/>
          <w:marBottom w:val="0"/>
          <w:divBdr>
            <w:top w:val="none" w:sz="0" w:space="0" w:color="auto"/>
            <w:left w:val="none" w:sz="0" w:space="0" w:color="auto"/>
            <w:bottom w:val="none" w:sz="0" w:space="0" w:color="auto"/>
            <w:right w:val="none" w:sz="0" w:space="0" w:color="auto"/>
          </w:divBdr>
          <w:divsChild>
            <w:div w:id="1895461525">
              <w:marLeft w:val="0"/>
              <w:marRight w:val="0"/>
              <w:marTop w:val="0"/>
              <w:marBottom w:val="0"/>
              <w:divBdr>
                <w:top w:val="none" w:sz="0" w:space="0" w:color="auto"/>
                <w:left w:val="none" w:sz="0" w:space="0" w:color="auto"/>
                <w:bottom w:val="none" w:sz="0" w:space="0" w:color="auto"/>
                <w:right w:val="none" w:sz="0" w:space="0" w:color="auto"/>
              </w:divBdr>
              <w:divsChild>
                <w:div w:id="20492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525124">
      <w:bodyDiv w:val="1"/>
      <w:marLeft w:val="0"/>
      <w:marRight w:val="0"/>
      <w:marTop w:val="0"/>
      <w:marBottom w:val="0"/>
      <w:divBdr>
        <w:top w:val="none" w:sz="0" w:space="0" w:color="auto"/>
        <w:left w:val="none" w:sz="0" w:space="0" w:color="auto"/>
        <w:bottom w:val="none" w:sz="0" w:space="0" w:color="auto"/>
        <w:right w:val="none" w:sz="0" w:space="0" w:color="auto"/>
      </w:divBdr>
    </w:div>
    <w:div w:id="1883252081">
      <w:bodyDiv w:val="1"/>
      <w:marLeft w:val="0"/>
      <w:marRight w:val="0"/>
      <w:marTop w:val="0"/>
      <w:marBottom w:val="0"/>
      <w:divBdr>
        <w:top w:val="none" w:sz="0" w:space="0" w:color="auto"/>
        <w:left w:val="none" w:sz="0" w:space="0" w:color="auto"/>
        <w:bottom w:val="none" w:sz="0" w:space="0" w:color="auto"/>
        <w:right w:val="none" w:sz="0" w:space="0" w:color="auto"/>
      </w:divBdr>
    </w:div>
    <w:div w:id="1907378794">
      <w:bodyDiv w:val="1"/>
      <w:marLeft w:val="0"/>
      <w:marRight w:val="0"/>
      <w:marTop w:val="0"/>
      <w:marBottom w:val="0"/>
      <w:divBdr>
        <w:top w:val="none" w:sz="0" w:space="0" w:color="auto"/>
        <w:left w:val="none" w:sz="0" w:space="0" w:color="auto"/>
        <w:bottom w:val="none" w:sz="0" w:space="0" w:color="auto"/>
        <w:right w:val="none" w:sz="0" w:space="0" w:color="auto"/>
      </w:divBdr>
    </w:div>
    <w:div w:id="1985163428">
      <w:bodyDiv w:val="1"/>
      <w:marLeft w:val="0"/>
      <w:marRight w:val="0"/>
      <w:marTop w:val="0"/>
      <w:marBottom w:val="0"/>
      <w:divBdr>
        <w:top w:val="none" w:sz="0" w:space="0" w:color="auto"/>
        <w:left w:val="none" w:sz="0" w:space="0" w:color="auto"/>
        <w:bottom w:val="none" w:sz="0" w:space="0" w:color="auto"/>
        <w:right w:val="none" w:sz="0" w:space="0" w:color="auto"/>
      </w:divBdr>
    </w:div>
    <w:div w:id="1991135299">
      <w:bodyDiv w:val="1"/>
      <w:marLeft w:val="0"/>
      <w:marRight w:val="0"/>
      <w:marTop w:val="0"/>
      <w:marBottom w:val="0"/>
      <w:divBdr>
        <w:top w:val="none" w:sz="0" w:space="0" w:color="auto"/>
        <w:left w:val="none" w:sz="0" w:space="0" w:color="auto"/>
        <w:bottom w:val="none" w:sz="0" w:space="0" w:color="auto"/>
        <w:right w:val="none" w:sz="0" w:space="0" w:color="auto"/>
      </w:divBdr>
    </w:div>
    <w:div w:id="2008897990">
      <w:bodyDiv w:val="1"/>
      <w:marLeft w:val="0"/>
      <w:marRight w:val="0"/>
      <w:marTop w:val="0"/>
      <w:marBottom w:val="0"/>
      <w:divBdr>
        <w:top w:val="none" w:sz="0" w:space="0" w:color="auto"/>
        <w:left w:val="none" w:sz="0" w:space="0" w:color="auto"/>
        <w:bottom w:val="none" w:sz="0" w:space="0" w:color="auto"/>
        <w:right w:val="none" w:sz="0" w:space="0" w:color="auto"/>
      </w:divBdr>
    </w:div>
    <w:div w:id="2050493925">
      <w:bodyDiv w:val="1"/>
      <w:marLeft w:val="0"/>
      <w:marRight w:val="0"/>
      <w:marTop w:val="0"/>
      <w:marBottom w:val="0"/>
      <w:divBdr>
        <w:top w:val="none" w:sz="0" w:space="0" w:color="auto"/>
        <w:left w:val="none" w:sz="0" w:space="0" w:color="auto"/>
        <w:bottom w:val="none" w:sz="0" w:space="0" w:color="auto"/>
        <w:right w:val="none" w:sz="0" w:space="0" w:color="auto"/>
      </w:divBdr>
      <w:divsChild>
        <w:div w:id="1135369282">
          <w:marLeft w:val="0"/>
          <w:marRight w:val="0"/>
          <w:marTop w:val="0"/>
          <w:marBottom w:val="0"/>
          <w:divBdr>
            <w:top w:val="none" w:sz="0" w:space="0" w:color="auto"/>
            <w:left w:val="none" w:sz="0" w:space="0" w:color="auto"/>
            <w:bottom w:val="none" w:sz="0" w:space="0" w:color="auto"/>
            <w:right w:val="none" w:sz="0" w:space="0" w:color="auto"/>
          </w:divBdr>
          <w:divsChild>
            <w:div w:id="1206328560">
              <w:marLeft w:val="0"/>
              <w:marRight w:val="0"/>
              <w:marTop w:val="0"/>
              <w:marBottom w:val="0"/>
              <w:divBdr>
                <w:top w:val="none" w:sz="0" w:space="0" w:color="auto"/>
                <w:left w:val="none" w:sz="0" w:space="0" w:color="auto"/>
                <w:bottom w:val="none" w:sz="0" w:space="0" w:color="auto"/>
                <w:right w:val="none" w:sz="0" w:space="0" w:color="auto"/>
              </w:divBdr>
              <w:divsChild>
                <w:div w:id="4797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423880">
      <w:bodyDiv w:val="1"/>
      <w:marLeft w:val="0"/>
      <w:marRight w:val="0"/>
      <w:marTop w:val="0"/>
      <w:marBottom w:val="0"/>
      <w:divBdr>
        <w:top w:val="none" w:sz="0" w:space="0" w:color="auto"/>
        <w:left w:val="none" w:sz="0" w:space="0" w:color="auto"/>
        <w:bottom w:val="none" w:sz="0" w:space="0" w:color="auto"/>
        <w:right w:val="none" w:sz="0" w:space="0" w:color="auto"/>
      </w:divBdr>
    </w:div>
    <w:div w:id="2106923002">
      <w:bodyDiv w:val="1"/>
      <w:marLeft w:val="0"/>
      <w:marRight w:val="0"/>
      <w:marTop w:val="0"/>
      <w:marBottom w:val="0"/>
      <w:divBdr>
        <w:top w:val="none" w:sz="0" w:space="0" w:color="auto"/>
        <w:left w:val="none" w:sz="0" w:space="0" w:color="auto"/>
        <w:bottom w:val="none" w:sz="0" w:space="0" w:color="auto"/>
        <w:right w:val="none" w:sz="0" w:space="0" w:color="auto"/>
      </w:divBdr>
    </w:div>
    <w:div w:id="2139639025">
      <w:bodyDiv w:val="1"/>
      <w:marLeft w:val="0"/>
      <w:marRight w:val="0"/>
      <w:marTop w:val="0"/>
      <w:marBottom w:val="0"/>
      <w:divBdr>
        <w:top w:val="none" w:sz="0" w:space="0" w:color="auto"/>
        <w:left w:val="none" w:sz="0" w:space="0" w:color="auto"/>
        <w:bottom w:val="none" w:sz="0" w:space="0" w:color="auto"/>
        <w:right w:val="none" w:sz="0" w:space="0" w:color="auto"/>
      </w:divBdr>
    </w:div>
    <w:div w:id="2140222963">
      <w:bodyDiv w:val="1"/>
      <w:marLeft w:val="0"/>
      <w:marRight w:val="0"/>
      <w:marTop w:val="0"/>
      <w:marBottom w:val="0"/>
      <w:divBdr>
        <w:top w:val="none" w:sz="0" w:space="0" w:color="auto"/>
        <w:left w:val="none" w:sz="0" w:space="0" w:color="auto"/>
        <w:bottom w:val="none" w:sz="0" w:space="0" w:color="auto"/>
        <w:right w:val="none" w:sz="0" w:space="0" w:color="auto"/>
      </w:divBdr>
      <w:divsChild>
        <w:div w:id="1402171216">
          <w:marLeft w:val="0"/>
          <w:marRight w:val="0"/>
          <w:marTop w:val="0"/>
          <w:marBottom w:val="0"/>
          <w:divBdr>
            <w:top w:val="none" w:sz="0" w:space="0" w:color="auto"/>
            <w:left w:val="none" w:sz="0" w:space="0" w:color="auto"/>
            <w:bottom w:val="none" w:sz="0" w:space="0" w:color="auto"/>
            <w:right w:val="none" w:sz="0" w:space="0" w:color="auto"/>
          </w:divBdr>
          <w:divsChild>
            <w:div w:id="1534272340">
              <w:marLeft w:val="0"/>
              <w:marRight w:val="0"/>
              <w:marTop w:val="0"/>
              <w:marBottom w:val="0"/>
              <w:divBdr>
                <w:top w:val="none" w:sz="0" w:space="0" w:color="auto"/>
                <w:left w:val="none" w:sz="0" w:space="0" w:color="auto"/>
                <w:bottom w:val="none" w:sz="0" w:space="0" w:color="auto"/>
                <w:right w:val="none" w:sz="0" w:space="0" w:color="auto"/>
              </w:divBdr>
              <w:divsChild>
                <w:div w:id="160538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apastyle.apa.org/" TargetMode="External"/><Relationship Id="rId18" Type="http://schemas.openxmlformats.org/officeDocument/2006/relationships/hyperlink" Target="https://doi.org/10.1016/j.ijhm.2017.12.007"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kalite.nevsehir.edu.tr/tr/kurum-ici-degerlendirme-raporlari" TargetMode="External"/><Relationship Id="rId7" Type="http://schemas.openxmlformats.org/officeDocument/2006/relationships/footnotes" Target="footnotes.xml"/><Relationship Id="rId12" Type="http://schemas.openxmlformats.org/officeDocument/2006/relationships/hyperlink" Target="https://apastyle.apa.org/" TargetMode="External"/><Relationship Id="rId17" Type="http://schemas.openxmlformats.org/officeDocument/2006/relationships/hyperlink" Target="https://doi.org/10.1111/j.1464-0597.2007.00312.x"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doi.org/" TargetMode="External"/><Relationship Id="rId20" Type="http://schemas.openxmlformats.org/officeDocument/2006/relationships/hyperlink" Target="https://nytimes.com/2021/08/27/us/students-masks-classrooms-britai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hyperlink" Target="https://doi.org/10.9707/2307-0919.1014"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wmf"/><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hyperlink" Target="https://creativecommons.org/licenses/by/4.0" TargetMode="External"/><Relationship Id="rId2" Type="http://schemas.openxmlformats.org/officeDocument/2006/relationships/hyperlink" Target="https://creativecommons.org/licenses/by/4.0/deed.tr" TargetMode="External"/><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orcid.org/0000-0000-0000-0000"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Sayfa1!$B$1</c:f>
              <c:strCache>
                <c:ptCount val="1"/>
                <c:pt idx="0">
                  <c:v>Seri 1</c:v>
                </c:pt>
              </c:strCache>
            </c:strRef>
          </c:tx>
          <c:spPr>
            <a:solidFill>
              <a:schemeClr val="accent1"/>
            </a:solidFill>
            <a:ln>
              <a:noFill/>
            </a:ln>
            <a:effectLst/>
          </c:spPr>
          <c:invertIfNegative val="0"/>
          <c:cat>
            <c:strRef>
              <c:f>Sayfa1!$A$2:$A$5</c:f>
              <c:strCache>
                <c:ptCount val="4"/>
                <c:pt idx="0">
                  <c:v>Kategori 1</c:v>
                </c:pt>
                <c:pt idx="1">
                  <c:v>Kategori 2</c:v>
                </c:pt>
                <c:pt idx="2">
                  <c:v>Kategori 3</c:v>
                </c:pt>
                <c:pt idx="3">
                  <c:v>Kategori 4</c:v>
                </c:pt>
              </c:strCache>
            </c:strRef>
          </c:cat>
          <c:val>
            <c:numRef>
              <c:f>Sayfa1!$B$2:$B$5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EC50-46A5-9E6B-9D1F87764ED0}"/>
            </c:ext>
          </c:extLst>
        </c:ser>
        <c:ser>
          <c:idx val="1"/>
          <c:order val="1"/>
          <c:tx>
            <c:strRef>
              <c:f>Sayfa1!$C$1</c:f>
              <c:strCache>
                <c:ptCount val="1"/>
                <c:pt idx="0">
                  <c:v>Seri 2</c:v>
                </c:pt>
              </c:strCache>
            </c:strRef>
          </c:tx>
          <c:spPr>
            <a:solidFill>
              <a:schemeClr val="accent2"/>
            </a:solidFill>
            <a:ln>
              <a:noFill/>
            </a:ln>
            <a:effectLst/>
          </c:spPr>
          <c:invertIfNegative val="0"/>
          <c:cat>
            <c:strRef>
              <c:f>Sayfa1!$A$2:$A$5</c:f>
              <c:strCache>
                <c:ptCount val="4"/>
                <c:pt idx="0">
                  <c:v>Kategori 1</c:v>
                </c:pt>
                <c:pt idx="1">
                  <c:v>Kategori 2</c:v>
                </c:pt>
                <c:pt idx="2">
                  <c:v>Kategori 3</c:v>
                </c:pt>
                <c:pt idx="3">
                  <c:v>Kategori 4</c:v>
                </c:pt>
              </c:strCache>
            </c:strRef>
          </c:cat>
          <c:val>
            <c:numRef>
              <c:f>Sayfa1!$C$2:$C$5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EC50-46A5-9E6B-9D1F87764ED0}"/>
            </c:ext>
          </c:extLst>
        </c:ser>
        <c:ser>
          <c:idx val="2"/>
          <c:order val="2"/>
          <c:tx>
            <c:strRef>
              <c:f>Sayfa1!$D$1</c:f>
              <c:strCache>
                <c:ptCount val="1"/>
                <c:pt idx="0">
                  <c:v>Seri 3</c:v>
                </c:pt>
              </c:strCache>
            </c:strRef>
          </c:tx>
          <c:spPr>
            <a:solidFill>
              <a:schemeClr val="accent3"/>
            </a:solidFill>
            <a:ln>
              <a:noFill/>
            </a:ln>
            <a:effectLst/>
          </c:spPr>
          <c:invertIfNegative val="0"/>
          <c:cat>
            <c:strRef>
              <c:f>Sayfa1!$A$2:$A$5</c:f>
              <c:strCache>
                <c:ptCount val="4"/>
                <c:pt idx="0">
                  <c:v>Kategori 1</c:v>
                </c:pt>
                <c:pt idx="1">
                  <c:v>Kategori 2</c:v>
                </c:pt>
                <c:pt idx="2">
                  <c:v>Kategori 3</c:v>
                </c:pt>
                <c:pt idx="3">
                  <c:v>Kategori 4</c:v>
                </c:pt>
              </c:strCache>
            </c:strRef>
          </c:cat>
          <c:val>
            <c:numRef>
              <c:f>Sayfa1!$D$2:$D$5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EC50-46A5-9E6B-9D1F87764ED0}"/>
            </c:ext>
          </c:extLst>
        </c:ser>
        <c:dLbls>
          <c:showLegendKey val="0"/>
          <c:showVal val="0"/>
          <c:showCatName val="0"/>
          <c:showSerName val="0"/>
          <c:showPercent val="0"/>
          <c:showBubbleSize val="0"/>
        </c:dLbls>
        <c:gapWidth val="219"/>
        <c:overlap val="-27"/>
        <c:axId val="1629818591"/>
        <c:axId val="1629817343"/>
      </c:barChart>
      <c:catAx>
        <c:axId val="162981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7343"/>
        <c:crosses val="autoZero"/>
        <c:auto val="1"/>
        <c:lblAlgn val="ctr"/>
        <c:lblOffset val="100"/>
        <c:noMultiLvlLbl val="0"/>
      </c:catAx>
      <c:valAx>
        <c:axId val="162981734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chart>
  <c:spPr>
    <a:solidFill>
      <a:schemeClr val="bg1"/>
    </a:solidFill>
    <a:ln w="9525" cap="flat" cmpd="sng" algn="ctr">
      <a:no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l"/>
          <w:gallery w:val="placeholder"/>
        </w:category>
        <w:types>
          <w:type w:val="bbPlcHdr"/>
        </w:types>
        <w:behaviors>
          <w:behavior w:val="content"/>
        </w:behaviors>
        <w:guid w:val="{6726680F-F2F5-48A0-994D-0787537392CF}"/>
      </w:docPartPr>
      <w:docPartBody>
        <w:p w:rsidR="000B5A32" w:rsidRDefault="00DF1722">
          <w:r w:rsidRPr="0088524E">
            <w:rPr>
              <w:rStyle w:val="YerTutucuMetni"/>
            </w:rPr>
            <w:t>Bir öğe seçin.</w:t>
          </w:r>
        </w:p>
      </w:docPartBody>
    </w:docPart>
    <w:docPart>
      <w:docPartPr>
        <w:name w:val="A3325D6B339641008D37855D32E9516D"/>
        <w:category>
          <w:name w:val="Genel"/>
          <w:gallery w:val="placeholder"/>
        </w:category>
        <w:types>
          <w:type w:val="bbPlcHdr"/>
        </w:types>
        <w:behaviors>
          <w:behavior w:val="content"/>
        </w:behaviors>
        <w:guid w:val="{408F8B64-11B3-4852-BEF3-8DF96993FF08}"/>
      </w:docPartPr>
      <w:docPartBody>
        <w:p w:rsidR="000B5A32" w:rsidRDefault="00DF1722" w:rsidP="00DF1722">
          <w:pPr>
            <w:pStyle w:val="A3325D6B339641008D37855D32E9516D"/>
          </w:pPr>
          <w:r>
            <w:t>[Yazar Adı]</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722"/>
    <w:rsid w:val="000B5A32"/>
    <w:rsid w:val="000C5403"/>
    <w:rsid w:val="002A397B"/>
    <w:rsid w:val="002F1FDB"/>
    <w:rsid w:val="003D4E69"/>
    <w:rsid w:val="00466F74"/>
    <w:rsid w:val="004E6F03"/>
    <w:rsid w:val="005310DB"/>
    <w:rsid w:val="005D1FF4"/>
    <w:rsid w:val="006078A5"/>
    <w:rsid w:val="00662F21"/>
    <w:rsid w:val="006C14E4"/>
    <w:rsid w:val="00893289"/>
    <w:rsid w:val="008C57BA"/>
    <w:rsid w:val="00B242F7"/>
    <w:rsid w:val="00B73BB8"/>
    <w:rsid w:val="00BA401A"/>
    <w:rsid w:val="00C30877"/>
    <w:rsid w:val="00C91CEA"/>
    <w:rsid w:val="00CA0FD1"/>
    <w:rsid w:val="00D318E7"/>
    <w:rsid w:val="00D60445"/>
    <w:rsid w:val="00DF1722"/>
    <w:rsid w:val="00DF5BC7"/>
    <w:rsid w:val="00E6002F"/>
    <w:rsid w:val="00E72090"/>
    <w:rsid w:val="00EC05E6"/>
    <w:rsid w:val="00F00C62"/>
    <w:rsid w:val="00F10C26"/>
    <w:rsid w:val="00FA4B66"/>
    <w:rsid w:val="00FE510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DF1722"/>
    <w:rPr>
      <w:color w:val="808080"/>
    </w:rPr>
  </w:style>
  <w:style w:type="paragraph" w:customStyle="1" w:styleId="A3325D6B339641008D37855D32E9516D">
    <w:name w:val="A3325D6B339641008D37855D32E9516D"/>
    <w:rsid w:val="00DF17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AAAD5F-2F48-497F-A8AC-2BFFB340AA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14</Pages>
  <Words>8116</Words>
  <Characters>46267</Characters>
  <Application>Microsoft Office Word</Application>
  <DocSecurity>0</DocSecurity>
  <Lines>385</Lines>
  <Paragraphs>108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Turizm Araştırmaları Dergisi 2025, 4(2): 87-99</vt:lpstr>
      <vt:lpstr/>
    </vt:vector>
  </TitlesOfParts>
  <Company/>
  <LinksUpToDate>false</LinksUpToDate>
  <CharactersWithSpaces>54275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Turizm Araştırmaları Dergisi 2025, 4(2): 87-99</dc:title>
  <dc:subject/>
  <dc:creator>Dergi Adı, Cilt (Sayı): Sayfa Aralığı</dc:creator>
  <cp:keywords/>
  <dc:description/>
  <cp:lastModifiedBy>Mehmet Fatih TAN</cp:lastModifiedBy>
  <cp:revision>242</cp:revision>
  <cp:lastPrinted>2026-04-28T08:51:00Z</cp:lastPrinted>
  <dcterms:created xsi:type="dcterms:W3CDTF">2023-01-06T17:16:00Z</dcterms:created>
  <dcterms:modified xsi:type="dcterms:W3CDTF">2026-05-06T07:23:00Z</dcterms:modified>
</cp:coreProperties>
</file>