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00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2"/>
      </w:tblGrid>
      <w:tr w:rsidR="007F7F56" w14:paraId="518F792F" w14:textId="77777777" w:rsidTr="00617863">
        <w:trPr>
          <w:trHeight w:val="266"/>
        </w:trPr>
        <w:tc>
          <w:tcPr>
            <w:tcW w:w="10022" w:type="dxa"/>
            <w:vAlign w:val="bottom"/>
          </w:tcPr>
          <w:p w14:paraId="25B5FBF4" w14:textId="44B4F3D3" w:rsidR="007F7F56" w:rsidRDefault="007F7F56" w:rsidP="00F00CEB">
            <w:pPr>
              <w:pStyle w:val="Balk6"/>
              <w:spacing w:line="276" w:lineRule="auto"/>
              <w:jc w:val="right"/>
              <w:rPr>
                <w:color w:val="C00000"/>
                <w:sz w:val="20"/>
                <w:szCs w:val="20"/>
              </w:rPr>
            </w:pPr>
            <w:r>
              <w:rPr>
                <w:color w:val="auto"/>
                <w:sz w:val="20"/>
                <w:szCs w:val="20"/>
              </w:rPr>
              <w:t>……………………………….. Dergisi</w:t>
            </w:r>
          </w:p>
        </w:tc>
      </w:tr>
      <w:tr w:rsidR="0072045E" w14:paraId="01B2DA6E" w14:textId="77777777" w:rsidTr="00617863">
        <w:trPr>
          <w:trHeight w:val="266"/>
        </w:trPr>
        <w:tc>
          <w:tcPr>
            <w:tcW w:w="10022" w:type="dxa"/>
            <w:vAlign w:val="bottom"/>
          </w:tcPr>
          <w:p w14:paraId="6C6BE165" w14:textId="2AD103D4" w:rsidR="0072045E" w:rsidRPr="00AA5CA5" w:rsidRDefault="00852D1D" w:rsidP="00F00CEB">
            <w:pPr>
              <w:pStyle w:val="Balk6"/>
              <w:spacing w:line="276" w:lineRule="auto"/>
              <w:jc w:val="right"/>
              <w:rPr>
                <w:b w:val="0"/>
                <w:bCs w:val="0"/>
                <w:sz w:val="18"/>
                <w:szCs w:val="18"/>
              </w:rPr>
            </w:pPr>
            <w:r>
              <w:rPr>
                <w:b w:val="0"/>
                <w:bCs w:val="0"/>
                <w:sz w:val="18"/>
                <w:szCs w:val="18"/>
              </w:rPr>
              <w:t>Cilt: X | Sayı: X | Ocak 2026</w:t>
            </w:r>
          </w:p>
        </w:tc>
      </w:tr>
      <w:tr w:rsidR="0072045E" w14:paraId="4D5EF666" w14:textId="77777777" w:rsidTr="00617863">
        <w:trPr>
          <w:trHeight w:val="123"/>
        </w:trPr>
        <w:tc>
          <w:tcPr>
            <w:tcW w:w="10022" w:type="dxa"/>
            <w:vAlign w:val="bottom"/>
          </w:tcPr>
          <w:p w14:paraId="6A3D6FFE" w14:textId="77777777" w:rsidR="00852D1D" w:rsidRPr="00AA5CA5" w:rsidRDefault="00852D1D" w:rsidP="00852D1D">
            <w:pPr>
              <w:pStyle w:val="Balk6"/>
              <w:spacing w:line="276" w:lineRule="auto"/>
              <w:jc w:val="right"/>
              <w:rPr>
                <w:b w:val="0"/>
                <w:bCs w:val="0"/>
                <w:sz w:val="18"/>
                <w:szCs w:val="18"/>
              </w:rPr>
            </w:pPr>
            <w:r>
              <w:rPr>
                <w:b w:val="0"/>
                <w:bCs w:val="0"/>
                <w:sz w:val="18"/>
                <w:szCs w:val="18"/>
              </w:rPr>
              <w:t>E-ISSN: 0000-0000</w:t>
            </w:r>
          </w:p>
          <w:p w14:paraId="45724F74" w14:textId="1314D48A" w:rsidR="0072045E" w:rsidRPr="00AA5CA5" w:rsidRDefault="00852D1D" w:rsidP="00135382">
            <w:pPr>
              <w:pStyle w:val="Balk6"/>
              <w:spacing w:line="276" w:lineRule="auto"/>
              <w:jc w:val="right"/>
              <w:rPr>
                <w:b w:val="0"/>
                <w:bCs w:val="0"/>
                <w:sz w:val="18"/>
                <w:szCs w:val="18"/>
              </w:rPr>
            </w:pPr>
            <w:r>
              <w:rPr>
                <w:rFonts w:eastAsia="Aptos"/>
                <w:b w:val="0"/>
                <w:bCs w:val="0"/>
                <w:color w:val="auto"/>
                <w:kern w:val="2"/>
                <w:sz w:val="18"/>
                <w:szCs w:val="18"/>
                <w14:ligatures w14:val="standardContextual"/>
              </w:rPr>
              <w:t>DOI: 00.0000/bidek.2026-00-0-0</w:t>
            </w:r>
          </w:p>
        </w:tc>
      </w:tr>
      <w:tr w:rsidR="0072045E" w14:paraId="08BFEA6D" w14:textId="77777777" w:rsidTr="00852D1D">
        <w:trPr>
          <w:trHeight w:val="68"/>
        </w:trPr>
        <w:tc>
          <w:tcPr>
            <w:tcW w:w="10022" w:type="dxa"/>
          </w:tcPr>
          <w:p w14:paraId="4F1F8F0E" w14:textId="22362ACE" w:rsidR="00BF2461" w:rsidRPr="003B0238" w:rsidRDefault="00BF2461" w:rsidP="00390913">
            <w:pPr>
              <w:jc w:val="right"/>
              <w:rPr>
                <w:sz w:val="20"/>
                <w:szCs w:val="20"/>
                <w:lang w:eastAsia="tr-TR"/>
              </w:rPr>
            </w:pPr>
            <w:r>
              <w:rPr>
                <w:lang w:eastAsia="tr-TR"/>
              </w:rPr>
              <w:t xml:space="preserve">                                                                                                                                </w:t>
            </w:r>
          </w:p>
        </w:tc>
      </w:tr>
    </w:tbl>
    <w:p w14:paraId="1E341CD0" w14:textId="77777777" w:rsidR="00C1356D" w:rsidRDefault="009D7711" w:rsidP="00E152AE">
      <w:pPr>
        <w:pStyle w:val="1cilbalk"/>
        <w:rPr>
          <w:vertAlign w:val="superscript"/>
        </w:rPr>
      </w:pPr>
      <w:r>
        <w:rPr>
          <w:noProof/>
          <w:color w:val="C00000"/>
          <w:lang w:eastAsia="tr-TR"/>
        </w:rPr>
        <w:drawing>
          <wp:anchor distT="0" distB="0" distL="114300" distR="114300" simplePos="0" relativeHeight="251659264" behindDoc="1" locked="0" layoutInCell="1" allowOverlap="1" wp14:anchorId="6693DE65" wp14:editId="6CFAB646">
            <wp:simplePos x="0" y="0"/>
            <wp:positionH relativeFrom="column">
              <wp:posOffset>-313690</wp:posOffset>
            </wp:positionH>
            <wp:positionV relativeFrom="paragraph">
              <wp:posOffset>-996314</wp:posOffset>
            </wp:positionV>
            <wp:extent cx="6846209" cy="861060"/>
            <wp:effectExtent l="0" t="0" r="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2452" cy="861845"/>
                    </a:xfrm>
                    <a:prstGeom prst="rect">
                      <a:avLst/>
                    </a:prstGeom>
                  </pic:spPr>
                </pic:pic>
              </a:graphicData>
            </a:graphic>
            <wp14:sizeRelH relativeFrom="page">
              <wp14:pctWidth>0</wp14:pctWidth>
            </wp14:sizeRelH>
            <wp14:sizeRelV relativeFrom="page">
              <wp14:pctHeight>0</wp14:pctHeight>
            </wp14:sizeRelV>
          </wp:anchor>
        </w:drawing>
      </w:r>
      <w:r>
        <w:rPr>
          <w:color w:val="C00000"/>
        </w:rPr>
        <w:t xml:space="preserve">TÜRKİYE–ÇİN İLİŞKİLERİNDE ORTAKLAŞA REKABET: İPEK YOLU TURİZMİ</w:t>
      </w:r>
    </w:p>
    <w:p w14:paraId="764917E6" w14:textId="03454D49" w:rsidR="00C1356D" w:rsidRPr="00C1356D" w:rsidRDefault="00C1356D" w:rsidP="00C1356D">
      <w:pPr>
        <w:jc w:val="center"/>
        <w:rPr>
          <w:color w:val="C00000"/>
          <w:lang w:val="en-US" w:eastAsia="tr-TR"/>
        </w:rPr>
        <w:sectPr w:rsidR="00C1356D" w:rsidRPr="00C1356D" w:rsidSect="007B59E8">
          <w:headerReference w:type="even" r:id="rId10"/>
          <w:footerReference w:type="default" r:id="rId11"/>
          <w:pgSz w:w="12240" w:h="15840"/>
          <w:pgMar w:top="1134" w:right="1134" w:bottom="1134" w:left="1418" w:header="709" w:footer="454" w:gutter="0"/>
          <w:cols w:space="708"/>
          <w:docGrid w:linePitch="360"/>
        </w:sectPr>
      </w:pPr>
    </w:p>
    <w:p w14:paraId="303B3653" w14:textId="2493B3FD" w:rsidR="006F6EE3" w:rsidRDefault="006F6EE3" w:rsidP="00E152AE">
      <w:pPr>
        <w:pStyle w:val="2cilbalk"/>
      </w:pPr>
      <w:r>
        <w:t xml:space="preserve">Coopetition in Türkiye–China Relations: Silk Road Tourism</w:t>
      </w:r>
    </w:p>
    <w:p w14:paraId="6D493837" w14:textId="56D8AA05" w:rsidR="006F6EE3" w:rsidRPr="006F6EE3" w:rsidRDefault="006F6EE3" w:rsidP="006F6EE3">
      <w:pPr>
        <w:spacing w:after="120"/>
        <w:jc w:val="center"/>
      </w:pPr>
    </w:p>
    <w:p w14:paraId="2FCFF4C0" w14:textId="77777777" w:rsidR="00810227" w:rsidRPr="00806A4C" w:rsidRDefault="00E20E70" w:rsidP="007578AF">
      <w:pPr>
        <w:spacing w:before="240" w:after="60" w:line="276" w:lineRule="auto"/>
        <w:jc w:val="center"/>
        <w:rPr>
          <w:sz w:val="20"/>
          <w:szCs w:val="21"/>
        </w:rPr>
      </w:pPr>
      <w:bookmarkStart w:id="2" w:name="_Hlk218278084"/>
      <w:bookmarkEnd w:id="2"/>
    </w:p>
    <w:p w14:paraId="191E6724" w14:textId="032B5106" w:rsidR="00BE179B" w:rsidRPr="00806A4C" w:rsidRDefault="00583EFC" w:rsidP="007578AF">
      <w:pPr>
        <w:spacing w:after="120" w:line="276" w:lineRule="auto"/>
        <w:jc w:val="center"/>
        <w:rPr>
          <w:sz w:val="20"/>
          <w:szCs w:val="21"/>
        </w:rPr>
      </w:pPr>
    </w:p>
    <w:p w14:paraId="43FAF4A0" w14:textId="77777777" w:rsidR="00D61121" w:rsidRDefault="00D61121" w:rsidP="00CE4F27">
      <w:pPr>
        <w:pStyle w:val="solstun"/>
        <w:spacing w:before="0" w:after="0"/>
        <w:ind w:left="-108"/>
        <w:rPr>
          <w:b/>
          <w:bCs w:val="0"/>
          <w:color w:val="C00000"/>
        </w:rPr>
        <w:sectPr w:rsidR="00D61121" w:rsidSect="000E3A54">
          <w:type w:val="continuous"/>
          <w:pgSz w:w="12240" w:h="15840"/>
          <w:pgMar w:top="1134" w:right="1134" w:bottom="1134" w:left="1418" w:header="709" w:footer="709" w:gutter="0"/>
          <w:cols w:space="708"/>
          <w:docGrid w:linePitch="360"/>
        </w:sectPr>
      </w:pPr>
    </w:p>
    <w:tbl>
      <w:tblPr>
        <w:tblStyle w:val="TabloKlavuzu"/>
        <w:tblW w:w="5000" w:type="pct"/>
        <w:tblBorders>
          <w:top w:val="single" w:sz="12" w:space="0" w:color="C0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4"/>
        <w:gridCol w:w="8004"/>
      </w:tblGrid>
      <w:tr w:rsidR="00AA29C1" w:rsidRPr="009642A0" w14:paraId="0D96D60F" w14:textId="77777777" w:rsidTr="007578AF">
        <w:trPr>
          <w:trHeight w:val="5602"/>
        </w:trPr>
        <w:tc>
          <w:tcPr>
            <w:tcW w:w="869" w:type="pct"/>
          </w:tcPr>
          <w:p w14:paraId="01E5362B" w14:textId="1833F489" w:rsidR="00CE4F27" w:rsidRDefault="00CE4F27" w:rsidP="00CE4F27">
            <w:pPr>
              <w:pStyle w:val="solstun"/>
              <w:spacing w:before="0" w:after="0"/>
              <w:ind w:left="-108"/>
              <w:rPr>
                <w:b/>
                <w:bCs w:val="0"/>
                <w:color w:val="C00000"/>
              </w:rPr>
            </w:pPr>
          </w:p>
          <w:p w14:paraId="02D7CC6F" w14:textId="58089ED2" w:rsidR="00AA29C1" w:rsidRPr="00B568DE" w:rsidRDefault="00AA29C1" w:rsidP="001103F3">
            <w:pPr>
              <w:pStyle w:val="solstun"/>
              <w:spacing w:before="240"/>
              <w:ind w:left="-108" w:right="36"/>
              <w:rPr>
                <w:b/>
                <w:bCs w:val="0"/>
                <w:color w:val="C00000"/>
              </w:rPr>
            </w:pPr>
            <w:r>
              <w:rPr>
                <w:b/>
                <w:bCs w:val="0"/>
                <w:color w:val="C00000"/>
              </w:rPr>
              <w:t>Geliş Tarihi</w:t>
            </w:r>
          </w:p>
          <w:p w14:paraId="5798B720" w14:textId="77777777" w:rsidR="00AA29C1" w:rsidRPr="00AA29C1" w:rsidRDefault="00AA29C1" w:rsidP="00812ED2">
            <w:pPr>
              <w:pStyle w:val="Gelitarihi"/>
            </w:pPr>
            <w:r>
              <w:t>01.01.2000</w:t>
            </w:r>
          </w:p>
          <w:p w14:paraId="0E4650A1" w14:textId="2966D1AB" w:rsidR="00AA29C1" w:rsidRPr="00B568DE" w:rsidRDefault="00AA29C1" w:rsidP="003C7257">
            <w:pPr>
              <w:pStyle w:val="solstun"/>
              <w:spacing w:before="0"/>
              <w:ind w:left="-108" w:right="36"/>
              <w:rPr>
                <w:b/>
                <w:bCs w:val="0"/>
                <w:color w:val="C00000"/>
              </w:rPr>
            </w:pPr>
            <w:r>
              <w:rPr>
                <w:b/>
                <w:bCs w:val="0"/>
                <w:color w:val="C00000"/>
              </w:rPr>
              <w:t>Kabul Tarihi</w:t>
            </w:r>
          </w:p>
          <w:p w14:paraId="56CC9CCB" w14:textId="77777777" w:rsidR="00AA29C1" w:rsidRPr="00AA29C1" w:rsidRDefault="00AA29C1" w:rsidP="00F01D71">
            <w:pPr>
              <w:pStyle w:val="solstun"/>
              <w:spacing w:before="0" w:after="120"/>
              <w:ind w:left="-108" w:right="36"/>
            </w:pPr>
            <w:r>
              <w:t>01.01.2000</w:t>
            </w:r>
          </w:p>
          <w:p w14:paraId="3BB95CF5" w14:textId="68865786" w:rsidR="00AA29C1" w:rsidRPr="00B568DE" w:rsidRDefault="00AA29C1" w:rsidP="003C7257">
            <w:pPr>
              <w:pStyle w:val="solstun"/>
              <w:spacing w:before="0"/>
              <w:ind w:left="-108" w:right="36"/>
              <w:rPr>
                <w:b/>
                <w:bCs w:val="0"/>
                <w:color w:val="C00000"/>
              </w:rPr>
            </w:pPr>
            <w:r>
              <w:rPr>
                <w:b/>
                <w:bCs w:val="0"/>
                <w:color w:val="C00000"/>
              </w:rPr>
              <w:t>Yayın Tarihi</w:t>
            </w:r>
          </w:p>
          <w:p w14:paraId="26F793ED" w14:textId="77777777" w:rsidR="00AA29C1" w:rsidRPr="00AA29C1" w:rsidRDefault="00AA29C1" w:rsidP="00F01D71">
            <w:pPr>
              <w:pStyle w:val="solstun"/>
              <w:spacing w:before="0" w:after="120"/>
              <w:ind w:left="-108" w:right="36"/>
            </w:pPr>
            <w:r>
              <w:t>01.01.2000</w:t>
            </w:r>
          </w:p>
          <w:p w14:paraId="44838988" w14:textId="2C2322B4" w:rsidR="00AA29C1" w:rsidRDefault="005A44B8" w:rsidP="00F01D71">
            <w:pPr>
              <w:pStyle w:val="solstun"/>
              <w:ind w:left="-108" w:right="36"/>
            </w:pPr>
            <w:r>
              <w:rPr>
                <w:b/>
                <w:bCs w:val="0"/>
                <w:color w:val="C00000"/>
              </w:rPr>
              <w:t>Anahtar Kelimeler</w:t>
            </w:r>
          </w:p>
          <w:p w14:paraId="255FEF0B" w14:textId="12C2A4E3" w:rsidR="00A27FA1" w:rsidRDefault="00A27FA1" w:rsidP="00F01D71">
            <w:pPr>
              <w:pStyle w:val="solstun"/>
              <w:spacing w:before="0" w:after="0"/>
              <w:ind w:left="-108" w:right="36"/>
            </w:pPr>
            <w:r>
              <w:t xml:space="preserve">Ortaklaşa Rekabet,</w:t>
            </w:r>
          </w:p>
          <w:p w14:paraId="587C3ADB" w14:textId="362C7957" w:rsidR="00E465D0" w:rsidRDefault="00E465D0" w:rsidP="00F01D71">
            <w:pPr>
              <w:pStyle w:val="solstun"/>
              <w:spacing w:before="0" w:after="0"/>
              <w:ind w:left="-108" w:right="36"/>
            </w:pPr>
            <w:r>
              <w:t xml:space="preserve">İpek Yolu Turizmi,</w:t>
            </w:r>
          </w:p>
          <w:p w14:paraId="19712831" w14:textId="7163147A" w:rsidR="00AA69CE" w:rsidRDefault="00E465D0" w:rsidP="00F01D71">
            <w:pPr>
              <w:pStyle w:val="solstun"/>
              <w:spacing w:before="0" w:after="0"/>
              <w:ind w:left="-108" w:right="36"/>
            </w:pPr>
            <w:r>
              <w:t xml:space="preserve">Miras Diplomasisi,</w:t>
            </w:r>
          </w:p>
          <w:p w14:paraId="58C8976D" w14:textId="6986F243" w:rsidR="00AA69CE" w:rsidRDefault="00AA69CE" w:rsidP="00F01D71">
            <w:pPr>
              <w:pStyle w:val="solstun"/>
              <w:spacing w:before="0" w:after="0"/>
              <w:ind w:left="-108" w:right="36"/>
            </w:pPr>
            <w:r>
              <w:t xml:space="preserve">Türkiye–Çin İlişkileri,</w:t>
            </w:r>
          </w:p>
          <w:p w14:paraId="4DFCC3D8" w14:textId="50D77995" w:rsidR="00AA69CE" w:rsidRDefault="00AA69CE" w:rsidP="0098632F">
            <w:pPr>
              <w:pStyle w:val="solstun"/>
              <w:spacing w:before="0" w:after="0"/>
              <w:ind w:left="-108" w:right="36"/>
            </w:pPr>
            <w:r>
              <w:t xml:space="preserve">Ayrıştırma İlkesi.</w:t>
            </w:r>
          </w:p>
          <w:p w14:paraId="6F607963" w14:textId="77777777" w:rsidR="00CF3A67" w:rsidRDefault="00CF3A67" w:rsidP="001103F3">
            <w:pPr>
              <w:pStyle w:val="solstun"/>
              <w:spacing w:before="0"/>
              <w:ind w:right="36"/>
            </w:pPr>
          </w:p>
          <w:p w14:paraId="2D8EBA9E" w14:textId="77777777" w:rsidR="0098632F" w:rsidRDefault="0098632F" w:rsidP="00CF3A67">
            <w:pPr>
              <w:pStyle w:val="solstun"/>
              <w:spacing w:before="0" w:after="0"/>
              <w:ind w:right="36"/>
            </w:pPr>
          </w:p>
          <w:p w14:paraId="69B5315A" w14:textId="6702F343" w:rsidR="00CD20D1" w:rsidRPr="00412B6D" w:rsidRDefault="009D5737" w:rsidP="00CD20D1">
            <w:pPr>
              <w:pStyle w:val="solstun"/>
              <w:spacing w:before="0"/>
              <w:ind w:left="-108" w:right="36"/>
              <w:rPr>
                <w:b/>
                <w:bCs w:val="0"/>
                <w:color w:val="C00000"/>
                <w:lang w:val="en-US"/>
              </w:rPr>
            </w:pPr>
            <w:r>
              <w:rPr>
                <w:b/>
                <w:bCs w:val="0"/>
                <w:color w:val="C00000"/>
                <w:lang w:val="en-US"/>
              </w:rPr>
              <w:t>Submit Date</w:t>
            </w:r>
          </w:p>
          <w:p w14:paraId="67333FDB" w14:textId="77777777" w:rsidR="00CD20D1" w:rsidRPr="00AA29C1" w:rsidRDefault="00CD20D1" w:rsidP="00CD20D1">
            <w:pPr>
              <w:pStyle w:val="solstun"/>
              <w:spacing w:before="0" w:after="120"/>
              <w:ind w:left="-108" w:right="36"/>
              <w:rPr>
                <w:lang w:val="en-US"/>
              </w:rPr>
            </w:pPr>
            <w:r>
              <w:rPr>
                <w:lang w:val="en-US"/>
              </w:rPr>
              <w:t>01.01.2000</w:t>
            </w:r>
          </w:p>
          <w:p w14:paraId="34259F8F" w14:textId="304C6101" w:rsidR="00CD20D1" w:rsidRPr="00412B6D" w:rsidRDefault="009D5737" w:rsidP="00CD20D1">
            <w:pPr>
              <w:pStyle w:val="solstun"/>
              <w:spacing w:before="0"/>
              <w:ind w:left="-108" w:right="36"/>
              <w:rPr>
                <w:b/>
                <w:bCs w:val="0"/>
                <w:color w:val="C00000"/>
                <w:lang w:val="en-US"/>
              </w:rPr>
            </w:pPr>
            <w:r>
              <w:rPr>
                <w:b/>
                <w:bCs w:val="0"/>
                <w:color w:val="C00000"/>
                <w:lang w:val="en-US"/>
              </w:rPr>
              <w:t>Accept Date</w:t>
            </w:r>
          </w:p>
          <w:p w14:paraId="2266F31D" w14:textId="77777777" w:rsidR="00CD20D1" w:rsidRPr="00AA29C1" w:rsidRDefault="00CD20D1" w:rsidP="00CD20D1">
            <w:pPr>
              <w:pStyle w:val="solstun"/>
              <w:spacing w:before="0" w:after="120"/>
              <w:ind w:left="-108" w:right="36"/>
              <w:rPr>
                <w:lang w:val="en-US"/>
              </w:rPr>
            </w:pPr>
            <w:r>
              <w:rPr>
                <w:lang w:val="en-US"/>
              </w:rPr>
              <w:t>01.01.2000</w:t>
            </w:r>
          </w:p>
          <w:p w14:paraId="628961EB" w14:textId="38DDC4E3" w:rsidR="00CD20D1" w:rsidRPr="00412B6D" w:rsidRDefault="009D5737" w:rsidP="00CD20D1">
            <w:pPr>
              <w:pStyle w:val="solstun"/>
              <w:spacing w:before="0"/>
              <w:ind w:left="-108" w:right="36"/>
              <w:rPr>
                <w:b/>
                <w:bCs w:val="0"/>
                <w:color w:val="C00000"/>
                <w:lang w:val="en-US"/>
              </w:rPr>
            </w:pPr>
            <w:r>
              <w:rPr>
                <w:b/>
                <w:bCs w:val="0"/>
                <w:color w:val="C00000"/>
                <w:lang w:val="en-US"/>
              </w:rPr>
              <w:t>Publish Date</w:t>
            </w:r>
          </w:p>
          <w:p w14:paraId="4B7E7207" w14:textId="77777777" w:rsidR="00CD20D1" w:rsidRPr="00AA29C1" w:rsidRDefault="00CD20D1" w:rsidP="00CD20D1">
            <w:pPr>
              <w:pStyle w:val="solstun"/>
              <w:spacing w:before="0" w:after="120"/>
              <w:ind w:left="-108" w:right="36"/>
              <w:rPr>
                <w:lang w:val="en-US"/>
              </w:rPr>
            </w:pPr>
            <w:r>
              <w:rPr>
                <w:lang w:val="en-US"/>
              </w:rPr>
              <w:t>01.01.2000</w:t>
            </w:r>
          </w:p>
          <w:p w14:paraId="4CE94179" w14:textId="7B6A315B" w:rsidR="00CD20D1" w:rsidRPr="00412B6D" w:rsidRDefault="009D5737" w:rsidP="00CD20D1">
            <w:pPr>
              <w:pStyle w:val="solstun"/>
              <w:ind w:left="-108" w:right="36"/>
              <w:rPr>
                <w:lang w:val="en-US"/>
              </w:rPr>
            </w:pPr>
            <w:r>
              <w:rPr>
                <w:b/>
                <w:bCs w:val="0"/>
                <w:color w:val="C00000"/>
                <w:lang w:val="en-US"/>
              </w:rPr>
              <w:t>Keywords</w:t>
            </w:r>
          </w:p>
          <w:p w14:paraId="2B818B03" w14:textId="40E8044C" w:rsidR="00CD20D1" w:rsidRPr="00412B6D" w:rsidRDefault="00D40593" w:rsidP="00CD20D1">
            <w:pPr>
              <w:pStyle w:val="solstun"/>
              <w:spacing w:before="0" w:after="0"/>
              <w:ind w:left="-108" w:right="36"/>
              <w:rPr>
                <w:lang w:val="en-US"/>
              </w:rPr>
            </w:pPr>
            <w:r>
              <w:rPr>
                <w:lang w:val="en-US"/>
              </w:rPr>
              <w:t xml:space="preserve">Coopetition,</w:t>
            </w:r>
          </w:p>
          <w:p w14:paraId="23BEB394" w14:textId="1FF9B220" w:rsidR="00CD20D1" w:rsidRPr="00412B6D" w:rsidRDefault="00D40593" w:rsidP="00CD20D1">
            <w:pPr>
              <w:pStyle w:val="solstun"/>
              <w:spacing w:before="0" w:after="0"/>
              <w:ind w:left="-108" w:right="36"/>
              <w:rPr>
                <w:lang w:val="en-US"/>
              </w:rPr>
            </w:pPr>
            <w:r>
              <w:rPr>
                <w:lang w:val="en-US"/>
              </w:rPr>
              <w:t xml:space="preserve">Silk Road Tourism,</w:t>
            </w:r>
          </w:p>
          <w:p w14:paraId="65FC0529" w14:textId="49333949" w:rsidR="00CD20D1" w:rsidRPr="00412B6D" w:rsidRDefault="00D40593" w:rsidP="00CD20D1">
            <w:pPr>
              <w:pStyle w:val="solstun"/>
              <w:spacing w:before="0" w:after="0"/>
              <w:ind w:left="-108" w:right="36"/>
              <w:rPr>
                <w:lang w:val="en-US"/>
              </w:rPr>
            </w:pPr>
            <w:r>
              <w:rPr>
                <w:lang w:val="en-US"/>
              </w:rPr>
              <w:t xml:space="preserve">Heritage Diplomacy,</w:t>
            </w:r>
          </w:p>
          <w:p w14:paraId="105EF247" w14:textId="4D29802F" w:rsidR="00CD20D1" w:rsidRPr="00412B6D" w:rsidRDefault="00D40593" w:rsidP="00CD20D1">
            <w:pPr>
              <w:pStyle w:val="solstun"/>
              <w:spacing w:before="0" w:after="0"/>
              <w:ind w:left="-108" w:right="36"/>
              <w:rPr>
                <w:lang w:val="en-US"/>
              </w:rPr>
            </w:pPr>
            <w:r>
              <w:rPr>
                <w:lang w:val="en-US"/>
              </w:rPr>
              <w:t xml:space="preserve">Türkiye–China Relations,</w:t>
            </w:r>
          </w:p>
          <w:p w14:paraId="264DA4A5" w14:textId="4C275CAC" w:rsidR="003C7257" w:rsidRPr="005E0BB1" w:rsidRDefault="00D40593" w:rsidP="005E0BB1">
            <w:pPr>
              <w:pStyle w:val="solstun"/>
              <w:spacing w:before="0" w:after="0"/>
              <w:ind w:left="-108" w:right="36"/>
            </w:pPr>
            <w:r>
              <w:rPr>
                <w:lang w:val="en-US"/>
              </w:rPr>
              <w:t xml:space="preserve">Separation Principle.</w:t>
            </w:r>
          </w:p>
        </w:tc>
        <w:tc>
          <w:tcPr>
            <w:tcW w:w="4131" w:type="pct"/>
          </w:tcPr>
          <w:sdt>
            <w:sdtPr>
              <w:rPr>
                <w:color w:val="C00000"/>
                <w:sz w:val="20"/>
                <w:szCs w:val="20"/>
              </w:rPr>
              <w:id w:val="-1236009116"/>
              <w:placeholder>
                <w:docPart w:val="DefaultPlaceholder_-1854013438"/>
              </w:placeholder>
              <w:dropDownList>
                <w:listItem w:displayText="BİR ÖĞE SEÇİN / SELECT AN ITEM" w:value="BİR ÖĞE SEÇİN / SELECT AN ITEM"/>
                <w:listItem w:displayText="ÖZ" w:value="ÖZ"/>
                <w:listItem w:displayText="ABSTRACT" w:value="ABSTRACT"/>
                <w:listItem w:displayText="ZUSAMMENFASSUNG" w:value="ZUSAMMENFASSUNG"/>
              </w:dropDownList>
            </w:sdtPr>
            <w:sdtContent>
              <w:p w14:paraId="45535CD3" w14:textId="3B2B0280" w:rsidR="00AA29C1" w:rsidRPr="00D65EAD" w:rsidRDefault="00E152AE" w:rsidP="00CA70A8">
                <w:pPr>
                  <w:pStyle w:val="Balk6"/>
                  <w:spacing w:before="240"/>
                  <w:ind w:left="-111" w:right="-106"/>
                  <w:rPr>
                    <w:color w:val="C00000"/>
                    <w:sz w:val="20"/>
                    <w:szCs w:val="20"/>
                  </w:rPr>
                </w:pPr>
                <w:r>
                  <w:rPr>
                    <w:color w:val="C00000"/>
                    <w:sz w:val="20"/>
                    <w:szCs w:val="20"/>
                  </w:rPr>
                  <w:t>ÖZ</w:t>
                </w:r>
              </w:p>
            </w:sdtContent>
          </w:sdt>
          <w:p w14:paraId="6B276666" w14:textId="190F81C3" w:rsidR="002C246F" w:rsidRPr="002C246F" w:rsidRDefault="00301139" w:rsidP="00222017">
            <w:pPr>
              <w:pStyle w:val="zet"/>
              <w:rPr>
                <w:lang w:val="en-US"/>
              </w:rPr>
            </w:pPr>
            <w:r>
              <w:rPr/>
              <w:t xml:space="preserve">Türkiye ile Çin, İpek Yolu'nu ortak bir miras olarak sunan güçlü bir iş birliği söylemine sahiptir; buna karşın Çin uyruklu girişler 2013–2025 döneminde üç katına çıkmasına rağmen Türkiye'ye yapılan toplam yabancı girişlerin hiçbir yıl yüzde birini aşmamıştır. Literatür bu açığı iş birliğinin önündeki engellerle açıklarken, bu çalışma ilişkinin kendisine bakmakta ve iki ülkenin aynı mirası paylaşırken onun üzerinde rekabet de edip etmediğini ortaklaşa rekabet kuramıyla incelemektedir. Kuramın ayrıştırma ilkesine göre iş birliği müşteriden uzak, rekabet müşteriye yakın faaliyetlerde yoğunlaşır. Bu öngörüyü sınamak için 2010–2026 dönemine ait 49 resmî belge 368 anlam birimine ayrılmış ve bağlantısallık, turist akışı, anlatı ve değer yakalama alanlarında iki bağımsız kodlayıcı tarafından açık işaretlere dayalı bir şemayla kodlanmıştır. </w:t>
            </w:r>
            <w:r>
              <w:rPr>
                <w:highlight w:val="yellow"/>
              </w:rPr>
              <w:t xml:space="preserve">BULGU: Rekabet kodlarının payı bağlantısallıkta %__ iken değer yakalamada %__'dir; dolayısıyla ayrıştırma ilkesi desteklenmektedir / kısmen desteklenmektedir / desteklenmemektedir.</w:t>
            </w:r>
            <w:r>
              <w:rPr/>
              <w:t xml:space="preserve"> </w:t>
            </w:r>
            <w:r>
              <w:rPr>
                <w:highlight w:val="yellow"/>
              </w:rPr>
              <w:t xml:space="preserve">SONUÇ: tek cümle, Tartışma ve Sonuç bölümündeki ana iddiayla aynı.</w:t>
            </w:r>
            <w:r>
              <w:rPr/>
              <w:t xml:space="preserve"> Bu sonuç, paylaşılan İpek Yolu mirasının nötr bir ortak varlıktan çok ortaklaşa rekabetin nesnesi olarak işlediğini düşündürmektedir.</w:t>
            </w:r>
          </w:p>
          <w:sdt>
            <w:sdtPr>
              <w:rPr>
                <w:color w:val="C00000"/>
                <w:sz w:val="20"/>
                <w:szCs w:val="20"/>
                <w:lang w:val="en-GB"/>
              </w:rPr>
              <w:id w:val="-236319989"/>
              <w:placeholder>
                <w:docPart w:val="DefaultPlaceholder_-1854013438"/>
              </w:placeholder>
              <w:dropDownList>
                <w:listItem w:displayText="BİR ÖĞE SEÇİN / SELECT AN ITEM" w:value="BİR ÖĞE SEÇİN / SELECT AN ITEM"/>
                <w:listItem w:displayText="ÖZ" w:value="ÖZ"/>
                <w:listItem w:displayText="ABSTRACT" w:value="ABSTRACT"/>
                <w:listItem w:displayText="ZUSAMMENFASSUNG" w:value="ZUSAMMENFASSUNG"/>
              </w:dropDownList>
            </w:sdtPr>
            <w:sdtContent>
              <w:p w14:paraId="22E80271" w14:textId="4152F328" w:rsidR="00AA29C1" w:rsidRPr="00D65EAD" w:rsidRDefault="00A444F1" w:rsidP="00CA70A8">
                <w:pPr>
                  <w:pStyle w:val="Balk6"/>
                  <w:spacing w:before="240"/>
                  <w:ind w:left="-111" w:right="-106"/>
                  <w:rPr>
                    <w:rFonts w:cstheme="minorHAnsi"/>
                    <w:color w:val="C00000"/>
                    <w:sz w:val="20"/>
                    <w:szCs w:val="20"/>
                    <w:lang w:val="en-GB"/>
                  </w:rPr>
                </w:pPr>
                <w:r>
                  <w:rPr>
                    <w:color w:val="C00000"/>
                    <w:sz w:val="20"/>
                    <w:szCs w:val="20"/>
                    <w:lang w:val="en-GB"/>
                  </w:rPr>
                  <w:t>ABSTRACT</w:t>
                </w:r>
              </w:p>
            </w:sdtContent>
          </w:sdt>
          <w:p w14:paraId="39B2709C" w14:textId="503F8545" w:rsidR="00AA29C1" w:rsidRPr="00310F55" w:rsidRDefault="002C246F" w:rsidP="00222017">
            <w:pPr>
              <w:pStyle w:val="zet"/>
              <w:rPr>
                <w:lang w:val="en-US"/>
              </w:rPr>
            </w:pPr>
            <w:r>
              <w:rPr>
                <w:lang w:val="en-US"/>
              </w:rPr>
              <w:t xml:space="preserve">Türkiye and China share a strong discourse of cooperation that presents the Silk Road as a common heritage; yet although arrivals of Chinese nationals in Türkiye tripled between 2013 and 2025, they never exceeded one per cent of all foreign arrivals. While the literature explains this gap by obstacles to cooperation, this study looks at the relationship itself and uses coopetition theory to ask whether the two countries also compete over the heritage they share. According to the separation principle of the theory, cooperation concentrates in activities far from the customer and competition in activities close to the customer. To test this prediction, 49 official documents from 2010–2026 were divided into 368 meaning units, which two independent coders coded across the domains of connectivity, tourist flows, narrative and value capture using a scheme based on manifest markers. </w:t>
            </w:r>
            <w:r>
              <w:rPr>
                <w:lang w:val="en-US"/>
                <w:highlight w:val="yellow"/>
              </w:rPr>
              <w:t xml:space="preserve">FINDING: The share of competition codes is __% in connectivity and __% in value capture; the separation principle is therefore supported / partially supported / not supported.</w:t>
            </w:r>
            <w:r>
              <w:rPr>
                <w:lang w:val="en-US"/>
              </w:rPr>
              <w:t xml:space="preserve"> </w:t>
            </w:r>
            <w:r>
              <w:rPr>
                <w:lang w:val="en-US"/>
                <w:highlight w:val="yellow"/>
              </w:rPr>
              <w:t xml:space="preserve">CONCLUSION: one sentence, mirroring the Turkish Öz.</w:t>
            </w:r>
            <w:r>
              <w:rPr>
                <w:lang w:val="en-US"/>
              </w:rPr>
              <w:t xml:space="preserve"> This suggests that the shared Silk Road heritage operates less as a neutral common asset than as the object of coopetition.</w:t>
            </w:r>
          </w:p>
        </w:tc>
      </w:tr>
    </w:tbl>
    <w:p w14:paraId="07EA2D7F" w14:textId="4DA9FA91" w:rsidR="00603456" w:rsidRPr="004A7BA8" w:rsidRDefault="00C13986" w:rsidP="00CD392A">
      <w:pPr>
        <w:pStyle w:val="birincidzeybalk"/>
        <w:pageBreakBefore/>
      </w:pPr>
      <w:r>
        <w:rPr/>
        <w:t xml:space="preserve">1. Giriş</w:t>
      </w:r>
    </w:p>
    <w:p w14:paraId="67145077" w14:textId="61F759BA" w:rsidR="004724F9" w:rsidRDefault="00FC5974" w:rsidP="001B50BE">
      <w:pPr>
        <w:pStyle w:val="Gvdemetin"/>
      </w:pPr>
      <w:r>
        <w:rPr/>
        <w:t xml:space="preserve">Türkiye ile Çin, İpek Yolu olarak anılan tarihî güzergâhın iki ucunda durmaktadır ve iki ülkenin resmî metinleri bu konumu ortak bir mirasın paylaşımı olarak anlatır. Son on yıldaki adımlar da bu anlatıyı izler: Türkiye 2015'te Antalya'da imzalanan mutabakat zaptıyla Orta Koridor'u Kuşak ve Yol Girişimi ile uyumlaştırmış (Resmî Gazete, 2017), 2018 yılı Çin'de Türkiye Turizm Yılı olarak kutlanmış (Niu ve Li, 2019), 2024'te iki ülkenin kültür ve turizm bakanlıkları bir turizm iş birliği mutabakatı imzalamış (Çin Halk Cumhuriyeti Kültür ve Turizm Bakanlığı, 2024) ve Türkiye 2 Ocak 2026'dan itibaren Çin vatandaşlarına tek taraflı vize muafiyeti tanımıştır (Türkiye Turizm Tanıtım ve Geliştirme Ajansı [TGA], 2026). Bu adımlar art arda okunduğunda açık bir beklenti ortaya çıkar: miras ortaksa ve iş birliği kurulmuşsa, Çinli turistin de gelmesi gerekir.</w:t>
      </w:r>
    </w:p>
    <w:p w14:paraId="67145077" w14:textId="61F759BA" w:rsidR="004724F9" w:rsidRDefault="00FC5974" w:rsidP="001B50BE">
      <w:pPr>
        <w:pStyle w:val="Gvdemetin"/>
      </w:pPr>
      <w:r>
        <w:rPr/>
        <w:t xml:space="preserve">Veri bu beklentiyi ancak kısmen karşılamaktadır. Türkiye'ye giriş yapan Çin uyruklu kişi sayısı 2013'te 138.876 iken 2019'da 426.344'e yükselmiş ve 2025'te 425.348 olmuştur (Türkiye İstatistik Kurumu [TÜİK], 2026). Sayı üç katına çıkmıştır; buna karşın Çin uyrukluların toplam yabancı girişler içindeki payı hiçbir yıl yüzde biri aşmamış, en yüksek değerine 2018'de %0,998 ile ulaşmıştır. Başka bir deyişle, on yılı aşan iş birliği söylemi, altyapı anlaşmaları ve tanıtım kampanyaları, dünyanın en büyük kaynak pazarlarından birinden gelen akışı Türkiye'nin ziyaretçi profilinde marjinal bir paydan öteye taşıyamamıştır. Bu çalışmanın çıkış noktası, söylem ile akış arasındaki bu açıktır.</w:t>
      </w:r>
    </w:p>
    <w:p w14:paraId="67145077" w14:textId="61F759BA" w:rsidR="004724F9" w:rsidRDefault="00FC5974" w:rsidP="001B50BE">
      <w:pPr>
        <w:pStyle w:val="Gvdemetin"/>
      </w:pPr>
      <w:r>
        <w:rPr/>
        <w:t xml:space="preserve">Açığı açıklamanın alışılmış yolu, iş birliğinin önündeki engelleri saymaktır: güvenlik algısı, dil, uçuş kapasitesi ve coğrafi uzaklık. Bu açıklama, engeller kalktığında iş birliğinin kendiliğinden turiste dönüşeceğini varsayar. Oysa sorun engellerde değil, ilişkinin kendisinde olabilir. İki ülke İpek Yolu mirası üzerinde yalnızca iş birliği yapmıyor, aynı zamanda bu mirasın hikâyesini kimin anlatacağı, rotanın merkezinin nerede olduğu ve turist harcamasının hangi tarafta kalacağı konusunda rekabet de ediyor olabilir. Yönetim literatüründe bu eşzamanlılığa ortaklaşa rekabet (coopetition) denir ve bu literatür, iş birliği ile rekabetin aynı ilişkide farklı faaliyetlere ayrıştığını öngörür. Bu öngörü doğruysa, iş birliğinin turiste uzak alanlarda toplanması ve turiste yakın alanlarda rekabete dönüşmesi söylem ile akış arasındaki açığı açıklayabilir.</w:t>
      </w:r>
    </w:p>
    <w:p w14:paraId="67145077" w14:textId="61F759BA" w:rsidR="004724F9" w:rsidRDefault="00FC5974" w:rsidP="001B50BE">
      <w:pPr>
        <w:pStyle w:val="Gvdemetin"/>
      </w:pPr>
      <w:r>
        <w:rPr/>
        <w:t xml:space="preserve">Bu olasılık iki soruyu gündeme getirmektedir. Birincisi, 2010–2026 döneminde Türkiye ve Çin'in İpek Yolu turizm mirası üzerinde hangi alanlarda iş birliği, hangi alanlarda rekabet yürüttüğü ve bu dağılımın faaliyetin turiste yakınlığına göre ayrışıp ayrışmadığıdır. İkincisi, iki ülkenin iş birliği söylemi ve anlaşmalarının Türkiye'ye yönelik Çin uyruklu girişlere ne ölçüde yansıdığıdır. Birinci soru, iki ülkenin ikili ve tek taraflı resmî belgelerinden oluşan 49 resmî belgenin sistematik doküman analiziyle; ikinci soru ise TÜİK'in giriş serisinin betimsel okumasıyla yanıtlanmaktadır.</w:t>
      </w:r>
    </w:p>
    <w:p w14:paraId="67145077" w14:textId="61F759BA" w:rsidR="004724F9" w:rsidRDefault="00FC5974" w:rsidP="001B50BE">
      <w:pPr>
        <w:pStyle w:val="Gvdemetin"/>
      </w:pPr>
      <w:r>
        <w:rPr/>
        <w:t xml:space="preserve">Bu yanıtların katkısı üç düzeydedir. Kuramsal düzeyde, firmalar ve destinasyonlar için geliştirilen ayrıştırma ilkesi ilk kez iki devlet arasındaki miras turizmine taşınmaktadır. Kavramsal düzeyde, "paylaşılan İpek Yolu" söyleminin ortaklık ile sahiplik iddiasını aynı anda taşıyabildiği gösterilmekte, bu nedenle İpek Yolu mirası nötr bir ortak varlık olarak değil, ortaklaşa rekabetin nesnesi olarak ele alınmaktadır. Uygulama düzeyinde ise Türkiye'nin Çin pazarına yönelik politikasının hangi alanlarda iş birliğinden, hangi alanlarda farklılaşmadan yarar sağlayabileceği gösterilmektedir. Bu amaçla makale şu sırayı izlemektedir: Kuramsal Çerçeve bölümü literatürdeki iş birliği uzlaşısını, miras siyasetinin bu uzlaşıya itirazını ve iki okumayı birleştiren ortaklaşa rekabet çerçevesini kurarak beş önerme türetmekte; Yöntem bölümü incelenen belgeleri, kodlama şemasını ve güvenirlik sürecini anlatmakta; Bulgular bölümü önermeleri sırasıyla değerlendirmekte; Tartışma ve Sonuç bölümü ise bulguları kurama ve politikaya bağlamaktadır.</w:t>
      </w:r>
    </w:p>
    <w:p w14:paraId="07EA2D7F" w14:textId="4DA9FA91" w:rsidR="00603456" w:rsidRPr="004A7BA8" w:rsidRDefault="00C13986" w:rsidP="00CD392A">
      <w:pPr>
        <w:pStyle w:val="birincidzeybalk"/>
      </w:pPr>
      <w:r>
        <w:rPr/>
        <w:t xml:space="preserve">2. Kuramsal Çerçeve</w:t>
      </w:r>
    </w:p>
    <w:p w14:paraId="11F4FB04" w14:textId="34BB8FD9" w:rsidR="002A3F34" w:rsidRDefault="00F6431C" w:rsidP="007055A5">
      <w:pPr>
        <w:pStyle w:val="ikincidzeybalk"/>
      </w:pPr>
      <w:r>
        <w:rPr>
          <w:szCs w:val="22"/>
        </w:rPr>
        <w:t xml:space="preserve">2.1. Türkiye–Çin Turizm Literatüründe Sınanmamış Bir İş Birliği Uzlaşısı</w:t>
      </w:r>
    </w:p>
    <w:p w14:paraId="67145077" w14:textId="61F759BA" w:rsidR="004724F9" w:rsidRDefault="00FC5974" w:rsidP="001B50BE">
      <w:pPr>
        <w:pStyle w:val="Gvdemetin"/>
      </w:pPr>
      <w:r>
        <w:rPr/>
        <w:t xml:space="preserve">Türkiye–Çin turizm literatürünün ortak bir başlangıç noktası vardır: iki ülke arasındaki ilişki, Kuşak ve Yol Girişimi'nin açtığı bir kazan-kazan alanı olarak görülür. Bu bakışa göre turizm, girişimin halklar arası boyutunun en somut parçasıdır; 2018'de Çin'de kutlanan Türkiye Turizm Yılı da bunun kanıtı olarak sunulur (Niu ve Li, 2019). Türkçe çalışmalar aynı varsayımdan hareketle girişimin Türkiye'ye daha fazla Çinli turist getireceğini ve yeni pazarlar açacağını öngörür (İbiş, 2019; Kılıç, 2021; Palidan, 2024). İlişki baştan iş birliği olarak tanımlanınca, karşılaşılan sorunlar da ilişkinin doğasına değil, iş birliğinin önündeki engellere bağlanır: güvenlik kaygısı, siyasi anlaşmazlıklar ve Çince rehber eksikliği (Akyılmaz, 2021; Niu ve Li, 2019). Böylece engeller kalktığında iş birliğinin kendiliğinden turist akışına dönüşeceği varsayılmış olur.</w:t>
      </w:r>
    </w:p>
    <w:p w14:paraId="67145077" w14:textId="61F759BA" w:rsidR="004724F9" w:rsidRDefault="00FC5974" w:rsidP="001B50BE">
      <w:pPr>
        <w:pStyle w:val="Gvdemetin"/>
      </w:pPr>
      <w:r>
        <w:rPr/>
        <w:t xml:space="preserve">Bu varsayımın iki zayıf yanı vardır. Birincisi, ampirik dayanağı yoktur. Girişimin turizmde doğuracağı sinerjinin ölçülmediğini bu literatür de kabul eder; kazanımların taraflar arasında nasıl paylaşılacağı sorusunu da açık bırakır (Kılıç, 2021; Zengin ve Koç, 2021). İkincisi, iki ülke ilişkisinin bütününe bakan uluslararası ilişkiler literatürüyle çelişir. Bu literatüre göre Türkiye ile Çin 2010'dan bu yana düşük düzeyli bir stratejik iş birliğinde kalmış, birbirlerini aynı anda ekonomik ortak, siyasi rakip ve güvenlik rakibi olarak görmüştür (Wang ve Sun, 2024). Bağlantısallıktaki uyum bile koşulludur: Kuşak ve Yol ile Orta Koridor ayrı ayrı tasarlanmıştır ve aralarındaki sinerji ikili ilişkinin niteliğine bağlıdır (Akçay ve Guo, 2023; Chaziza, 2021). İlişkinin geneli hem iş birliği hem rekabet içeriyorsa, turizmin bu karışımın dışında kaldığını varsaymak için bir neden yoktur. Turizm literatürünün sormadığı soru da budur: İpek Yolu turizminde iş birliği hangi alanlarda, rekabet hangi alanlarda yoğunlaşmaktadır? Bu sorunun cevabı, iki ülkenin ortak saydığı mirasın kendisinde aranmalıdır.</w:t>
      </w:r>
    </w:p>
    <w:p w14:paraId="11F4FB04" w14:textId="34BB8FD9" w:rsidR="002A3F34" w:rsidRDefault="00F6431C" w:rsidP="007055A5">
      <w:pPr>
        <w:pStyle w:val="ikincidzeybalk"/>
      </w:pPr>
      <w:r>
        <w:rPr>
          <w:szCs w:val="22"/>
        </w:rPr>
        <w:t xml:space="preserve">2.2. "Paylaşılan" İpek Yolu: Ortak Miras ile Anlatı Otoritesi Arasında</w:t>
      </w:r>
    </w:p>
    <w:p w14:paraId="67145077" w14:textId="61F759BA" w:rsidR="004724F9" w:rsidRDefault="00FC5974" w:rsidP="001B50BE">
      <w:pPr>
        <w:pStyle w:val="Gvdemetin"/>
      </w:pPr>
      <w:r>
        <w:rPr/>
        <w:t xml:space="preserve">Mirasa bakıldığında, turizm literatüründeki uzlaşının ikinci bir varsayıma dayandığı görülür: İpek Yolu, iki ülkenin aynı gözle baktığı nötr bir ortak varlık sayılır. Miras diplomasisi literatürü bu varsayımı sarsar, çünkü mirasın iki yüzü olduğunu gösterir. Bir yüzünde miras, hükümetler arası iş birliğinin ve kültürel yardımın aracıdır; miras diplomasisi kavramı da miras siyasetini yalnızca çatışma üzerinden okuyan çalışmaları dengelemek için önerilmiştir (Winter, 2015). Bu çalışmada miras diplomasisi, mirasın devletlerarası ilişkilerde iş birliği ve nüfuz aracı olarak kullanılması anlamına gelir ve ortak miras söylemi ile UNESCO adaylıkları üzerinden izlenir. Öteki yüzünde ise aynı miras ulusal hedeflerin taşıyıcısıdır. İpek Yolu, İkinci Dünya Savaşı'ndan sonra barış ve kültürlerarası diyalogla özdeşleşen romantik bir imgeye dönüşmüş, fakat bu imgenin içinde İpek Yolu diplomasisi milliyetçi ve jeopolitik hırslara hizmet etmiştir (Winter, 2020). Kuşak ve Yol, bu iki yüzü tek bir tasarımda buluşturur: İpek Yolları bir yandan iş birliği ve bağlantısallık için platform sunar, öte yandan Çin'e "medeniyet devleti" olarak jeokültürel gücünü seferber etme imkânı verir (Winter, 2021a, 2021b).</w:t>
      </w:r>
    </w:p>
    <w:p w14:paraId="67145077" w14:textId="61F759BA" w:rsidR="004724F9" w:rsidRDefault="00FC5974" w:rsidP="001B50BE">
      <w:pPr>
        <w:pStyle w:val="Gvdemetin"/>
      </w:pPr>
      <w:r>
        <w:rPr/>
        <w:t xml:space="preserve">İki yüzün düğümlendiği yer "paylaşılan miras" ifadesidir. UNESCO mirasın uluslararası ölçekte paylaşılmasını teşvik eder; ancak paylaşmanın ne anlama geldiği her aktör için farklıdır ve bu fark birbirine karşıt sahiplenmelere ve rakip toprak senaryolarına yol açar (Debarbieux vd., 2023). Türkiye bu çekişmenin dışında değil, içindedir. Karagöz'ü 2009'da Yunanistan'ı dahil etmeden aday göstermesi iki ülke arasında anlaşmazlığa yol açmış (Debarbieux vd., 2023); Mevlana ve Nevruz da İran ile süren rekabette hem ulus inşasının hem yumuşak gücün aracına dönüşmüştür (Mozaffari ve Akbar, 2024). Geleneksel Türk okçuluğunun mirasa dönüştürülmesi de aynı mantıkla çok ölçekli ve hegemonik bir anlam kurma süreci olarak okunmuştur (Hisarlıoğlu ve Yanık, 2025). Bu örnekler, rekabetçi miras kullanımının yalnızca Çin'e özgü olmadığını gösterir; Türk tarafının İpek Yolu anlatısı da aynı gözle okunmalıdır.</w:t>
      </w:r>
    </w:p>
    <w:p w14:paraId="67145077" w14:textId="61F759BA" w:rsidR="004724F9" w:rsidRDefault="00FC5974" w:rsidP="001B50BE">
      <w:pPr>
        <w:pStyle w:val="Gvdemetin"/>
      </w:pPr>
      <w:r>
        <w:rPr/>
        <w:t xml:space="preserve">Çin cephesinde aynı düğüm daha büyük ölçekte görülür. Çin'in Kazakistan ve Kırgızistan ile hazırladığı ortak UNESCO adaylığına ilişkin medya metinleri, iş birliğini paylaşılan bir geçmiş üzerinden kurarken çatışma ve rekabet belleğini dışarıda bırakan Sinomerkezci bir tarihselleştirme taşımaktadır (Sciorati, 2023). Aynı projede Çin'in batı rotalarına yaptığı vurgu Japonya ve Güney Kore'nin tepkisini çekmiş, böylece ulusötesi bir miras projesinin rekabetçi yüzü görünür hâle gelmiştir (Nakano, 2023). Bu eğilim turizm metinlerine de taşınır. İpek Yolları "Doğu ile Batı" ya da "Çin ile Roma" arasında bir köprü olarak soyutlandıkça, paylaşılan miras retoriği aldatıcı biçimde dışlayıcı bir hâl alır (Brown ve O'Brien, 2025); Avrupa'da bile İpek Yolu varlıkları bölgesel destinasyon markası kurmanın malzemesi olarak kullanılmaktadır (Kostopoulou vd., 2021). Sonuç olarak "paylaşılan" sözcüğü iki farklı anlam taşır: turizm literatüründe ortaklığı, miras siyaseti literatüründe sahiplik iddiasını. Türkiye'yi Asya ile Avrupa arasında bir köprü olarak konumlayan yerli okuma (Palidan, 2024) ile Çin merkezli tarihselleştirme, aynı mirası farklı merkezlerden okumaktadır. İki anlam aynı ikilide birlikte geçerliyse, bu ilişkiyi ne saf iş birliği ne saf rekabet olarak açıklamak mümkündür; ikisini birlikte kavrayan bir çerçeveye ihtiyaç vardır.</w:t>
      </w:r>
    </w:p>
    <w:p w14:paraId="11F4FB04" w14:textId="34BB8FD9" w:rsidR="002A3F34" w:rsidRDefault="00F6431C" w:rsidP="007055A5">
      <w:pPr>
        <w:pStyle w:val="ikincidzeybalk"/>
      </w:pPr>
      <w:r>
        <w:rPr>
          <w:szCs w:val="22"/>
        </w:rPr>
        <w:t xml:space="preserve">2.3. Ortaklaşa Rekabet: Değer Oluşturma ile Değer Yakalamanın Ayrıştırılması</w:t>
      </w:r>
    </w:p>
    <w:p w14:paraId="67145077" w14:textId="61F759BA" w:rsidR="004724F9" w:rsidRDefault="00FC5974" w:rsidP="001B50BE">
      <w:pPr>
        <w:pStyle w:val="Gvdemetin"/>
      </w:pPr>
      <w:r>
        <w:rPr/>
        <w:t xml:space="preserve">Bu çerçeveyi ortaklaşa rekabet kavramı sağlar, çünkü kavram iş birliği ile rekabeti birbirinin alternatifi olarak değil, aynı ilişkinin iki parçası olarak ele alır. Ortaklaşa rekabet, iki firmanın bazı faaliyetlerde iş birliği yaparken diğer faaliyetlerde eşzamanlı olarak rekabet ettiği ikili ve paradoksal ilişkidir (Bengtsson ve Kock, 2000, s. 412). Bir firma rakipleriyle aynı anda saf rekabet, saf iş birliği, birlikte var olma ve ortaklaşa rekabet ilişkileri yürütebileceği için (Bengtsson ve Kock, 1999), belirleyici olan ilişkinin adı değil, iki mantığın nasıl bölündüğüdür. Yazarlara göre bu bölünme taraflar arasında değil faaliyetler arasında gerçekleşir, çünkü aynı faaliyette hem rekabet hem iş birliği yürütülemez (Bengtsson ve Kock, 2000, s. 415). Hangi faaliyetin hangi tarafa düşeceğini ise müşteriye yakınlık belirler: firmalar müşteriye yakın çıktı faaliyetlerinde rekabet eder, müşteriden uzak girdi faaliyetlerinde iş birliği yapar (Bengtsson ve Kock, 2000, s. 421). Bu önerme bu çalışmada "ayrıştırma ilkesi" olarak anılmaktadır; adlandırma yazarlara değil bu çalışmaya aittir.</w:t>
      </w:r>
    </w:p>
    <w:p w14:paraId="67145077" w14:textId="61F759BA" w:rsidR="004724F9" w:rsidRDefault="00FC5974" w:rsidP="001B50BE">
      <w:pPr>
        <w:pStyle w:val="Gvdemetin"/>
      </w:pPr>
      <w:r>
        <w:rPr/>
        <w:t xml:space="preserve">Ayrıştırma ilkesinin neden işlediği, iki faaliyet türünün farklı bir şey ürettiği hatırlandığında anlaşılır. Değer ağı yaklaşımında rakipler ve tamamlayıcılar önce birlikte daha büyük bir pazar oluşturur, sonra bu pazardan pay almak için rekabet eder (Brandenburger ve Nalebuff, 1996). Müşteriden uzak faaliyetler çoğunlukla pazarı büyütür, müşteriye yakın faaliyetler ise payı belirler; bu yüzden iş birliği birinci türde, rekabet ikinci türde yoğunlaşır. Ancak bu süreç herkesin kazanacağını garanti etmez. Ortaklaşa rekabet tüm tarafların birlikte değer oluşturmasıyla sonuçlanabileceği gibi, yalnızca bir tarafın kazanmasıyla ya da değer yıkımıyla da sonuçlanabilir (Gnyawali ve Ryan Charleton, 2018); aktörlerin davranışını da değer oluşturma ve yakalama ihtiyacı birlikte yönlendirir (Chou ve Zolkiewski, 2018). Bu nokta Türkiye–Çin ilişkisi için önemlidir: "kazan-kazan" dili ortaklaşa rekabetin kaçınılmaz sonucu değil, olası sonuçlarından yalnızca biridir. Bu çalışmada değer oluşturma, iki tarafın ortak pazarı büyütmeye yönelik eylemleri (ortak tanıtım, vize ve uçuş kolaylığı, altyapı uyumu); değer yakalama ise oluşturulan değerden pay alma mücadelesi (rota ya da merkez konumu, marka sahipliği, gelir ve aracı denetimi) olarak tanımlanmaktadır.</w:t>
      </w:r>
    </w:p>
    <w:p w14:paraId="67145077" w14:textId="61F759BA" w:rsidR="004724F9" w:rsidRDefault="00FC5974" w:rsidP="001B50BE">
      <w:pPr>
        <w:pStyle w:val="Gvdemetin"/>
      </w:pPr>
      <w:r>
        <w:rPr/>
        <w:t xml:space="preserve">Bu ayrımın turizme de uygulanabildiğini destinasyon çalışmaları göstermektedir. Destinasyonlar yüksek karşılıklı bağımlılık ve tamamlayıcılık içinde çalıştığı için ortaklaşa rekabet turizmde istisna değil, olağan örgütlenme biçimidir (Chim-Miki ve Batista-Canino, 2017a); tek bir destinasyonun paydaşları arasında bile iş birliği, rekabet ve ortaklaşa rekabet bir arada bulunur (Wang ve Krakover, 2008). Ülkeler arasındaki ortak markalarda ayrıştırma ilkesinin izleri daha da belirgindir. ASEAN için önerilen çerçeve bölgenin ortak ve tutarlı bir konumlandırmasını isterken ulusların rekabetçi konumlandırmasını korumaktadır (Sirisuthikul, 2018); Büyük Körfez Bölgesi için önerilen ortak marka da üye kentlerin özgünlüğünü koruyacak biçimde kurulmuştur (Kirillova vd., 2020). Her iki örnekte de iş birliği turistten uzak olan bölge markasında, rekabet ise turistin seçim yaptığı ulusal ya da kentsel konumlandırmada toplanmaktadır. Ne var ki bu çalışmalar destinasyon içinde ya da bölgesel marka ölçeğinde kalmış, kavramın çok boyutlu ve göreli bir yapı olarak ele alınması hâlâ bir araştırma gündemi olarak durmaktadır (Chim-Miki ve Batista-Canino, 2017a).</w:t>
      </w:r>
    </w:p>
    <w:p w14:paraId="67145077" w14:textId="61F759BA" w:rsidR="004724F9" w:rsidRDefault="00FC5974" w:rsidP="001B50BE">
      <w:pPr>
        <w:pStyle w:val="Gvdemetin"/>
      </w:pPr>
      <w:r>
        <w:rPr/>
        <w:t xml:space="preserve">Devletler arasındaki ilişkiye gelindiğinde bu boşluk daha görünür hâle gelir. İpek Yolu'na en yakın çalışma, destinasyonlar arası ortaklaşa rekabeti ele alır ve UNWTO İpek Yolu Programı'nı bu türün en büyük girişimi olarak betimler (Redi ve Pulido Fernández, 2018); ancak çok taraflı bir programın yönetimine baktığı için iki devletin aynı mirasta hangi faaliyette birleşip hangisinde ayrıştığını sormaz. Kavramı ABD ile Çin arasındaki büyük güç ilişkilerine uygulayan çalışma ortaklaşa rekabetin stratejik rekabete nasıl dönüşebileceğine dair hipotezler önerir (Wisniewski, 2025); Türkiye–Çin ilişkisini uyumlu, rekabetçi ve çatışan rollerin katmanları olarak okuyan "karmaşık rol" yaklaşımı da ilişkiyi bir bütün olarak açıklar (Wang ve Sun, 2024). Bu iki çalışma ilişkinin genel karakterini anlatır, fakat iş birliğinin ve rekabetin hangi faaliyette toplandığını sormaz. Oysa bu soru, taraflar arasında güç farkı olduğunda daha da önem kazanır. Fransa'daki 470 destinasyon üzerinde yapılan bir çalışmada baskın statüdeki destinasyonların ortaklaşa rekabete daha az yöneldiği bulunmuştur (Norheim-Hansen vd., 2026). Firma düzeyindeki vakalar ise güçlü bir aktörün zayıf rakibiyle yine de iş birliği yapabildiğini, çünkü bu kararın ağdaki tüm konumlar dikkate alınarak verildiğini göstermektedir (Bengtsson ve Kock, 2000, s. 422). Bu iki bulgu farklı yönleri işaret ettiğinden, büyük bir güç ile orta büyüklükte bir gücün ilişkisinde ortaklaşa rekabetin hangi biçimi alacağı önceden kestirilemez; alan alan gözlenmesi gerekir.</w:t>
      </w:r>
    </w:p>
    <w:p w14:paraId="67145077" w14:textId="61F759BA" w:rsidR="004724F9" w:rsidRDefault="00FC5974" w:rsidP="001B50BE">
      <w:pPr>
        <w:pStyle w:val="Gvdemetin"/>
      </w:pPr>
      <w:r>
        <w:rPr/>
        <w:t xml:space="preserve">Ayrıştırma ilkesini devletler arasındaki miras turizmine taşımak iki uyarlama gerektirir. İlki rakip tanımıyla ilgilidir. Bengtsson ve Kock (2000, s. 415) rakibi aynı ürünü üreten ve pazarlayan aktör olarak dar tanımlar. Türkiye ve Çin, İpek Yolu destinasyonu ve bu mirasın anlatıcısı olarak bu tanıma uyar; buna karşın Çin'den Türkiye'ye gelen turist akışında Çin bir rakip değil, kaynak pazardır. Bu yüzden bu çalışmada rakiplik, İpek Yolu mirası üzerinden uluslararası turist ve anlatı otoritesi için yürütülen konumlanma düzleminde ele alınmaktadır. İkinci uyarlama müşteriyle ilgilidir: firma bağlamındaki müşteri burada turisttir. Buna göre bağlantısallık faaliyetleri turistten en uzak, değer yakalama faaliyetleri turiste en yakın konumdadır; bu sıralama özgün çalışmaya değil bu çalışmanın uyarlamasına aittir. Uyarlamanın riski de aynı kaynakta görülür. Fin süt sektöründe iş birliği ile rekabet müşteriye yakınlığa göre değil, ürün ve pazar alanlarına göre ayrışmıştır (Bengtsson ve Kock, 2000, s. 420). Türkiye ile Çin arasında da ayrışma alanlara göre değil, coğrafyalara göre (örneğin Orta Asya rotası ya da üçüncü ülke turistleri) gerçekleşiyor olabilir. Bu rakip açıklama, Yöntem bölümünde tanımlanan olumsuz vaka analiziyle izlenmektedir.</w:t>
      </w:r>
    </w:p>
    <w:p w14:paraId="67145077" w14:textId="61F759BA" w:rsidR="004724F9" w:rsidRDefault="00FC5974" w:rsidP="001B50BE">
      <w:pPr>
        <w:pStyle w:val="Gvdemetin"/>
      </w:pPr>
      <w:r>
        <w:rPr/>
        <w:t xml:space="preserve">Buraya kadarki tartışma, ortak İpek Yolu mirasının iki işlevi olabileceğini düşündürmektedir. İlk işlev pazarı büyütmektir: ortak geçmiş söylemi iki ülkeyi aynı hedef etrafında buluşturur ve bu işlevin izi, ikili resmî metinlerde iki ülkeyi birlikte özne ve fayda sahibi yapan dilde görülmelidir (Niu ve Li, 2019; Sciorati, 2023).</w:t>
      </w:r>
    </w:p>
    <w:p w14:paraId="67145077" w14:textId="61F759BA" w:rsidR="004724F9" w:rsidRDefault="00FC5974" w:rsidP="001B50BE">
      <w:pPr>
        <w:pStyle w:val="Gvdemetin"/>
      </w:pPr>
      <w:r>
        <w:rPr>
          <w:b/>
        </w:rPr>
        <w:t xml:space="preserve">Ö1:</w:t>
      </w:r>
      <w:r>
        <w:rPr/>
        <w:t xml:space="preserve"> Ortak İpek Yolu mirası, Türkiye ile Çin arasında iş birliğini (değer oluşturma) besler.</w:t>
      </w:r>
    </w:p>
    <w:p w14:paraId="67145077" w14:textId="61F759BA" w:rsidR="004724F9" w:rsidRDefault="00FC5974" w:rsidP="001B50BE">
      <w:pPr>
        <w:pStyle w:val="Gvdemetin"/>
      </w:pPr>
      <w:r>
        <w:rPr/>
        <w:t xml:space="preserve">İkinci işlev payı belirlemektir. Aynı miras rotanın merkezi, başlangıç noktası ya da köprüsü olma iddialarına konu olduğunda pay alma mücadelesinin nesnesine dönüşür. Paylaşılan mirasın karşıt sahiplenmeler ürettiği göz önüne alındığında (Brown ve O'Brien, 2025; Debarbieux vd., 2023), bu işlevin en çok tek taraflı tanıtım ve politika anlatılarında görünmesi beklenir.</w:t>
      </w:r>
    </w:p>
    <w:p w14:paraId="67145077" w14:textId="61F759BA" w:rsidR="004724F9" w:rsidRDefault="00FC5974" w:rsidP="001B50BE">
      <w:pPr>
        <w:pStyle w:val="Gvdemetin"/>
      </w:pPr>
      <w:r>
        <w:rPr>
          <w:b/>
        </w:rPr>
        <w:t xml:space="preserve">Ö2:</w:t>
      </w:r>
      <w:r>
        <w:rPr/>
        <w:t xml:space="preserve"> Ortak İpek Yolu mirası, eşzamanlı olarak anlatı otoritesi ve değer yakalama rekabetini besler.</w:t>
      </w:r>
    </w:p>
    <w:p w14:paraId="67145077" w14:textId="61F759BA" w:rsidR="004724F9" w:rsidRDefault="00FC5974" w:rsidP="001B50BE">
      <w:pPr>
        <w:pStyle w:val="Gvdemetin"/>
      </w:pPr>
      <w:r>
        <w:rPr/>
        <w:t xml:space="preserve">İki işlev aynı anda var olabiliyorsa, hangisinin ağır basacağını ayrıştırma ilkesi belirler. Ulaşım koridorlarının uyumlaştırılması turistle doğrudan temas etmeyen bir girdi faaliyetidir; tanıtım, anlatı ve turist harcamasının paylaşımı ise turistle temas eden çıktı faaliyetlerine yakındır (Bengtsson ve Kock, 2000). Dolayısıyla faaliyet turiste yaklaştıkça iş birliğinin yerini rekabetin alması beklenir.</w:t>
      </w:r>
    </w:p>
    <w:p w14:paraId="67145077" w14:textId="61F759BA" w:rsidR="004724F9" w:rsidRDefault="00FC5974" w:rsidP="001B50BE">
      <w:pPr>
        <w:pStyle w:val="Gvdemetin"/>
      </w:pPr>
      <w:r>
        <w:rPr>
          <w:b/>
        </w:rPr>
        <w:t xml:space="preserve">Ö3:</w:t>
      </w:r>
      <w:r>
        <w:rPr/>
        <w:t xml:space="preserve"> Faaliyet turiste yaklaştıkça (bağlantısallık, turist akışı, anlatı, değer yakalama sırasıyla) rekabet kodlarının payı artar, iş birliği kodlarının payı azalır.</w:t>
      </w:r>
    </w:p>
    <w:p w14:paraId="11F4FB04" w14:textId="34BB8FD9" w:rsidR="002A3F34" w:rsidRDefault="00F6431C" w:rsidP="007055A5">
      <w:pPr>
        <w:pStyle w:val="ikincidzeybalk"/>
      </w:pPr>
      <w:r>
        <w:rPr>
          <w:szCs w:val="22"/>
        </w:rPr>
        <w:t xml:space="preserve">2.4. Söylemden Akışa: Bağlantısallık İş Birliğinin Turist Akışına Dönüşmemesi</w:t>
      </w:r>
    </w:p>
    <w:p w14:paraId="67145077" w14:textId="61F759BA" w:rsidR="004724F9" w:rsidRDefault="00FC5974" w:rsidP="001B50BE">
      <w:pPr>
        <w:pStyle w:val="Gvdemetin"/>
      </w:pPr>
      <w:r>
        <w:rPr/>
        <w:t xml:space="preserve">Ö3 doğruysa, Türkiye ile Çin'in en güçlü iş birliği turistten en uzak alanda, yani bağlantısallıkta toplanıyor demektir. Bu durum Giriş'te belirtilen söylem ile akış arasındaki açığı açıklayabilir, çünkü turistten uzak bir alandaki iş birliğinin turiste ulaşması kendiliğinden gerçekleşmez. Türkiye–Çin literatürü ise tersini bekler: Kuşak ve Yol'un kültürel alışverişi teşvik edeceği, turist akışlarını artıracağı ve turizm altyapısına yatırım getireceği öngörülür (İbiş, 2019; Palidan, 2024). Girişimin İpek Yolları boyunca turizme ve mirasa etkisini derleyen sistematik bir inceleme bu potansiyeli kabul etmekle birlikte, finansal dengesizlikleri ve faydalara eşitsiz erişimi temel sorunlar arasında sayar (Dayoub vd., 2024). Altyapı verisi de beklentinin gerçekleşmediğini gösterir. Orta Koridor olarak da bilinen Hazar Ötesi Uluslararası Taşımacılık Güzergâhı 2025'te yaklaşık 5,2 milyon ton yük taşımış, ancak ana ekseninde tarifeli uluslararası yolcu seferi sunmamıştır; Bakü–Tiflis–Kars demiryolu da 2017'den bu yana Türkiye'yi Azerbaycan'a bağladığı hâlde kayda değer bir uluslararası turist seferi taşımamaktadır (Farmanov vd., 2026). Kısacası bağlantısallık alanındaki iş birliği, en azından demiryolu ekseninde, yük kapasitesi üretmiş ama yolcu üretmemiştir. Bu tablo iş birliğinin akış üzerindeki etkisini ortadan kaldırmaz, yalnızca sınırlar: iş birliği turisti ancak tanıtım ve vize gibi turiste yakın kanallara ulaştığı ölçüde etkileyebilir. Beklenen yön yine olumludur.</w:t>
      </w:r>
    </w:p>
    <w:p w14:paraId="67145077" w14:textId="61F759BA" w:rsidR="004724F9" w:rsidRDefault="00FC5974" w:rsidP="001B50BE">
      <w:pPr>
        <w:pStyle w:val="Gvdemetin"/>
      </w:pPr>
      <w:r>
        <w:rPr>
          <w:b/>
        </w:rPr>
        <w:t xml:space="preserve">Ö4:</w:t>
      </w:r>
      <w:r>
        <w:rPr/>
        <w:t xml:space="preserve"> İş birliği, özellikle bağlantısallık ve karşılıklı tanıtım alanında, Türkiye'ye yönelik turist akışını artırır.</w:t>
      </w:r>
    </w:p>
    <w:p w14:paraId="67145077" w14:textId="61F759BA" w:rsidR="004724F9" w:rsidRDefault="00FC5974" w:rsidP="001B50BE">
      <w:pPr>
        <w:pStyle w:val="Gvdemetin"/>
      </w:pPr>
      <w:r>
        <w:rPr/>
        <w:t xml:space="preserve">Etkinin neden sınırlı kaldığına dair literatürde iki açıklama vardır ve bunlar aynı mekanizmaya indirgenemez. Birinci açıklama uzaklıktır. Kuşak ve Yol ülkeleri üzerine kurulan mekânsal panel modellerinde, Çin ile destinasyon arasındaki coğrafi ve kültürel uzaklık Çinli turist akışını azaltmaktadır (Deng ve Hu, 2019). Bu açıklamaya göre düşük akış, ilişkinin niteliğinden bağımsız ve değişmeyen bir koşulun sonucudur. Ne var ki Türkiye'nin dış politikası Avrupa ve NATO'dan Rusya ve Çin ile güçlenen ilişkilere doğru kaydığı dönemde bile (Cihangir vd., 2022) Çin uyruklu girişlerin payı düşük kalmıştır; bu da uzaklığın tek başına yeterli bir açıklama olmadığını düşündürür. İkinci açıklama yönlendirmedir. Çin'de yurt dışı turizm siyasetle iç içedir ve hükümetin dış turizmi siyasi gündemiyle uyumlu biçimde şekillendirdiği görülmektedir (Tse, 2013). Böyle bir yönlendirmenin ev sahibi ülkede nasıl algılandığını Kazakistan örneği gösterir: yerel paydaşlar Kuşak ve Yol'un ekonomik değerini desteklerken yerel özerkliği ve ülkenin özgün destinasyon markasını zayıflatabileceğinden kaygı duymaktadır (Daye vd., 2020). Türkiye'de de benzer bir yapının izleri vardır. Türkiye'ye gelen Çinli turistlerin büyük çoğunluğunun seyahatini acenteler aracılığıyla düzenlemesi (İbiş ve Batman, 2018) ve Çinli acentelerin tur içeriğine dair belirgin talepleri (Akyılmaz, 2021), değerin bir kısmının aracılarda kaldığına işaret eder; ne var ki bu payı ölçen bir çalışma bulunmamaktadır. Bu çalışma ikinci açıklamayı, yani rekabetin ve yönlendirmenin rolünü öne çıkarmakta, uzaklığı ise rakip açıklama olarak korumaktadır.</w:t>
      </w:r>
    </w:p>
    <w:p w14:paraId="67145077" w14:textId="61F759BA" w:rsidR="004724F9" w:rsidRDefault="00FC5974" w:rsidP="001B50BE">
      <w:pPr>
        <w:pStyle w:val="Gvdemetin"/>
      </w:pPr>
      <w:r>
        <w:rPr>
          <w:b/>
        </w:rPr>
        <w:t xml:space="preserve">Ö5:</w:t>
      </w:r>
      <w:r>
        <w:rPr/>
        <w:t xml:space="preserve"> Rekabet, iş birliğinin turist akışına dönüşümünü sınırlar.</w:t>
      </w:r>
    </w:p>
    <w:p w14:paraId="67145077" w14:textId="61F759BA" w:rsidR="004724F9" w:rsidRDefault="00FC5974" w:rsidP="001B50BE">
      <w:pPr>
        <w:pStyle w:val="Gvdemetin"/>
      </w:pPr>
      <w:r>
        <w:rPr/>
        <w:t xml:space="preserve">Bu dört alt bölüm birlikte okunduğunda çalışmanın konumu netleşir. Türkiye–Çin turizm literatürü ilişkiyi kazan-kazan bir iş birliği olarak okurken, miras siyaseti literatürü paylaşılan İpek Yolu'nun aynı zamanda bir sahiplik çekişmesi olduğunu göstermektedir. Ortaklaşa rekabet kuramı bu iki okumayı faaliyet düzeyinde birleştirebilecek bir mekanizma sunar, ancak bu mekanizma iki devlet arasındaki miras turizminde henüz sınanmamıştır. Bu çalışma, ayrıştırma ilkesini Türkiye–Çin İpek Yolu turizmine taşıyarak İpek Yolu mirasının nötr bir ortak varlık değil, ortaklaşa rekabetin nesnesi olduğunu ileri sürmekte ve kazan-kazan okumasının hangi alanlarda geçerli olduğunu, hangilerinde geçerliliğini yitirdiğini sınamaktadır. Önermeler arasındaki ilişkiler Şekil 1'de gösterilmektedir.</w:t>
      </w:r>
    </w:p>
    <w:p w14:paraId="67145077" w14:textId="61F759BA" w:rsidR="004724F9" w:rsidRDefault="00FC5974" w:rsidP="001B50BE">
      <w:pPr>
        <w:pStyle w:val="Gvdemetin"/>
      </w:pPr>
      <w:r>
        <w:rPr>
          <w:highlight w:val="yellow"/>
        </w:rPr>
        <w:t xml:space="preserve">ŞEKİL 1 BURAYA: yazar Excel/Word’de çizecek; taslak sekiller/sekil1-kavramsal-model.png</w:t>
      </w:r>
    </w:p>
    <w:p w14:paraId="14A4C4B4" w14:textId="40B36ACF" w:rsidR="00D9100A" w:rsidRDefault="00D9100A" w:rsidP="00E57B63">
      <w:pPr>
        <w:suppressAutoHyphens/>
        <w:spacing w:after="120"/>
        <w:ind w:left="567" w:hanging="567"/>
        <w:jc w:val="center"/>
        <w:rPr>
          <w:rFonts w:eastAsia="Calibri" w:cs="Times New Roman"/>
          <w:bCs/>
          <w:color w:val="auto"/>
          <w:sz w:val="20"/>
          <w:szCs w:val="16"/>
          <w:lang w:eastAsia="zh-CN"/>
        </w:rPr>
      </w:pPr>
      <w:r>
        <w:rPr>
          <w:rFonts w:eastAsia="Calibri" w:cs="Times New Roman"/>
          <w:color w:val="auto"/>
          <w:sz w:val="20"/>
          <w:szCs w:val="16"/>
          <w:lang w:eastAsia="zh-CN"/>
          <w:b/>
        </w:rPr>
        <w:t xml:space="preserve">Şekil 1.</w:t>
      </w:r>
      <w:r>
        <w:rPr>
          <w:rFonts w:eastAsia="Calibri" w:cs="Times New Roman"/>
          <w:b/>
          <w:bCs/>
          <w:color w:val="auto"/>
          <w:sz w:val="20"/>
          <w:szCs w:val="16"/>
          <w:lang w:eastAsia="zh-CN"/>
        </w:rPr>
        <w:t xml:space="preserve"> Araştırmanın kavramsal modeli</w:t>
      </w:r>
    </w:p>
    <w:p w14:paraId="07EA2D7F" w14:textId="4DA9FA91" w:rsidR="00603456" w:rsidRPr="004A7BA8" w:rsidRDefault="00C13986" w:rsidP="00CD392A">
      <w:pPr>
        <w:pStyle w:val="birincidzeybalk"/>
      </w:pPr>
      <w:r>
        <w:rPr/>
        <w:t xml:space="preserve">3. Yöntem</w:t>
      </w:r>
    </w:p>
    <w:p w14:paraId="11F4FB04" w14:textId="34BB8FD9" w:rsidR="002A3F34" w:rsidRDefault="00F6431C" w:rsidP="007055A5">
      <w:pPr>
        <w:pStyle w:val="ikincidzeybalk"/>
      </w:pPr>
      <w:r>
        <w:rPr>
          <w:szCs w:val="22"/>
        </w:rPr>
        <w:t xml:space="preserve">3.1. Araştırma Deseni</w:t>
      </w:r>
    </w:p>
    <w:p w14:paraId="67145077" w14:textId="61F759BA" w:rsidR="004724F9" w:rsidRDefault="00FC5974" w:rsidP="001B50BE">
      <w:pPr>
        <w:pStyle w:val="Gvdemetin"/>
      </w:pPr>
      <w:r>
        <w:rPr/>
        <w:t xml:space="preserve">Araştırma soruları, iş birliği ile rekabetin hangi alanda ve neden ayrıştığını açıklayan bir mekanizma aramaktadır. Bu nedenle çalışmada kritik realist bir tutum benimsenmiştir: belgelerdeki söylemsel izler mekanizmanın kendisi olarak değil, onun gözlemlenebilir göstergeleri olarak ele alınmıştır. Sınanan mekanizma, Bengtsson ve Kock'un (2000) önerdiği ve bu çalışmada ayrıştırma ilkesi olarak adlandırılan ilkedir; buna göre iş birliği müşteriden uzak, rekabet ise müşteriye yakın faaliyetlerde yoğunlaşır. Mekanizmayı tek bir ilişkinin farklı alanlarında karşılaştırabilmek için tek durumlu, iç içe birimli bir örnek olay deseni seçilmiştir. Durum Türkiye–Çin ikilisi, iç içe birimler ise İpek Yolu turizmi etrafında tanımlanan dört alandır: bağlantısallık, turist akışı, anlatı ve değer yakalama.</w:t>
      </w:r>
    </w:p>
    <w:p w14:paraId="67145077" w14:textId="61F759BA" w:rsidR="004724F9" w:rsidRDefault="00FC5974" w:rsidP="001B50BE">
      <w:pPr>
        <w:pStyle w:val="Gvdemetin"/>
      </w:pPr>
      <w:r>
        <w:rPr/>
        <w:t xml:space="preserve">Bu alanlardaki iş birliği ve rekabet izlerini taşıyan başlıca kaynak, iki devletin resmî belgeleridir. Bu yüzden veri sistematik doküman analiziyle çözümlenmiştir (Bowen, 2009). Doküman analizi, resmî belgelerin iki ülkenin birbirine karşı nasıl konumlandığını görünür kıldığı varsayımına dayanır; analiz de bu nedenle belgelerin ne söylediğini olduğu kadar neyi söylemediğini, örneğin hangi ortağı saymadığını da izler.</w:t>
      </w:r>
    </w:p>
    <w:p w14:paraId="11F4FB04" w14:textId="34BB8FD9" w:rsidR="002A3F34" w:rsidRDefault="00F6431C" w:rsidP="007055A5">
      <w:pPr>
        <w:pStyle w:val="ikincidzeybalk"/>
      </w:pPr>
      <w:r>
        <w:rPr>
          <w:szCs w:val="22"/>
        </w:rPr>
        <w:t xml:space="preserve">3.2. İncelenen Belgeler</w:t>
      </w:r>
    </w:p>
    <w:p w14:paraId="67145077" w14:textId="61F759BA" w:rsidR="004724F9" w:rsidRDefault="00FC5974" w:rsidP="001B50BE">
      <w:pPr>
        <w:pStyle w:val="Gvdemetin"/>
      </w:pPr>
      <w:r>
        <w:rPr/>
        <w:t xml:space="preserve">Belgelerin hepsi aynı türden iz taşımaz. İki ülkenin birlikte imzaladığı ya da birbirine hitap ettiği belgeler doğası gereği iş birliği diliyle yazılır; rekabetin izleri ise daha çok her ülkenin kendi kamuoyuna ve turistine yönelik tek taraflı anlatılarında görünür. Bu nedenle belgeler iki gruba ayrılmıştır. Birinci grup (ikili belgeler), iki ülke arasındaki ikili ve ortak resmî belgeleri içerir: ortak bildiriler, mutabakat zaptları, devlet ve hükümet düzeyindeki görüşme özetleri, büyükelçilik konuşmaları ve turizm ya da kültür yılı metinleri. İkinci grup (tek taraflı belgeler) ise iki ülkenin birbirinden bağımsız olarak ürettiği İpek Yolu tanıtım ve politika anlatılarından oluşur.</w:t>
      </w:r>
    </w:p>
    <w:p w14:paraId="67145077" w14:textId="61F759BA" w:rsidR="004724F9" w:rsidRDefault="00FC5974" w:rsidP="001B50BE">
      <w:pPr>
        <w:pStyle w:val="Gvdemetin"/>
      </w:pPr>
      <w:r>
        <w:rPr/>
        <w:t xml:space="preserve">Her iki gruptaki belgeler ölçüt örneklemesiyle seçilmiştir. Bir belgenin çalışmaya alınması için (i) 1 Ocak 2010 ile 30 Eylül 2026 arasında yayımlanmış olması, (ii) resmî bir kurum ya da resmî yayın organı tarafından yayımlanmış olması, (iii) turizm, İpek Yolu mirası, halklar arası değişim ya da bağlantısallıktan söz etmesi ve (iv) tam metnine erişilebilmesi gerekmiştir. Bu ölçütler, kişisel görüş taşıyan metinleri dışarıda bırakmak içindir; bu yüzden köşe yazıları ve düşünce kuruluşu yorumları yalnızca bağlam bilgisi için okunmuş, kodlanmamıştır. Sincan Uygur Özerk Bölgesi'ne ilişkin siyasi tartışmaya odaklanan metinler de çalışmanın turizm ve miras odağının dışında kaldığı için kapsam dışı bırakılmıştır.</w:t>
      </w:r>
    </w:p>
    <w:p w14:paraId="67145077" w14:textId="61F759BA" w:rsidR="004724F9" w:rsidRDefault="00FC5974" w:rsidP="001B50BE">
      <w:pPr>
        <w:pStyle w:val="Gvdemetin"/>
      </w:pPr>
      <w:r>
        <w:rPr/>
        <w:t xml:space="preserve">Belgeler 7 Ekim 2026'da kurumların çevrimiçi kaynaklarından toplanmıştır. Türk tarafında başlıca kaynaklar Dışişleri Bakanlığı ve Pekin Büyükelçiliği, Kültür ve Turizm Bakanlığı ve il müdürlükleri, Cumhurbaşkanlığı İletişim Başkanlığı, Ticaret Bakanlığı ve GoTürkiye; Çin tarafında ise ÇHC Dışişleri Bakanlığı, Kültür ve Turizm Bakanlığı, Devlet Konseyi Bilişim Ofisi, Kuşak ve Yol resmî portalı ile il kültür ve turizm daireleridir. Antalya Mutabakat Zaptı'nın (2015) Türkçe metni Resmî Gazete'den (7 Haziran 2017, Sayı 30089) alınmıştır. Resmî metni bulunamayan iki olay için ajans haberleri kullanılmış ve bu durum envanterde işaretlenmiştir. Erişilemeyen 12 belge ise ayrı bir listede raporlanmış, seçim yanlılığını artırmamak için yerlerine benzer belgeler konmamıştır.</w:t>
      </w:r>
    </w:p>
    <w:p w14:paraId="67145077" w14:textId="61F759BA" w:rsidR="004724F9" w:rsidRDefault="00FC5974" w:rsidP="001B50BE">
      <w:pPr>
        <w:pStyle w:val="Gvdemetin"/>
      </w:pPr>
      <w:r>
        <w:rPr/>
        <w:t xml:space="preserve">Bu süreç sonunda 49 belge incelemeye alınmıştır: ikili belgeler grubunda 25 (11 Türk, 12 Çin, 2 ortak), tek taraflı belgeler grubunda 24 (12 Türk, 12 Çin) belge. İkili belgelerin 5'i 2010–2014, 9'u 2015–2019, 11'i 2020–2026 dönemine aittir. Tek taraflı belgelerdeki Türk kaynaklarının sekizi tarih göstermeyen tanıtım sayfaları olduğu için erişim tarihiyle raporlanmıştır. Çince yayımlanmış on sekiz belgenin ilgili bölümleri Türkçeye çevrilmiştir.</w:t>
      </w:r>
    </w:p>
    <w:p w14:paraId="11F4FB04" w14:textId="34BB8FD9" w:rsidR="002A3F34" w:rsidRDefault="00F6431C" w:rsidP="007055A5">
      <w:pPr>
        <w:pStyle w:val="ikincidzeybalk"/>
      </w:pPr>
      <w:r>
        <w:rPr>
          <w:szCs w:val="22"/>
        </w:rPr>
        <w:t xml:space="preserve">3.3. Kodlama Birimi ve Kodlama Şeması</w:t>
      </w:r>
    </w:p>
    <w:p w14:paraId="67145077" w14:textId="61F759BA" w:rsidR="004724F9" w:rsidRDefault="00FC5974" w:rsidP="001B50BE">
      <w:pPr>
        <w:pStyle w:val="Gvdemetin"/>
      </w:pPr>
      <w:r>
        <w:rPr/>
        <w:t xml:space="preserve">Ayrıştırma ilkesini sınamak, iş birliği ve rekabet izlerini belge düzeyinde değil, iddia düzeyinde saymayı gerektirir; çünkü tek bir belge hem ortak bir hedef hem de tek taraflı bir talep içerebilir. Bu nedenle analiz birimi, tek bir iddia taşıyan cümle ya da kısa paragraf (anlam birimi) olarak belirlenmiş ve belgeler toplam 368 anlam birimine ayrılmıştır. Her birime önce bir alan atanmıştır. Alanlar, ilkenin öngörüsünü sınayabilmek için turiste yakınlık sırasına göre analizden önce sabitlenmiştir: bağlantısallık (ulaşım, koridor, altyapı), turist akışı (vize, turist sayısı, tanıtım, kültür yılı), anlatı (İpek Yolu'nun tarihi, güzergâhı, başlangıcı ve merkezi; ortak medeniyet söylemi; miras adaylıkları) ve değer yakalama (gelir, yatırım, finansman, aracı payı).</w:t>
      </w:r>
    </w:p>
    <w:p w14:paraId="67145077" w14:textId="61F759BA" w:rsidR="004724F9" w:rsidRDefault="00FC5974" w:rsidP="001B50BE">
      <w:pPr>
        <w:pStyle w:val="Gvdemetin"/>
      </w:pPr>
      <w:r>
        <w:rPr/>
        <w:t xml:space="preserve">Alanı belirlenen her birime ardından bir yönelim atanmıştır. Yönelim, kodlayıcının yorumuna değil, metinde açıkça görülen üç işarete dayandırılmıştır: (1) ortak özne, yani iki ülkenin birlikte özne ya da fayda sahibi olarak anılması; (2) kendini öne çıkarma, yani konuşan tarafın kendini İpek Yolu'nun başlangıcı, merkezi, kapısı ya da köprüsü olarak tanımlaması, kendi koridor ya da marka adını tek başına öne sürmesi veya üstünlük karşılaştırması yapması; (3) dışlama ya da tek taraflılık, yani ortaklar sayılırken karşı ülkenin atlanması ya da yalnızca bir tarafa yarayan bir hedef, taviz veya talep. Yönelim bu üç işaretten mekanik olarak türetilmiştir: yalnızca ortak özne varsa iş birliği, ortak özne yokken öne çıkarma ya da dışlama varsa rekabet, ikisi birlikte varsa karma, hiçbiri yoksa nötr.</w:t>
      </w:r>
    </w:p>
    <w:p w14:paraId="11F4FB04" w14:textId="34BB8FD9" w:rsidR="002A3F34" w:rsidRDefault="00F6431C" w:rsidP="007055A5">
      <w:pPr>
        <w:pStyle w:val="ikincidzeybalk"/>
      </w:pPr>
      <w:r>
        <w:rPr>
          <w:szCs w:val="22"/>
        </w:rPr>
        <w:t xml:space="preserve">3.4. Kodlama Süreci ve Güvenirlik</w:t>
      </w:r>
    </w:p>
    <w:p w14:paraId="67145077" w14:textId="61F759BA" w:rsidR="004724F9" w:rsidRDefault="00FC5974" w:rsidP="001B50BE">
      <w:pPr>
        <w:pStyle w:val="Gvdemetin"/>
      </w:pPr>
      <w:r>
        <w:rPr/>
        <w:t xml:space="preserve">Yönelimin yoruma değil açık işaretlere dayandırılması, pilot aşamada karşılaşılan bir sorunun sonucudur. Şemanın ilk sürümü yorumlayıcı yargıya dayanıyordu ve bu sürümle yazar ile yapay zekâ destekli bir ön kodlama arasındaki yönelim uyumu çok düşük çıktı (κ = 0,05). Uyuşmazlık, iş birliği dili taşıyan diplomatik cümlelerde örtük bir rekabetin okunup okunmamasından kaynaklanıyordu. Aynı cümlenin farklı kodlayıcılarca farklı okunması güvenilir bir sayım yapmayı imkânsız kıldığından şema, yalnızca açık işaretlere dayanan ikinci sürüme dönüştürülmüştür. Pilot aşamadaki kodlar analizde kullanılmamıştır.</w:t>
      </w:r>
    </w:p>
    <w:p w14:paraId="67145077" w14:textId="61F759BA" w:rsidR="004724F9" w:rsidRDefault="00FC5974" w:rsidP="001B50BE">
      <w:pPr>
        <w:pStyle w:val="Gvdemetin"/>
      </w:pPr>
      <w:r>
        <w:rPr/>
        <w:t xml:space="preserve">Nihai kodlama, ikinci sürümle ve birbirinden bağımsız çalışan iki kodlayıcı tarafından yapılmıştır. Birinci kodlayıcı siyaset bilimi ve kamu yönetimi alanında doktora derecesine sahip, lisans eğitimini siyaset bilimi ve uluslararası ilişkiler alanında tamamlamış bir öğretim üyesidir; ikinci kodlayıcı ise turizm alanında görev yapan ve uluslararası turizm uygulamalarında deneyimi bulunan doktoralı bir öğretim üyesidir. İki kodlayıcının farklı disiplinlerden gelmesi, belgelerin hem uluslararası ilişkiler hem de turizm bakışıyla okunmasını sağlamıştır. Kodlayıcılara kodlama kılavuzu ve uydurma bir örnek verilmiş, birbirleriyle görüşmeden kodlamaları istenmiştir. Kodlayıcılar arası uyum alan için iyi (uyuşma %81,2; Cohen κ = 0,73), yönelim için orta düzeydedir (uyuşma %64,7; κ = 0,47). Yönelimdeki uyuşmazlıkların büyük bölümü bir işaretin var olup olmadığına ilişkindir; iki kodlayıcının aynı birime zıt yön verdiği, yani birinin iş birliği ötekinin rekabet kodladığı durum 368 birimin yalnızca 9'unda (%2,4) görülmüştür. Uyuşmazlıklar, insan kodlamasından önce ve ondan bağımsız olarak aynı kodbookla yapılmış yapay zekâ destekli üçüncü bir kodlama kullanılarak çoğunluk kuralıyla çözülmüştür: her birimin alanı ve her işaret için üç kodlamadan en az ikisinin verdiği değer esas alınmıştır. Üçüncü kodlamanın iki insan kodlayıcıyla uyumu, insan kodlayıcıların kendi aralarındaki uyumla benzer düzeydedir (alan için κ = 0,64 ve 0,70; yönelim için κ = 0,44 ve 0,43). Üç kodlamanın da farklı alan verdiği 5 birim analiz dışında bırakılmış, nihai analiz 363 birim üzerinden yapılmıştır. Üçüncü kodlamanın etkisini sınamak için sonuçlar ayrıca her insan kodlayıcı için ayrı ayrı ve yalnızca iki insan kodlayıcının uyuştuğu 195 birim için hesaplanmış ve raporlanmıştır.</w:t>
      </w:r>
    </w:p>
    <w:p w14:paraId="67145077" w14:textId="61F759BA" w:rsidR="004724F9" w:rsidRDefault="00FC5974" w:rsidP="001B50BE">
      <w:pPr>
        <w:pStyle w:val="Gvdemetin"/>
      </w:pPr>
      <w:r>
        <w:rPr/>
        <w:t xml:space="preserve">Kodlanan birimler betimsel olarak çözümlenmiştir: her alanda rekabet kodlarının payı hesaplanmış, Türk ve Çin kaynakları ayrı ayrı karşılaştırılmıştır. Sonucun veriye bakıldıktan sonra yorumlanmasını önlemek için ayrıştırma ilkesinin desteklenip desteklenmediğine ilişkin karar kuralı analizden önce yazılmıştır. Buna göre rekabet payının bağlantısallıktan değer yakalamaya doğru düzenli artması ya da iki uç arasındaki farkın en az 20 yüzde puan olması destek sayılmıştır. Nötr birimlerin paydaya katılıp katılmaması sonucu değiştirebildiği için iki hesaplama birlikte raporlanmıştır. Önermeye ters düşen birimler, yani bağlantısallıktaki rekabet kodları ile anlatı ve değer yakalamadaki iş birliği kodları, olumsuz vaka olarak ayrıca incelenmiştir; bu inceleme, Kuramsal Çerçeve'de belirtilen pazar ya da coğrafya temelli ayrışma açıklamasını da sınamaktadır.</w:t>
      </w:r>
    </w:p>
    <w:p w14:paraId="11F4FB04" w14:textId="34BB8FD9" w:rsidR="002A3F34" w:rsidRDefault="00F6431C" w:rsidP="007055A5">
      <w:pPr>
        <w:pStyle w:val="ikincidzeybalk"/>
      </w:pPr>
      <w:r>
        <w:rPr>
          <w:szCs w:val="22"/>
        </w:rPr>
        <w:t xml:space="preserve">3.5. Betimsel İkincil Veri</w:t>
      </w:r>
    </w:p>
    <w:p w14:paraId="67145077" w14:textId="61F759BA" w:rsidR="004724F9" w:rsidRDefault="00FC5974" w:rsidP="001B50BE">
      <w:pPr>
        <w:pStyle w:val="Gvdemetin"/>
      </w:pPr>
      <w:r>
        <w:rPr/>
        <w:t xml:space="preserve">Belgelerdeki iş birliği söyleminin akışa yansıyıp yansımadığını görmek için ikinci bir veri kaynağına ihtiyaç vardır. Bu amaçla TÜİK'in Emniyet Genel Müdürlüğü kayıtlarına dayanan giriş yapan yabancılar serisinden 2010–2025 dönemine ait Çin uyruklu giriş sayıları ve bu sayıların toplam yabancı girişler içindeki payı kullanılmıştır. Seri bir sınır giriş kaydı olduğu ve turizm dışı ya da transit girişleri de içerdiği için "turist sayısı" olarak değil "Çin uyruklu giriş" olarak adlandırılmıştır. Tek bir seri nedensel bir sınamaya izin vermediğinden seri yalnızca betimsel olarak kullanılmıştır.</w:t>
      </w:r>
    </w:p>
    <w:p w14:paraId="11F4FB04" w14:textId="34BB8FD9" w:rsidR="002A3F34" w:rsidRDefault="00F6431C" w:rsidP="007055A5">
      <w:pPr>
        <w:pStyle w:val="ikincidzeybalk"/>
      </w:pPr>
      <w:r>
        <w:rPr>
          <w:szCs w:val="22"/>
        </w:rPr>
        <w:t xml:space="preserve">3.6. Etik ve Yapay Zekâ Kullanımı</w:t>
      </w:r>
    </w:p>
    <w:p w14:paraId="67145077" w14:textId="61F759BA" w:rsidR="004724F9" w:rsidRDefault="00FC5974" w:rsidP="001B50BE">
      <w:pPr>
        <w:pStyle w:val="Gvdemetin"/>
      </w:pPr>
      <w:r>
        <w:rPr/>
        <w:t xml:space="preserve">Çalışma yalnızca kamuya açık resmî belgelere ve toplulaştırılmış istatistiklere dayanmakta, katılımcı ya da kişisel veri içermemektedir; bu nedenle etik kurul izni gerektirmemektedir. Yapay zekâ araçlarının hangi aşamalarda ve ne amaçla kullanıldığı, dergi politikası uyarınca makale sonundaki beyanda belirtilmiştir.</w:t>
      </w:r>
    </w:p>
    <w:p w14:paraId="07EA2D7F" w14:textId="4DA9FA91" w:rsidR="00603456" w:rsidRPr="004A7BA8" w:rsidRDefault="00C13986" w:rsidP="00CD392A">
      <w:pPr>
        <w:pStyle w:val="birincidzeybalk"/>
      </w:pPr>
      <w:r>
        <w:rPr/>
        <w:t xml:space="preserve">4. Bulgular</w:t>
      </w:r>
    </w:p>
    <w:p w14:paraId="11F4FB04" w14:textId="34BB8FD9" w:rsidR="002A3F34" w:rsidRDefault="00F6431C" w:rsidP="007055A5">
      <w:pPr>
        <w:pStyle w:val="ikincidzeybalk"/>
      </w:pPr>
      <w:r>
        <w:rPr>
          <w:szCs w:val="22"/>
        </w:rPr>
        <w:t xml:space="preserve">4.1. Belgelerin ve kodlamanın genel görünümü</w:t>
      </w:r>
    </w:p>
    <w:p w14:paraId="67145077" w14:textId="61F759BA" w:rsidR="004724F9" w:rsidRDefault="00FC5974" w:rsidP="001B50BE">
      <w:pPr>
        <w:pStyle w:val="Gvdemetin"/>
      </w:pPr>
      <w:r>
        <w:rPr>
          <w:highlight w:val="yellow"/>
        </w:rPr>
        <w:t xml:space="preserve">YAZAR YAZACAK – yönerge: Tablo 1: Korpus özeti (A: 25 belge, B: 24 belge; taraf dağılımı; dönem dağılımı). Kaynak: `korpus-belge/A/_envanter.csv`, `korpus-belge/B/_envanter.csv`.</w:t>
      </w:r>
    </w:p>
    <w:p w14:paraId="67145077" w14:textId="61F759BA" w:rsidR="004724F9" w:rsidRDefault="00FC5974" w:rsidP="001B50BE">
      <w:pPr>
        <w:pStyle w:val="Gvdemetin"/>
      </w:pPr>
      <w:r>
        <w:rPr>
          <w:highlight w:val="yellow"/>
        </w:rPr>
        <w:t xml:space="preserve">YAZAR YAZACAK – yönerge: Tablo 2: 368 birimin arena × yönelim (İB/RK/KR/NÖ) dağılımı, NÖ dahil ve hariç iki sütun. Kaynak: stats.json → `v2.arena_yonelim` (insan kodlarıyla yeniden üretilecek).</w:t>
      </w:r>
    </w:p>
    <w:p w14:paraId="67145077" w14:textId="61F759BA" w:rsidR="004724F9" w:rsidRDefault="00FC5974" w:rsidP="001B50BE">
      <w:pPr>
        <w:pStyle w:val="Gvdemetin"/>
      </w:pPr>
      <w:r>
        <w:rPr>
          <w:highlight w:val="yellow"/>
        </w:rPr>
        <w:t xml:space="preserve">YAZAR YAZACAK – yönerge: Kodlayıcılar arası uyum: κ(alan), κ(yönelim) + uzlaşı yöntemi tek cümle (Yöntem'de ayrıntı var).</w:t>
      </w:r>
    </w:p>
    <w:p w14:paraId="67145077" w14:textId="61F759BA" w:rsidR="004724F9" w:rsidRDefault="00FC5974" w:rsidP="001B50BE">
      <w:pPr>
        <w:pStyle w:val="Gvdemetin"/>
      </w:pPr>
      <w:r>
        <w:rPr>
          <w:highlight w:val="yellow"/>
        </w:rPr>
        <w:t xml:space="preserve">YAZAR YAZACAK – yönerge: Burada yorum yok; yalnız betim.</w:t>
      </w:r>
    </w:p>
    <w:p w14:paraId="11F4FB04" w14:textId="34BB8FD9" w:rsidR="002A3F34" w:rsidRDefault="00F6431C" w:rsidP="007055A5">
      <w:pPr>
        <w:pStyle w:val="ikincidzeybalk"/>
      </w:pPr>
      <w:r>
        <w:rPr>
          <w:szCs w:val="22"/>
        </w:rPr>
        <w:t xml:space="preserve">4.2. Ö1 ve Ö2: aynı mirasın iki yüzü</w:t>
      </w:r>
    </w:p>
    <w:p w14:paraId="67145077" w14:textId="61F759BA" w:rsidR="004724F9" w:rsidRDefault="00FC5974" w:rsidP="001B50BE">
      <w:pPr>
        <w:pStyle w:val="Gvdemetin"/>
      </w:pPr>
      <w:r>
        <w:rPr>
          <w:highlight w:val="yellow"/>
        </w:rPr>
        <w:t xml:space="preserve">YAZAR YAZACAK – yönerge: İkili belgelerde İB payı; Tek taraflı belgelerde RK payı. İki belge grubunun karşılaştırması (Tablo 3).</w:t>
      </w:r>
    </w:p>
    <w:p w14:paraId="67145077" w14:textId="61F759BA" w:rsidR="004724F9" w:rsidRDefault="00FC5974" w:rsidP="001B50BE">
      <w:pPr>
        <w:pStyle w:val="Gvdemetin"/>
      </w:pPr>
      <w:r>
        <w:rPr>
          <w:highlight w:val="yellow"/>
        </w:rPr>
        <w:t xml:space="preserve">YAZAR YAZACAK – yönerge: Her yönelim için 2–3 kısa belge alıntısı (ifade no ile: A07-03 gibi). Çin kaynakları için Türkçe çeviri + dipnotta özgün dil notu.</w:t>
      </w:r>
    </w:p>
    <w:p w14:paraId="67145077" w14:textId="61F759BA" w:rsidR="004724F9" w:rsidRDefault="00FC5974" w:rsidP="001B50BE">
      <w:pPr>
        <w:pStyle w:val="Gvdemetin"/>
      </w:pPr>
      <w:r>
        <w:rPr>
          <w:highlight w:val="yellow"/>
        </w:rPr>
        <w:t xml:space="preserve">YAZAR YAZACAK – yönerge: Tanınma asimetrisi: karşı ülkeyi atlama ve "başlangıç iddiası" sayıları TR/CN ayrı (M3 işareti). Pilot v1 alt kodları (tanınma-yok TR 4 / CN 20) analizde KULLANILMAZ; insan kodlarında M3 "dışlama" sütunundan yeniden sayılır.</w:t>
      </w:r>
    </w:p>
    <w:p w14:paraId="11F4FB04" w14:textId="34BB8FD9" w:rsidR="002A3F34" w:rsidRDefault="00F6431C" w:rsidP="007055A5">
      <w:pPr>
        <w:pStyle w:val="ikincidzeybalk"/>
      </w:pPr>
      <w:r>
        <w:rPr>
          <w:szCs w:val="22"/>
        </w:rPr>
        <w:t xml:space="preserve">4.3. Ö3: rekabet payı turiste yakınlıkla artıyor mu?</w:t>
      </w:r>
    </w:p>
    <w:p w14:paraId="67145077" w14:textId="61F759BA" w:rsidR="004724F9" w:rsidRDefault="00FC5974" w:rsidP="001B50BE">
      <w:pPr>
        <w:pStyle w:val="Gvdemetin"/>
      </w:pPr>
      <w:r>
        <w:rPr>
          <w:highlight w:val="yellow"/>
        </w:rPr>
        <w:t xml:space="preserve">YAZAR YAZACAK – yönerge: Tablo 4 / Şekil 3: A1→A4 RK payı; üç satır: NÖ hariç, NÖ dahil, Türk/Çin kaynakları ayrı.</w:t>
      </w:r>
    </w:p>
    <w:p w14:paraId="67145077" w14:textId="61F759BA" w:rsidR="004724F9" w:rsidRDefault="00FC5974" w:rsidP="001B50BE">
      <w:pPr>
        <w:pStyle w:val="Gvdemetin"/>
      </w:pPr>
      <w:r>
        <w:rPr>
          <w:highlight w:val="yellow"/>
        </w:rPr>
        <w:t xml:space="preserve">YAZAR YAZACAK – yönerge: Ön-kayıtlı karar kuralı (blueprint §6): monoton YA DA A1→A4 farkı ≥ 20 yp → destek / kısmi / destek yok. Kuralı uygulayıp sonucu tek cümleyle yaz; payda duyarlılığını (NÖ) açıkça söyle.</w:t>
      </w:r>
    </w:p>
    <w:p w14:paraId="67145077" w14:textId="61F759BA" w:rsidR="004724F9" w:rsidRDefault="00FC5974" w:rsidP="001B50BE">
      <w:pPr>
        <w:pStyle w:val="Gvdemetin"/>
      </w:pPr>
      <w:r>
        <w:rPr>
          <w:highlight w:val="yellow"/>
        </w:rPr>
        <w:t xml:space="preserve">YAZAR YAZACAK – yönerge: Olumsuz vakalar: A1'de RK, A3–A4'te İB kodlu birimler; sayı + 1–2 örnek. Bengtsson &amp; Kock s. 420 pazar temelli ayrışma burada anılır (Tartışma'ya köprü).</w:t>
      </w:r>
    </w:p>
    <w:p w14:paraId="11F4FB04" w14:textId="34BB8FD9" w:rsidR="002A3F34" w:rsidRDefault="00F6431C" w:rsidP="007055A5">
      <w:pPr>
        <w:pStyle w:val="ikincidzeybalk"/>
      </w:pPr>
      <w:r>
        <w:rPr>
          <w:szCs w:val="22"/>
        </w:rPr>
        <w:t xml:space="preserve">4.4. Ö4 ve Ö5: söylem–akış açığı</w:t>
      </w:r>
    </w:p>
    <w:p w14:paraId="67145077" w14:textId="61F759BA" w:rsidR="004724F9" w:rsidRDefault="00FC5974" w:rsidP="001B50BE">
      <w:pPr>
        <w:pStyle w:val="Gvdemetin"/>
      </w:pPr>
      <w:r>
        <w:rPr>
          <w:highlight w:val="yellow"/>
        </w:rPr>
        <w:t xml:space="preserve">YAZAR YAZACAK – yönerge: Şekil 2: Çin uyruklu giriş 2010–2025 + pay (%); olaylar: 2015 e-vize, 2018 Turizm Yılı, 2020 COVID, 2024 MoU. Veri: `ham-veri/cinli-ziyaretci-tuik.csv`. Yazar şekli Excel'de yeniden çizer (YZ görseli yasak).</w:t>
      </w:r>
    </w:p>
    <w:p w14:paraId="67145077" w14:textId="61F759BA" w:rsidR="004724F9" w:rsidRDefault="00FC5974" w:rsidP="001B50BE">
      <w:pPr>
        <w:pStyle w:val="Gvdemetin"/>
      </w:pPr>
      <w:r>
        <w:rPr>
          <w:highlight w:val="yellow"/>
        </w:rPr>
        <w:t xml:space="preserve">YAZAR YAZACAK – yönerge: Betimsel: 2013 138.876 → 2019 426.344 → 2025 425.348; pay en yüksek 2018 %0,998. Nedensel iddia YOK.</w:t>
      </w:r>
    </w:p>
    <w:p w14:paraId="67145077" w14:textId="61F759BA" w:rsidR="004724F9" w:rsidRDefault="00FC5974" w:rsidP="001B50BE">
      <w:pPr>
        <w:pStyle w:val="Gvdemetin"/>
      </w:pPr>
      <w:r>
        <w:rPr>
          <w:highlight w:val="yellow"/>
        </w:rPr>
        <w:t xml:space="preserve">YAZAR YAZACAK – yönerge: Tek taraflı belgelerde Çin'in yurt içi İpek Yolu destinasyonlarını (Xi'an, Dunhuang vb.) pazarlayan birimler → Ö5 için yorumlayıcı kanıt; sayısı ve örneği.</w:t>
      </w:r>
    </w:p>
    <w:p w14:paraId="07EA2D7F" w14:textId="4DA9FA91" w:rsidR="00603456" w:rsidRPr="004A7BA8" w:rsidRDefault="00C13986" w:rsidP="00CD392A">
      <w:pPr>
        <w:pStyle w:val="birincidzeybalk"/>
      </w:pPr>
      <w:r>
        <w:rPr/>
        <w:t xml:space="preserve">5. Tartışma ve Sonuç</w:t>
      </w:r>
    </w:p>
    <w:p w14:paraId="11F4FB04" w14:textId="34BB8FD9" w:rsidR="002A3F34" w:rsidRDefault="00F6431C" w:rsidP="007055A5">
      <w:pPr>
        <w:pStyle w:val="ikincidzeybalk"/>
      </w:pPr>
      <w:r>
        <w:rPr>
          <w:szCs w:val="22"/>
        </w:rPr>
        <w:t xml:space="preserve">5.1. Bulguların kuramla ilişkisi</w:t>
      </w:r>
    </w:p>
    <w:p w14:paraId="67145077" w14:textId="61F759BA" w:rsidR="004724F9" w:rsidRDefault="00FC5974" w:rsidP="001B50BE">
      <w:pPr>
        <w:pStyle w:val="Gvdemetin"/>
      </w:pPr>
      <w:r>
        <w:rPr>
          <w:highlight w:val="yellow"/>
        </w:rPr>
        <w:t xml:space="preserve">YAZAR YAZACAK – yönerge: Ayrıştırma ilkesi devletlerarası miras turizminde ne ölçüde işledi? (Ö3 sonucu) Desteklenmediyse: kuramsal katkı yine var (blueprint §6 cevabı).</w:t>
      </w:r>
    </w:p>
    <w:p w14:paraId="67145077" w14:textId="61F759BA" w:rsidR="004724F9" w:rsidRDefault="00FC5974" w:rsidP="001B50BE">
      <w:pPr>
        <w:pStyle w:val="Gvdemetin"/>
      </w:pPr>
      <w:r>
        <w:rPr>
          <w:highlight w:val="yellow"/>
        </w:rPr>
        <w:t xml:space="preserve">YAZAR YAZACAK – yönerge: Rakip açıklamalar: (a) pazar/coğrafya temelli ayrışma (B&amp;K s. 420), (b) coğrafi–kültürel uzaklık (Deng &amp; Hu 2019), (c) güç asimetrisi (Norheim-Hansen vd. 2026; B&amp;K Önerme 3 s. 422). Her biri için bulgunun ne söylediği.</w:t>
      </w:r>
    </w:p>
    <w:p w14:paraId="67145077" w14:textId="61F759BA" w:rsidR="004724F9" w:rsidRDefault="00FC5974" w:rsidP="001B50BE">
      <w:pPr>
        <w:pStyle w:val="Gvdemetin"/>
      </w:pPr>
      <w:r>
        <w:rPr>
          <w:highlight w:val="yellow"/>
        </w:rPr>
        <w:t xml:space="preserve">YAZAR YAZACAK – yönerge: "Paylaşılan miras" çatallanması: Türk ve Çin anlatılarında simetrik mi, asimetrik mi? (M2/M3 TR–CN karşılaştırması).</w:t>
      </w:r>
    </w:p>
    <w:p w14:paraId="67145077" w14:textId="61F759BA" w:rsidR="004724F9" w:rsidRDefault="00FC5974" w:rsidP="001B50BE">
      <w:pPr>
        <w:pStyle w:val="Gvdemetin"/>
      </w:pPr>
      <w:r>
        <w:rPr>
          <w:highlight w:val="yellow"/>
        </w:rPr>
        <w:t xml:space="preserve">YAZAR YAZACAK – yönerge: Ara aktör olasılığı (B&amp;K Önerme 5 s. 423): UNESCO ortak adaylık, UNWTO İpek Yolu Programı, TDT → politika önerisine zemin.</w:t>
      </w:r>
    </w:p>
    <w:p w14:paraId="11F4FB04" w14:textId="34BB8FD9" w:rsidR="002A3F34" w:rsidRDefault="00F6431C" w:rsidP="007055A5">
      <w:pPr>
        <w:pStyle w:val="ikincidzeybalk"/>
      </w:pPr>
      <w:r>
        <w:rPr>
          <w:szCs w:val="22"/>
        </w:rPr>
        <w:t xml:space="preserve">5.2. Politika çıkarımları</w:t>
      </w:r>
    </w:p>
    <w:p w14:paraId="67145077" w14:textId="61F759BA" w:rsidR="004724F9" w:rsidRDefault="00FC5974" w:rsidP="001B50BE">
      <w:pPr>
        <w:pStyle w:val="Gvdemetin"/>
      </w:pPr>
      <w:r>
        <w:rPr>
          <w:highlight w:val="yellow"/>
        </w:rPr>
        <w:t xml:space="preserve">YAZAR YAZACAK – yönerge: Türkiye için: iş birliğinin verimli olduğu arena(lar) ile farklılaşmanın gerektiği arena(lar). Kazan-kazan dilinin hangi arenada yanıltıcı olduğu.</w:t>
      </w:r>
    </w:p>
    <w:p w14:paraId="67145077" w14:textId="61F759BA" w:rsidR="004724F9" w:rsidRDefault="00FC5974" w:rsidP="001B50BE">
      <w:pPr>
        <w:pStyle w:val="Gvdemetin"/>
      </w:pPr>
      <w:r>
        <w:rPr>
          <w:highlight w:val="yellow"/>
        </w:rPr>
        <w:t xml:space="preserve">YAZAR YAZACAK – yönerge: Kısa, somut; en fazla 3 öneri.</w:t>
      </w:r>
    </w:p>
    <w:p w14:paraId="11F4FB04" w14:textId="34BB8FD9" w:rsidR="002A3F34" w:rsidRDefault="00F6431C" w:rsidP="007055A5">
      <w:pPr>
        <w:pStyle w:val="ikincidzeybalk"/>
      </w:pPr>
      <w:r>
        <w:rPr>
          <w:szCs w:val="22"/>
        </w:rPr>
        <w:t xml:space="preserve">5.3. Sınırlılıklar</w:t>
      </w:r>
    </w:p>
    <w:p w14:paraId="67145077" w14:textId="61F759BA" w:rsidR="004724F9" w:rsidRDefault="00FC5974" w:rsidP="001B50BE">
      <w:pPr>
        <w:pStyle w:val="Gvdemetin"/>
      </w:pPr>
      <w:r>
        <w:rPr>
          <w:highlight w:val="yellow"/>
        </w:rPr>
        <w:t xml:space="preserve">YAZAR YAZACAK – yönerge: Korpus seçim yanlılığı (Bowen 2009); erişilemeyen 12 belge; Çince metinlerin İngilizce/çeviri sürümleri.</w:t>
      </w:r>
    </w:p>
    <w:p w14:paraId="67145077" w14:textId="61F759BA" w:rsidR="004724F9" w:rsidRDefault="00FC5974" w:rsidP="001B50BE">
      <w:pPr>
        <w:pStyle w:val="Gvdemetin"/>
      </w:pPr>
      <w:r>
        <w:rPr>
          <w:highlight w:val="yellow"/>
        </w:rPr>
        <w:t xml:space="preserve">YAZAR YAZACAK – yönerge: Değer yakalama arenasında construct–measure gap (gelir payı verisi yok; &lt;5 birimse "kanıt yetersiz").</w:t>
      </w:r>
    </w:p>
    <w:p w14:paraId="67145077" w14:textId="61F759BA" w:rsidR="004724F9" w:rsidRDefault="00FC5974" w:rsidP="001B50BE">
      <w:pPr>
        <w:pStyle w:val="Gvdemetin"/>
      </w:pPr>
      <w:r>
        <w:rPr>
          <w:highlight w:val="yellow"/>
        </w:rPr>
        <w:t xml:space="preserve">YAZAR YAZACAK – yönerge: TÜİK serisi sınır girişi, turist değil; nedensel test yok.</w:t>
      </w:r>
    </w:p>
    <w:p w14:paraId="67145077" w14:textId="61F759BA" w:rsidR="004724F9" w:rsidRDefault="00FC5974" w:rsidP="001B50BE">
      <w:pPr>
        <w:pStyle w:val="Gvdemetin"/>
      </w:pPr>
      <w:r>
        <w:rPr>
          <w:highlight w:val="yellow"/>
        </w:rPr>
        <w:t xml:space="preserve">YAZAR YAZACAK – yönerge: Sincan tartışmasının kapsam dışı bırakılması analitik olduğu kadar siyasi bir tercihtir (blueprint §10).</w:t>
      </w:r>
    </w:p>
    <w:p w14:paraId="67145077" w14:textId="61F759BA" w:rsidR="004724F9" w:rsidRDefault="00FC5974" w:rsidP="001B50BE">
      <w:pPr>
        <w:pStyle w:val="Gvdemetin"/>
      </w:pPr>
      <w:r>
        <w:rPr>
          <w:highlight w:val="yellow"/>
        </w:rPr>
        <w:t xml:space="preserve">YAZAR YAZACAK – yönerge: Yazar konumu: Türk, turizm pazarlaması; simetrik kodlama ile dengelendi.</w:t>
      </w:r>
    </w:p>
    <w:p w14:paraId="11F4FB04" w14:textId="34BB8FD9" w:rsidR="002A3F34" w:rsidRDefault="00F6431C" w:rsidP="007055A5">
      <w:pPr>
        <w:pStyle w:val="ikincidzeybalk"/>
      </w:pPr>
      <w:r>
        <w:rPr>
          <w:szCs w:val="22"/>
        </w:rPr>
        <w:t xml:space="preserve">5.4. Sonuç</w:t>
      </w:r>
    </w:p>
    <w:p w14:paraId="67145077" w14:textId="61F759BA" w:rsidR="004724F9" w:rsidRDefault="00FC5974" w:rsidP="001B50BE">
      <w:pPr>
        <w:pStyle w:val="Gvdemetin"/>
      </w:pPr>
      <w:r>
        <w:rPr>
          <w:highlight w:val="yellow"/>
        </w:rPr>
        <w:t xml:space="preserve">YAZAR YAZACAK – yönerge: Katkı cümlesi (Giriş'tekiyle aynı iddia, bulguyla doldurulmuş).</w:t>
      </w:r>
    </w:p>
    <w:p w14:paraId="67145077" w14:textId="61F759BA" w:rsidR="004724F9" w:rsidRDefault="00FC5974" w:rsidP="001B50BE">
      <w:pPr>
        <w:pStyle w:val="Gvdemetin"/>
      </w:pPr>
      <w:r>
        <w:rPr>
          <w:highlight w:val="yellow"/>
        </w:rPr>
        <w:t xml:space="preserve">YAZAR YAZACAK – yönerge: Gelecek araştırma: değer yakalama verisi; Çince birincil literatür; Orta Asya üçüncü taraf perspektifi; boylamsal izleme (2026 vize muafiyeti sonrası).</w:t>
      </w:r>
    </w:p>
    <w:p w14:paraId="54FD42EF" w14:textId="374508AE" w:rsidR="00D04A43" w:rsidRPr="00664819" w:rsidRDefault="00D04A43" w:rsidP="00664819">
      <w:pPr>
        <w:pStyle w:val="bulgulartartma"/>
        <w:spacing w:before="120" w:after="120"/>
        <w:jc w:val="both"/>
        <w:rPr>
          <w:b w:val="0"/>
          <w:bCs w:val="0"/>
          <w:color w:val="000000" w:themeColor="text1"/>
        </w:rPr>
      </w:pPr>
      <w:r>
        <w:rPr/>
        <w:t xml:space="preserve">Kaynakça</w:t>
      </w:r>
    </w:p>
    <w:p w14:paraId="7181E931" w14:textId="12400B6F" w:rsidR="00D67217" w:rsidRPr="004D166C" w:rsidRDefault="00A529DA" w:rsidP="00A529DA">
      <w:pPr>
        <w:ind w:left="709" w:hanging="709"/>
        <w:rPr>
          <w:szCs w:val="22"/>
          <w:lang w:val="en-US"/>
        </w:rPr>
      </w:pPr>
      <w:r>
        <w:rPr>
          <w:szCs w:val="22"/>
          <w:lang w:val="en-US"/>
        </w:rPr>
        <w:t xml:space="preserve">Akçay, N., &amp; Guo, C. (2023). Türkiye's Middle Corridor and China's BRI: Identification and assessment. </w:t>
      </w:r>
      <w:r>
        <w:rPr>
          <w:szCs w:val="22"/>
          <w:lang w:val="en-US"/>
          <w:i/>
        </w:rPr>
        <w:t xml:space="preserve">Insight Turkey, 25</w:t>
      </w:r>
      <w:r>
        <w:rPr>
          <w:szCs w:val="22"/>
          <w:lang w:val="en-US"/>
        </w:rPr>
        <w:t xml:space="preserve">(1), 63–74. https://doi.org/10.25253/99.2023251.4</w:t>
      </w:r>
    </w:p>
    <w:p w14:paraId="7181E931" w14:textId="12400B6F" w:rsidR="00D67217" w:rsidRPr="004D166C" w:rsidRDefault="00A529DA" w:rsidP="00A529DA">
      <w:pPr>
        <w:ind w:left="709" w:hanging="709"/>
        <w:rPr>
          <w:szCs w:val="22"/>
          <w:lang w:val="en-US"/>
        </w:rPr>
      </w:pPr>
      <w:r>
        <w:rPr>
          <w:szCs w:val="22"/>
          <w:lang w:val="en-US"/>
        </w:rPr>
        <w:t xml:space="preserve">Akyılmaz, B. (2021). Evaluations of Chinese travel agencies on Mesopotamia destination from the marketing and branding perspective. </w:t>
      </w:r>
      <w:r>
        <w:rPr>
          <w:szCs w:val="22"/>
          <w:lang w:val="en-US"/>
          <w:i/>
        </w:rPr>
        <w:t xml:space="preserve">İşletme Araştırmaları Dergisi, 13</w:t>
      </w:r>
      <w:r>
        <w:rPr>
          <w:szCs w:val="22"/>
          <w:lang w:val="en-US"/>
        </w:rPr>
        <w:t xml:space="preserve">(2), 1800–1816. https://doi.org/10.20491/isarder.2021.1230</w:t>
      </w:r>
    </w:p>
    <w:p w14:paraId="7181E931" w14:textId="12400B6F" w:rsidR="00D67217" w:rsidRPr="004D166C" w:rsidRDefault="00A529DA" w:rsidP="00A529DA">
      <w:pPr>
        <w:ind w:left="709" w:hanging="709"/>
        <w:rPr>
          <w:szCs w:val="22"/>
          <w:lang w:val="en-US"/>
        </w:rPr>
      </w:pPr>
      <w:r>
        <w:rPr>
          <w:szCs w:val="22"/>
          <w:lang w:val="en-US"/>
        </w:rPr>
        <w:t xml:space="preserve">Bengtsson, M., &amp; Kock, S. (1999). Cooperation and competition in relationships between competitors in business networks. </w:t>
      </w:r>
      <w:r>
        <w:rPr>
          <w:szCs w:val="22"/>
          <w:lang w:val="en-US"/>
          <w:i/>
        </w:rPr>
        <w:t xml:space="preserve">Journal of Business &amp; Industrial Marketing, 14</w:t>
      </w:r>
      <w:r>
        <w:rPr>
          <w:szCs w:val="22"/>
          <w:lang w:val="en-US"/>
        </w:rPr>
        <w:t xml:space="preserve">(3), 178–194. https://doi.org/10.1108/08858629910272184</w:t>
      </w:r>
    </w:p>
    <w:p w14:paraId="7181E931" w14:textId="12400B6F" w:rsidR="00D67217" w:rsidRPr="004D166C" w:rsidRDefault="00A529DA" w:rsidP="00A529DA">
      <w:pPr>
        <w:ind w:left="709" w:hanging="709"/>
        <w:rPr>
          <w:szCs w:val="22"/>
          <w:lang w:val="en-US"/>
        </w:rPr>
      </w:pPr>
      <w:r>
        <w:rPr>
          <w:szCs w:val="22"/>
          <w:lang w:val="en-US"/>
        </w:rPr>
        <w:t xml:space="preserve">Bengtsson, M., &amp; Kock, S. (2000). “Coopetition” in business networks—To cooperate and compete simultaneously. </w:t>
      </w:r>
      <w:r>
        <w:rPr>
          <w:szCs w:val="22"/>
          <w:lang w:val="en-US"/>
          <w:i/>
        </w:rPr>
        <w:t xml:space="preserve">Industrial Marketing Management, 29</w:t>
      </w:r>
      <w:r>
        <w:rPr>
          <w:szCs w:val="22"/>
          <w:lang w:val="en-US"/>
        </w:rPr>
        <w:t xml:space="preserve">(5), 411–426. https://doi.org/10.1016/S0019-8501(99)00067-X</w:t>
      </w:r>
    </w:p>
    <w:p w14:paraId="7181E931" w14:textId="12400B6F" w:rsidR="00D67217" w:rsidRPr="004D166C" w:rsidRDefault="00A529DA" w:rsidP="00A529DA">
      <w:pPr>
        <w:ind w:left="709" w:hanging="709"/>
        <w:rPr>
          <w:szCs w:val="22"/>
          <w:lang w:val="en-US"/>
        </w:rPr>
      </w:pPr>
      <w:r>
        <w:rPr>
          <w:szCs w:val="22"/>
          <w:lang w:val="en-US"/>
        </w:rPr>
        <w:t xml:space="preserve">Bowen, G. A. (2009). Document analysis as a qualitative research method. </w:t>
      </w:r>
      <w:r>
        <w:rPr>
          <w:szCs w:val="22"/>
          <w:lang w:val="en-US"/>
          <w:i/>
        </w:rPr>
        <w:t xml:space="preserve">Qualitative Research Journal, 9</w:t>
      </w:r>
      <w:r>
        <w:rPr>
          <w:szCs w:val="22"/>
          <w:lang w:val="en-US"/>
        </w:rPr>
        <w:t xml:space="preserve">(2), 27–40. https://doi.org/10.3316/QRJ0902027</w:t>
      </w:r>
    </w:p>
    <w:p w14:paraId="7181E931" w14:textId="12400B6F" w:rsidR="00D67217" w:rsidRPr="004D166C" w:rsidRDefault="00A529DA" w:rsidP="00A529DA">
      <w:pPr>
        <w:ind w:left="709" w:hanging="709"/>
        <w:rPr>
          <w:szCs w:val="22"/>
          <w:lang w:val="en-US"/>
        </w:rPr>
      </w:pPr>
      <w:r>
        <w:rPr>
          <w:szCs w:val="22"/>
          <w:lang w:val="en-US"/>
        </w:rPr>
        <w:t xml:space="preserve">Brandenburger, A. M., &amp; Nalebuff, B. J. (1996). </w:t>
      </w:r>
      <w:r>
        <w:rPr>
          <w:szCs w:val="22"/>
          <w:lang w:val="en-US"/>
          <w:i/>
        </w:rPr>
        <w:t xml:space="preserve">Co-opetition</w:t>
      </w:r>
      <w:r>
        <w:rPr>
          <w:szCs w:val="22"/>
          <w:lang w:val="en-US"/>
        </w:rPr>
        <w:t xml:space="preserve">. Doubleday.</w:t>
      </w:r>
    </w:p>
    <w:p w14:paraId="7181E931" w14:textId="12400B6F" w:rsidR="00D67217" w:rsidRPr="004D166C" w:rsidRDefault="00A529DA" w:rsidP="00A529DA">
      <w:pPr>
        <w:ind w:left="709" w:hanging="709"/>
        <w:rPr>
          <w:szCs w:val="22"/>
          <w:lang w:val="en-US"/>
        </w:rPr>
      </w:pPr>
      <w:r>
        <w:rPr>
          <w:szCs w:val="22"/>
          <w:lang w:val="en-US"/>
        </w:rPr>
        <w:t xml:space="preserve">Brown, M. S., &amp; O'Brien, D. (2025). The silk roads and shared heritage in Europe: Beyond 'China to Rome'. </w:t>
      </w:r>
      <w:r>
        <w:rPr>
          <w:szCs w:val="22"/>
          <w:lang w:val="en-US"/>
          <w:i/>
        </w:rPr>
        <w:t xml:space="preserve">China Information, 39</w:t>
      </w:r>
      <w:r>
        <w:rPr>
          <w:szCs w:val="22"/>
          <w:lang w:val="en-US"/>
        </w:rPr>
        <w:t xml:space="preserve">(3), 279–300. https://doi.org/10.1177/0920203X241281989</w:t>
      </w:r>
    </w:p>
    <w:p w14:paraId="7181E931" w14:textId="12400B6F" w:rsidR="00D67217" w:rsidRPr="004D166C" w:rsidRDefault="00A529DA" w:rsidP="00A529DA">
      <w:pPr>
        <w:ind w:left="709" w:hanging="709"/>
        <w:rPr>
          <w:szCs w:val="22"/>
          <w:lang w:val="en-US"/>
        </w:rPr>
      </w:pPr>
      <w:r>
        <w:rPr>
          <w:szCs w:val="22"/>
          <w:lang w:val="en-US"/>
        </w:rPr>
        <w:t xml:space="preserve">Chaziza, M. (2021). China's New Silk Road strategy and the Turkish Middle Corridor vision. </w:t>
      </w:r>
      <w:r>
        <w:rPr>
          <w:szCs w:val="22"/>
          <w:lang w:val="en-US"/>
          <w:i/>
        </w:rPr>
        <w:t xml:space="preserve">Asian Journal of Middle Eastern and Islamic Studies, 15</w:t>
      </w:r>
      <w:r>
        <w:rPr>
          <w:szCs w:val="22"/>
          <w:lang w:val="en-US"/>
        </w:rPr>
        <w:t xml:space="preserve">(1), 34–50. https://doi.org/10.1080/25765949.2021.1881326</w:t>
      </w:r>
    </w:p>
    <w:p w14:paraId="7181E931" w14:textId="12400B6F" w:rsidR="00D67217" w:rsidRPr="004D166C" w:rsidRDefault="00A529DA" w:rsidP="00A529DA">
      <w:pPr>
        <w:ind w:left="709" w:hanging="709"/>
        <w:rPr>
          <w:szCs w:val="22"/>
          <w:lang w:val="en-US"/>
        </w:rPr>
      </w:pPr>
      <w:r>
        <w:rPr>
          <w:szCs w:val="22"/>
          <w:lang w:val="en-US"/>
        </w:rPr>
        <w:t xml:space="preserve">Chim-Miki, A. F., &amp; Batista-Canino, R. M. (2017a). The coopetition perspective applied to tourism destinations: A literature review. </w:t>
      </w:r>
      <w:r>
        <w:rPr>
          <w:szCs w:val="22"/>
          <w:lang w:val="en-US"/>
          <w:i/>
        </w:rPr>
        <w:t xml:space="preserve">Anatolia, 28</w:t>
      </w:r>
      <w:r>
        <w:rPr>
          <w:szCs w:val="22"/>
          <w:lang w:val="en-US"/>
        </w:rPr>
        <w:t xml:space="preserve">(3), 381–393. https://doi.org/10.1080/13032917.2017.1322524</w:t>
      </w:r>
    </w:p>
    <w:p w14:paraId="7181E931" w14:textId="12400B6F" w:rsidR="00D67217" w:rsidRPr="004D166C" w:rsidRDefault="00A529DA" w:rsidP="00A529DA">
      <w:pPr>
        <w:ind w:left="709" w:hanging="709"/>
        <w:rPr>
          <w:szCs w:val="22"/>
          <w:lang w:val="en-US"/>
        </w:rPr>
      </w:pPr>
      <w:r>
        <w:rPr>
          <w:szCs w:val="22"/>
          <w:lang w:val="en-US"/>
        </w:rPr>
        <w:t xml:space="preserve">Chim-Miki, A. F., &amp; Batista-Canino, R. M. (2017b). Tourism coopetition: An introduction to the subject and a research agenda. </w:t>
      </w:r>
      <w:r>
        <w:rPr>
          <w:szCs w:val="22"/>
          <w:lang w:val="en-US"/>
          <w:i/>
        </w:rPr>
        <w:t xml:space="preserve">International Business Review, 26</w:t>
      </w:r>
      <w:r>
        <w:rPr>
          <w:szCs w:val="22"/>
          <w:lang w:val="en-US"/>
        </w:rPr>
        <w:t xml:space="preserve">(6), 1208–1217. https://doi.org/10.1016/j.ibusrev.2017.05.003</w:t>
      </w:r>
    </w:p>
    <w:p w14:paraId="7181E931" w14:textId="12400B6F" w:rsidR="00D67217" w:rsidRPr="004D166C" w:rsidRDefault="00A529DA" w:rsidP="00A529DA">
      <w:pPr>
        <w:ind w:left="709" w:hanging="709"/>
        <w:rPr>
          <w:szCs w:val="22"/>
          <w:lang w:val="en-US"/>
        </w:rPr>
      </w:pPr>
      <w:r>
        <w:rPr>
          <w:szCs w:val="22"/>
          <w:lang w:val="en-US"/>
        </w:rPr>
        <w:t xml:space="preserve">Chou, H.-H., &amp; Zolkiewski, J. (2018). Coopetition and value creation and appropriation: The role of interdependencies, tensions and harmony. </w:t>
      </w:r>
      <w:r>
        <w:rPr>
          <w:szCs w:val="22"/>
          <w:lang w:val="en-US"/>
          <w:i/>
        </w:rPr>
        <w:t xml:space="preserve">Industrial Marketing Management, 70</w:t>
      </w:r>
      <w:r>
        <w:rPr>
          <w:szCs w:val="22"/>
          <w:lang w:val="en-US"/>
        </w:rPr>
        <w:t xml:space="preserve">, 25–33. https://doi.org/10.1016/j.indmarman.2017.08.014</w:t>
      </w:r>
    </w:p>
    <w:p w14:paraId="7181E931" w14:textId="12400B6F" w:rsidR="00D67217" w:rsidRPr="004D166C" w:rsidRDefault="00A529DA" w:rsidP="00A529DA">
      <w:pPr>
        <w:ind w:left="709" w:hanging="709"/>
        <w:rPr>
          <w:szCs w:val="22"/>
          <w:lang w:val="en-US"/>
        </w:rPr>
      </w:pPr>
      <w:r>
        <w:rPr>
          <w:szCs w:val="22"/>
          <w:lang w:val="en-US"/>
        </w:rPr>
        <w:t xml:space="preserve">Cihangir, E., Şeremet, M., &amp; Cihangir-Çamur, K. (2022). Turkey at the crossroads: A study of geopolitics and tourism re-alignment. </w:t>
      </w:r>
      <w:r>
        <w:rPr>
          <w:szCs w:val="22"/>
          <w:lang w:val="en-US"/>
          <w:i/>
        </w:rPr>
        <w:t xml:space="preserve">Geography, 107</w:t>
      </w:r>
      <w:r>
        <w:rPr>
          <w:szCs w:val="22"/>
          <w:lang w:val="en-US"/>
        </w:rPr>
        <w:t xml:space="preserve">(3), 145–152. https://doi.org/10.1080/00167487.2022.2114165</w:t>
      </w:r>
    </w:p>
    <w:p w14:paraId="7181E931" w14:textId="12400B6F" w:rsidR="00D67217" w:rsidRPr="004D166C" w:rsidRDefault="00A529DA" w:rsidP="00A529DA">
      <w:pPr>
        <w:ind w:left="709" w:hanging="709"/>
        <w:rPr>
          <w:szCs w:val="22"/>
          <w:lang w:val="en-US"/>
        </w:rPr>
      </w:pPr>
      <w:r>
        <w:rPr>
          <w:szCs w:val="22"/>
          <w:lang w:val="en-US"/>
        </w:rPr>
        <w:t xml:space="preserve">Çin Halk Cumhuriyeti Kültür ve Turizm Bakanlığı. (2024, 6 Haziran). </w:t>
      </w:r>
      <w:r>
        <w:rPr>
          <w:szCs w:val="22"/>
          <w:lang w:val="en-US"/>
          <w:i/>
        </w:rPr>
        <w:t xml:space="preserve">Wenhua he lüyou bu buzhang huijian Tu'erqi wenhua he lüyou bu buzhang</w:t>
      </w:r>
      <w:r>
        <w:rPr>
          <w:szCs w:val="22"/>
          <w:lang w:val="en-US"/>
        </w:rPr>
        <w:t xml:space="preserve"> [Kültür ve turizm bakanı Türkiye kültür ve turizm bakanı ile görüştü]. https://www.mct.gov.cn/whzx/whyw/202406/t20240606_953372.htm</w:t>
      </w:r>
    </w:p>
    <w:p w14:paraId="7181E931" w14:textId="12400B6F" w:rsidR="00D67217" w:rsidRPr="004D166C" w:rsidRDefault="00A529DA" w:rsidP="00A529DA">
      <w:pPr>
        <w:ind w:left="709" w:hanging="709"/>
        <w:rPr>
          <w:szCs w:val="22"/>
          <w:lang w:val="en-US"/>
        </w:rPr>
      </w:pPr>
      <w:r>
        <w:rPr>
          <w:szCs w:val="22"/>
          <w:lang w:val="en-US"/>
        </w:rPr>
        <w:t xml:space="preserve">Daye, M., Charman, K., Wang, Y., &amp; Suzhikova, B. (2020). Exploring local stakeholders' views on the prospects of China's Belt &amp; Road Initiative on tourism development in Kazakhstan. </w:t>
      </w:r>
      <w:r>
        <w:rPr>
          <w:szCs w:val="22"/>
          <w:lang w:val="en-US"/>
          <w:i/>
        </w:rPr>
        <w:t xml:space="preserve">Current Issues in Tourism, 23</w:t>
      </w:r>
      <w:r>
        <w:rPr>
          <w:szCs w:val="22"/>
          <w:lang w:val="en-US"/>
        </w:rPr>
        <w:t xml:space="preserve">(15), 1948–1962. https://doi.org/10.1080/13683500.2019.1700941</w:t>
      </w:r>
    </w:p>
    <w:p w14:paraId="7181E931" w14:textId="12400B6F" w:rsidR="00D67217" w:rsidRPr="004D166C" w:rsidRDefault="00A529DA" w:rsidP="00A529DA">
      <w:pPr>
        <w:ind w:left="709" w:hanging="709"/>
        <w:rPr>
          <w:szCs w:val="22"/>
          <w:lang w:val="en-US"/>
        </w:rPr>
      </w:pPr>
      <w:r>
        <w:rPr>
          <w:szCs w:val="22"/>
          <w:lang w:val="en-US"/>
        </w:rPr>
        <w:t xml:space="preserve">Dayoub, B., Yang, P., Omran, S., Zhang, Q., Chen, X., Ahmed Noman Alabsi, A., &amp; Dayoub, A. (2024). The Belt and Road Initiative's impact on tourism and heritage along the Silk Roads: A systematic literature review and future research agenda. </w:t>
      </w:r>
      <w:r>
        <w:rPr>
          <w:szCs w:val="22"/>
          <w:lang w:val="en-US"/>
          <w:i/>
        </w:rPr>
        <w:t xml:space="preserve">PLOS ONE, 19</w:t>
      </w:r>
      <w:r>
        <w:rPr>
          <w:szCs w:val="22"/>
          <w:lang w:val="en-US"/>
        </w:rPr>
        <w:t xml:space="preserve">(7), e0306298. https://doi.org/10.1371/journal.pone.0306298</w:t>
      </w:r>
    </w:p>
    <w:p w14:paraId="7181E931" w14:textId="12400B6F" w:rsidR="00D67217" w:rsidRPr="004D166C" w:rsidRDefault="00A529DA" w:rsidP="00A529DA">
      <w:pPr>
        <w:ind w:left="709" w:hanging="709"/>
        <w:rPr>
          <w:szCs w:val="22"/>
          <w:lang w:val="en-US"/>
        </w:rPr>
      </w:pPr>
      <w:r>
        <w:rPr>
          <w:szCs w:val="22"/>
          <w:lang w:val="en-US"/>
        </w:rPr>
        <w:t xml:space="preserve">Debarbieux, B., Bortolotto, C., Munz, H., &amp; Raziano, C. (2023). Sharing heritage? Politics and territoriality in UNESCO's heritage lists. </w:t>
      </w:r>
      <w:r>
        <w:rPr>
          <w:szCs w:val="22"/>
          <w:lang w:val="en-US"/>
          <w:i/>
        </w:rPr>
        <w:t xml:space="preserve">Territory, Politics, Governance, 11</w:t>
      </w:r>
      <w:r>
        <w:rPr>
          <w:szCs w:val="22"/>
          <w:lang w:val="en-US"/>
        </w:rPr>
        <w:t xml:space="preserve">(3), 608–624. https://doi.org/10.1080/21622671.2020.1854112</w:t>
      </w:r>
    </w:p>
    <w:p w14:paraId="7181E931" w14:textId="12400B6F" w:rsidR="00D67217" w:rsidRPr="004D166C" w:rsidRDefault="00A529DA" w:rsidP="00A529DA">
      <w:pPr>
        <w:ind w:left="709" w:hanging="709"/>
        <w:rPr>
          <w:szCs w:val="22"/>
          <w:lang w:val="en-US"/>
        </w:rPr>
      </w:pPr>
      <w:r>
        <w:rPr>
          <w:szCs w:val="22"/>
          <w:lang w:val="en-US"/>
        </w:rPr>
        <w:t xml:space="preserve">Deng, T., &amp; Hu, Y. (2019). Modelling China's outbound tourist flow to the 'Silk Road': A spatial econometric approach. </w:t>
      </w:r>
      <w:r>
        <w:rPr>
          <w:szCs w:val="22"/>
          <w:lang w:val="en-US"/>
          <w:i/>
        </w:rPr>
        <w:t xml:space="preserve">Tourism Economics, 25</w:t>
      </w:r>
      <w:r>
        <w:rPr>
          <w:szCs w:val="22"/>
          <w:lang w:val="en-US"/>
        </w:rPr>
        <w:t xml:space="preserve">(8), 1167–1181. https://doi.org/10.1177/1354816618809763</w:t>
      </w:r>
    </w:p>
    <w:p w14:paraId="7181E931" w14:textId="12400B6F" w:rsidR="00D67217" w:rsidRPr="004D166C" w:rsidRDefault="00A529DA" w:rsidP="00A529DA">
      <w:pPr>
        <w:ind w:left="709" w:hanging="709"/>
        <w:rPr>
          <w:szCs w:val="22"/>
          <w:lang w:val="en-US"/>
        </w:rPr>
      </w:pPr>
      <w:r>
        <w:rPr>
          <w:szCs w:val="22"/>
          <w:lang w:val="en-US"/>
        </w:rPr>
        <w:t xml:space="preserve">Farmanov, E., Farmanov, U., Bujdosó, Z., &amp; Dávid, L. D. (2026). Capacity without passengers: A five-condition framework for converting Silk Road freight corridors into sustainable heritage tourism corridors. </w:t>
      </w:r>
      <w:r>
        <w:rPr>
          <w:szCs w:val="22"/>
          <w:lang w:val="en-US"/>
          <w:i/>
        </w:rPr>
        <w:t xml:space="preserve">Frontiers in Sustainable Tourism, 5</w:t>
      </w:r>
      <w:r>
        <w:rPr>
          <w:szCs w:val="22"/>
          <w:lang w:val="en-US"/>
        </w:rPr>
        <w:t xml:space="preserve">, 1948903. https://doi.org/10.3389/frsut.2026.1948903</w:t>
      </w:r>
    </w:p>
    <w:p w14:paraId="7181E931" w14:textId="12400B6F" w:rsidR="00D67217" w:rsidRPr="004D166C" w:rsidRDefault="00A529DA" w:rsidP="00A529DA">
      <w:pPr>
        <w:ind w:left="709" w:hanging="709"/>
        <w:rPr>
          <w:szCs w:val="22"/>
          <w:lang w:val="en-US"/>
        </w:rPr>
      </w:pPr>
      <w:r>
        <w:rPr>
          <w:szCs w:val="22"/>
          <w:lang w:val="en-US"/>
        </w:rPr>
        <w:t xml:space="preserve">Gnyawali, D. R., &amp; Ryan Charleton, T. (2018). Nuances in the interplay of competition and cooperation: Towards a theory of coopetition. </w:t>
      </w:r>
      <w:r>
        <w:rPr>
          <w:szCs w:val="22"/>
          <w:lang w:val="en-US"/>
          <w:i/>
        </w:rPr>
        <w:t xml:space="preserve">Journal of Management, 44</w:t>
      </w:r>
      <w:r>
        <w:rPr>
          <w:szCs w:val="22"/>
          <w:lang w:val="en-US"/>
        </w:rPr>
        <w:t xml:space="preserve">(7), 2511–2534. https://doi.org/10.1177/0149206318788945</w:t>
      </w:r>
    </w:p>
    <w:p w14:paraId="7181E931" w14:textId="12400B6F" w:rsidR="00D67217" w:rsidRPr="004D166C" w:rsidRDefault="00A529DA" w:rsidP="00A529DA">
      <w:pPr>
        <w:ind w:left="709" w:hanging="709"/>
        <w:rPr>
          <w:szCs w:val="22"/>
          <w:lang w:val="en-US"/>
        </w:rPr>
      </w:pPr>
      <w:r>
        <w:rPr>
          <w:szCs w:val="22"/>
          <w:lang w:val="en-US"/>
        </w:rPr>
        <w:t xml:space="preserve">Hisarlıoğlu, F., &amp; Yanık, L. K. (2025). Heritage geopolitics: Hegemonic meaning-making, international orders, and the heritagisation of traditional archery in Turkey and beyond. </w:t>
      </w:r>
      <w:r>
        <w:rPr>
          <w:szCs w:val="22"/>
          <w:lang w:val="en-US"/>
          <w:i/>
        </w:rPr>
        <w:t xml:space="preserve">Review of International Studies, 51</w:t>
      </w:r>
      <w:r>
        <w:rPr>
          <w:szCs w:val="22"/>
          <w:lang w:val="en-US"/>
        </w:rPr>
        <w:t xml:space="preserve">(6), 1065–1084. https://doi.org/10.1017/S0260210525101228</w:t>
      </w:r>
    </w:p>
    <w:p w14:paraId="7181E931" w14:textId="12400B6F" w:rsidR="00D67217" w:rsidRPr="004D166C" w:rsidRDefault="00A529DA" w:rsidP="00A529DA">
      <w:pPr>
        <w:ind w:left="709" w:hanging="709"/>
        <w:rPr>
          <w:szCs w:val="22"/>
          <w:lang w:val="en-US"/>
        </w:rPr>
      </w:pPr>
      <w:r>
        <w:rPr>
          <w:szCs w:val="22"/>
          <w:lang w:val="en-US"/>
        </w:rPr>
        <w:t xml:space="preserve">İbiş, S. (2019). Yeni İpek Yolu Projesi ve Türkiye turizmine olası yansımaları. </w:t>
      </w:r>
      <w:r>
        <w:rPr>
          <w:szCs w:val="22"/>
          <w:lang w:val="en-US"/>
          <w:i/>
        </w:rPr>
        <w:t xml:space="preserve">Journal of Business Management and Economic Research, 3</w:t>
      </w:r>
      <w:r>
        <w:rPr>
          <w:szCs w:val="22"/>
          <w:lang w:val="en-US"/>
        </w:rPr>
        <w:t xml:space="preserve">(1), 34–44. https://doi.org/10.29226/TR1001.2019.103</w:t>
      </w:r>
    </w:p>
    <w:p w14:paraId="7181E931" w14:textId="12400B6F" w:rsidR="00D67217" w:rsidRPr="004D166C" w:rsidRDefault="00A529DA" w:rsidP="00A529DA">
      <w:pPr>
        <w:ind w:left="709" w:hanging="709"/>
        <w:rPr>
          <w:szCs w:val="22"/>
          <w:lang w:val="en-US"/>
        </w:rPr>
      </w:pPr>
      <w:r>
        <w:rPr>
          <w:szCs w:val="22"/>
          <w:lang w:val="en-US"/>
        </w:rPr>
        <w:t xml:space="preserve">İbiş, S., &amp; Batman, O. (2018). Türkiye'ye gelen Çinli turistlerin seyahat motivasyonları üzerine bir araştırma. </w:t>
      </w:r>
      <w:r>
        <w:rPr>
          <w:szCs w:val="22"/>
          <w:lang w:val="en-US"/>
          <w:i/>
        </w:rPr>
        <w:t xml:space="preserve">Hitit Üniversitesi Sosyal Bilimler Enstitüsü Dergisi, 11</w:t>
      </w:r>
      <w:r>
        <w:rPr>
          <w:szCs w:val="22"/>
          <w:lang w:val="en-US"/>
        </w:rPr>
        <w:t xml:space="preserve">(1), 455–476. https://doi.org/10.17218/hititsosbil.346388</w:t>
      </w:r>
    </w:p>
    <w:p w14:paraId="7181E931" w14:textId="12400B6F" w:rsidR="00D67217" w:rsidRPr="004D166C" w:rsidRDefault="00A529DA" w:rsidP="00A529DA">
      <w:pPr>
        <w:ind w:left="709" w:hanging="709"/>
        <w:rPr>
          <w:szCs w:val="22"/>
          <w:lang w:val="en-US"/>
        </w:rPr>
      </w:pPr>
      <w:r>
        <w:rPr>
          <w:szCs w:val="22"/>
          <w:lang w:val="en-US"/>
        </w:rPr>
        <w:t xml:space="preserve">Kılıç, B. (2021). Çin'in Kuşak ve Yol Girişiminin Türkiye'nin turizmine beklenen olası yansımaları. </w:t>
      </w:r>
      <w:r>
        <w:rPr>
          <w:szCs w:val="22"/>
          <w:lang w:val="en-US"/>
          <w:i/>
        </w:rPr>
        <w:t xml:space="preserve">The Journal of Academic Social Sciences</w:t>
      </w:r>
      <w:r>
        <w:rPr>
          <w:szCs w:val="22"/>
          <w:lang w:val="en-US"/>
        </w:rPr>
        <w:t xml:space="preserve">, (113), 121–134. https://doi.org/10.29228/ASOS.48560</w:t>
      </w:r>
    </w:p>
    <w:p w14:paraId="7181E931" w14:textId="12400B6F" w:rsidR="00D67217" w:rsidRPr="004D166C" w:rsidRDefault="00A529DA" w:rsidP="00A529DA">
      <w:pPr>
        <w:ind w:left="709" w:hanging="709"/>
        <w:rPr>
          <w:szCs w:val="22"/>
          <w:lang w:val="en-US"/>
        </w:rPr>
      </w:pPr>
      <w:r>
        <w:rPr>
          <w:szCs w:val="22"/>
          <w:lang w:val="en-US"/>
        </w:rPr>
        <w:t xml:space="preserve">Kirillova, K., Park, J., Zhu, M., Dioko, L., &amp; Zeng, G. (2020). Developing the coopetitive destination brand for the Greater Bay Area. </w:t>
      </w:r>
      <w:r>
        <w:rPr>
          <w:szCs w:val="22"/>
          <w:lang w:val="en-US"/>
          <w:i/>
        </w:rPr>
        <w:t xml:space="preserve">Journal of Destination Marketing &amp; Management, 17</w:t>
      </w:r>
      <w:r>
        <w:rPr>
          <w:szCs w:val="22"/>
          <w:lang w:val="en-US"/>
        </w:rPr>
        <w:t xml:space="preserve">, 100439. https://doi.org/10.1016/j.jdmm.2020.100439</w:t>
      </w:r>
    </w:p>
    <w:p w14:paraId="7181E931" w14:textId="12400B6F" w:rsidR="00D67217" w:rsidRPr="004D166C" w:rsidRDefault="00A529DA" w:rsidP="00A529DA">
      <w:pPr>
        <w:ind w:left="709" w:hanging="709"/>
        <w:rPr>
          <w:szCs w:val="22"/>
          <w:lang w:val="en-US"/>
        </w:rPr>
      </w:pPr>
      <w:r>
        <w:rPr>
          <w:szCs w:val="22"/>
          <w:lang w:val="en-US"/>
        </w:rPr>
        <w:t xml:space="preserve">Kostopoulou, S., Sofianou, P.-K., &amp; Tsiokanos, K. (2021). Silk Road heritage branding and polycentric tourism development. </w:t>
      </w:r>
      <w:r>
        <w:rPr>
          <w:szCs w:val="22"/>
          <w:lang w:val="en-US"/>
          <w:i/>
        </w:rPr>
        <w:t xml:space="preserve">Sustainability, 13</w:t>
      </w:r>
      <w:r>
        <w:rPr>
          <w:szCs w:val="22"/>
          <w:lang w:val="en-US"/>
        </w:rPr>
        <w:t xml:space="preserve">(4), 1893. https://doi.org/10.3390/su13041893</w:t>
      </w:r>
    </w:p>
    <w:p w14:paraId="7181E931" w14:textId="12400B6F" w:rsidR="00D67217" w:rsidRPr="004D166C" w:rsidRDefault="00A529DA" w:rsidP="00A529DA">
      <w:pPr>
        <w:ind w:left="709" w:hanging="709"/>
        <w:rPr>
          <w:szCs w:val="22"/>
          <w:lang w:val="en-US"/>
        </w:rPr>
      </w:pPr>
      <w:r>
        <w:rPr>
          <w:szCs w:val="22"/>
          <w:lang w:val="en-US"/>
        </w:rPr>
        <w:t xml:space="preserve">Mozaffari, A., &amp; Akbar, A. (2024). Heritage diplomacy and soft power competition between Iran and Turkey: Competing claims over Rumi and Nowruz. </w:t>
      </w:r>
      <w:r>
        <w:rPr>
          <w:szCs w:val="22"/>
          <w:lang w:val="en-US"/>
          <w:i/>
        </w:rPr>
        <w:t xml:space="preserve">International Journal of Cultural Policy, 30</w:t>
      </w:r>
      <w:r>
        <w:rPr>
          <w:szCs w:val="22"/>
          <w:lang w:val="en-US"/>
        </w:rPr>
        <w:t xml:space="preserve">(5), 597–614. https://doi.org/10.1080/10286632.2023.2241872</w:t>
      </w:r>
    </w:p>
    <w:p w14:paraId="7181E931" w14:textId="12400B6F" w:rsidR="00D67217" w:rsidRPr="004D166C" w:rsidRDefault="00A529DA" w:rsidP="00A529DA">
      <w:pPr>
        <w:ind w:left="709" w:hanging="709"/>
        <w:rPr>
          <w:szCs w:val="22"/>
          <w:lang w:val="en-US"/>
        </w:rPr>
      </w:pPr>
      <w:r>
        <w:rPr>
          <w:szCs w:val="22"/>
          <w:lang w:val="en-US"/>
        </w:rPr>
        <w:t xml:space="preserve">Nakano, R. (2023). A geocultural power competition in UNESCO's Silk Roads Project: China's initiatives and the responses from Japan and South Korea. </w:t>
      </w:r>
      <w:r>
        <w:rPr>
          <w:szCs w:val="22"/>
          <w:lang w:val="en-US"/>
          <w:i/>
        </w:rPr>
        <w:t xml:space="preserve">Journal of Current Chinese Affairs, 52</w:t>
      </w:r>
      <w:r>
        <w:rPr>
          <w:szCs w:val="22"/>
          <w:lang w:val="en-US"/>
        </w:rPr>
        <w:t xml:space="preserve">(2), 185–206. https://doi.org/10.1177/18681026221094054</w:t>
      </w:r>
    </w:p>
    <w:p w14:paraId="7181E931" w14:textId="12400B6F" w:rsidR="00D67217" w:rsidRPr="004D166C" w:rsidRDefault="00A529DA" w:rsidP="00A529DA">
      <w:pPr>
        <w:ind w:left="709" w:hanging="709"/>
        <w:rPr>
          <w:szCs w:val="22"/>
          <w:lang w:val="en-US"/>
        </w:rPr>
      </w:pPr>
      <w:r>
        <w:rPr>
          <w:szCs w:val="22"/>
          <w:lang w:val="en-US"/>
        </w:rPr>
        <w:t xml:space="preserve">Niu, S., &amp; Li, N. (2019). Sino-Turkish tourism cooperation under the framework of the Belt and Road Initiative. </w:t>
      </w:r>
      <w:r>
        <w:rPr>
          <w:szCs w:val="22"/>
          <w:lang w:val="en-US"/>
          <w:i/>
        </w:rPr>
        <w:t xml:space="preserve">Asian Journal of Middle Eastern and Islamic Studies, 13</w:t>
      </w:r>
      <w:r>
        <w:rPr>
          <w:szCs w:val="22"/>
          <w:lang w:val="en-US"/>
        </w:rPr>
        <w:t xml:space="preserve">(3), 445–461. https://doi.org/10.1080/25765949.2019.1630581</w:t>
      </w:r>
    </w:p>
    <w:p w14:paraId="7181E931" w14:textId="12400B6F" w:rsidR="00D67217" w:rsidRPr="004D166C" w:rsidRDefault="00A529DA" w:rsidP="00A529DA">
      <w:pPr>
        <w:ind w:left="709" w:hanging="709"/>
        <w:rPr>
          <w:szCs w:val="22"/>
          <w:lang w:val="en-US"/>
        </w:rPr>
      </w:pPr>
      <w:r>
        <w:rPr>
          <w:szCs w:val="22"/>
          <w:lang w:val="en-US"/>
        </w:rPr>
        <w:t xml:space="preserve">Norheim-Hansen, A., Aarstad, J., Haugland, S. A., &amp; Ness, H. (2026). The impact of status on inter-destination coopetition. </w:t>
      </w:r>
      <w:r>
        <w:rPr>
          <w:szCs w:val="22"/>
          <w:lang w:val="en-US"/>
          <w:i/>
        </w:rPr>
        <w:t xml:space="preserve">Annals of Tourism Research, 120</w:t>
      </w:r>
      <w:r>
        <w:rPr>
          <w:szCs w:val="22"/>
          <w:lang w:val="en-US"/>
        </w:rPr>
        <w:t xml:space="preserve">, 104253. https://doi.org/10.1016/j.annals.2026.104253</w:t>
      </w:r>
    </w:p>
    <w:p w14:paraId="7181E931" w14:textId="12400B6F" w:rsidR="00D67217" w:rsidRPr="004D166C" w:rsidRDefault="00A529DA" w:rsidP="00A529DA">
      <w:pPr>
        <w:ind w:left="709" w:hanging="709"/>
        <w:rPr>
          <w:szCs w:val="22"/>
          <w:lang w:val="en-US"/>
        </w:rPr>
      </w:pPr>
      <w:r>
        <w:rPr>
          <w:szCs w:val="22"/>
          <w:lang w:val="en-US"/>
        </w:rPr>
        <w:t xml:space="preserve">Palidan, M. (2024). Kuşak ve Yol İnisiyatifi'nin Çin-Türkiye turizmi üzerindeki etkisi: Fırsatlar ve zorlukların incelenmesi. </w:t>
      </w:r>
      <w:r>
        <w:rPr>
          <w:szCs w:val="22"/>
          <w:lang w:val="en-US"/>
          <w:i/>
        </w:rPr>
        <w:t xml:space="preserve">The Journal of Social Sciences, 73</w:t>
      </w:r>
      <w:r>
        <w:rPr>
          <w:szCs w:val="22"/>
          <w:lang w:val="en-US"/>
        </w:rPr>
        <w:t xml:space="preserve">, 442–462. https://doi.org/10.29228/SOBIDER.78915</w:t>
      </w:r>
    </w:p>
    <w:p w14:paraId="7181E931" w14:textId="12400B6F" w:rsidR="00D67217" w:rsidRPr="004D166C" w:rsidRDefault="00A529DA" w:rsidP="00A529DA">
      <w:pPr>
        <w:ind w:left="709" w:hanging="709"/>
        <w:rPr>
          <w:szCs w:val="22"/>
          <w:lang w:val="en-US"/>
        </w:rPr>
      </w:pPr>
      <w:r>
        <w:rPr>
          <w:szCs w:val="22"/>
          <w:lang w:val="en-US"/>
        </w:rPr>
        <w:t xml:space="preserve">Redi, F., &amp; Pulido Fernández, J. I. (2018). Describing coopetition among destinations: Evidence from the UNWTO Silk Road Program. I. Oncioiu (Ed.), </w:t>
      </w:r>
      <w:r>
        <w:rPr>
          <w:szCs w:val="22"/>
          <w:lang w:val="en-US"/>
          <w:i/>
        </w:rPr>
        <w:t xml:space="preserve">Ethics and decision-making for sustainable business practices</w:t>
      </w:r>
      <w:r>
        <w:rPr>
          <w:szCs w:val="22"/>
          <w:lang w:val="en-US"/>
        </w:rPr>
        <w:t xml:space="preserve"> içinde (ss. 217–238). IGI Global. https://doi.org/10.4018/978-1-5225-3773-1.ch013</w:t>
      </w:r>
    </w:p>
    <w:p w14:paraId="7181E931" w14:textId="12400B6F" w:rsidR="00D67217" w:rsidRPr="004D166C" w:rsidRDefault="00A529DA" w:rsidP="00A529DA">
      <w:pPr>
        <w:ind w:left="709" w:hanging="709"/>
        <w:rPr>
          <w:szCs w:val="22"/>
          <w:lang w:val="en-US"/>
        </w:rPr>
      </w:pPr>
      <w:r>
        <w:rPr>
          <w:szCs w:val="22"/>
          <w:lang w:val="en-US"/>
        </w:rPr>
        <w:t xml:space="preserve">Resmî Gazete. (2017, 7 Haziran). Türkiye Cumhuriyeti Hükümeti ile Çin Halk Cumhuriyeti Hükümeti arasında İpek Yolu Ekonomik Kuşağının, 21. Yüzyıl Denizdeki İpek Yolunun ve Orta Koridor Girişiminin uyumlaştırılmasına ilişkin mutabakat zaptı (Karar Sayısı: 2017/10379). </w:t>
      </w:r>
      <w:r>
        <w:rPr>
          <w:szCs w:val="22"/>
          <w:lang w:val="en-US"/>
          <w:i/>
        </w:rPr>
        <w:t xml:space="preserve">Resmî Gazete</w:t>
      </w:r>
      <w:r>
        <w:rPr>
          <w:szCs w:val="22"/>
          <w:lang w:val="en-US"/>
        </w:rPr>
        <w:t xml:space="preserve">, 30089. https://www.resmigazete.gov.tr/eskiler/2017/06/20170607-1.pdf</w:t>
      </w:r>
    </w:p>
    <w:p w14:paraId="7181E931" w14:textId="12400B6F" w:rsidR="00D67217" w:rsidRPr="004D166C" w:rsidRDefault="00A529DA" w:rsidP="00A529DA">
      <w:pPr>
        <w:ind w:left="709" w:hanging="709"/>
        <w:rPr>
          <w:szCs w:val="22"/>
          <w:lang w:val="en-US"/>
        </w:rPr>
      </w:pPr>
      <w:r>
        <w:rPr>
          <w:szCs w:val="22"/>
          <w:lang w:val="en-US"/>
        </w:rPr>
        <w:t xml:space="preserve">Sciorati, G. (2023). 'Constructing' heritage diplomacy in Central Asia: China's Sinocentric historicisation of transnational World Heritage Sites. </w:t>
      </w:r>
      <w:r>
        <w:rPr>
          <w:szCs w:val="22"/>
          <w:lang w:val="en-US"/>
          <w:i/>
        </w:rPr>
        <w:t xml:space="preserve">International Journal of Cultural Policy, 29</w:t>
      </w:r>
      <w:r>
        <w:rPr>
          <w:szCs w:val="22"/>
          <w:lang w:val="en-US"/>
        </w:rPr>
        <w:t xml:space="preserve">(1), 94–112. https://doi.org/10.1080/10286632.2022.2141718</w:t>
      </w:r>
    </w:p>
    <w:p w14:paraId="7181E931" w14:textId="12400B6F" w:rsidR="00D67217" w:rsidRPr="004D166C" w:rsidRDefault="00A529DA" w:rsidP="00A529DA">
      <w:pPr>
        <w:ind w:left="709" w:hanging="709"/>
        <w:rPr>
          <w:szCs w:val="22"/>
          <w:lang w:val="en-US"/>
        </w:rPr>
      </w:pPr>
      <w:r>
        <w:rPr>
          <w:szCs w:val="22"/>
          <w:lang w:val="en-US"/>
        </w:rPr>
        <w:t xml:space="preserve">Sirisuthikul, V. (2018). Conceptualizing ASEAN tourism brand: Towards a coopetition framework. </w:t>
      </w:r>
      <w:r>
        <w:rPr>
          <w:szCs w:val="22"/>
          <w:lang w:val="en-US"/>
          <w:i/>
        </w:rPr>
        <w:t xml:space="preserve">GATR Global Journal of Business Social Sciences Review, 6</w:t>
      </w:r>
      <w:r>
        <w:rPr>
          <w:szCs w:val="22"/>
          <w:lang w:val="en-US"/>
        </w:rPr>
        <w:t xml:space="preserve">(4), 114–121. https://doi.org/10.35609/gjbssr.2018.6.4(2)</w:t>
      </w:r>
    </w:p>
    <w:p w14:paraId="7181E931" w14:textId="12400B6F" w:rsidR="00D67217" w:rsidRPr="004D166C" w:rsidRDefault="00A529DA" w:rsidP="00A529DA">
      <w:pPr>
        <w:ind w:left="709" w:hanging="709"/>
        <w:rPr>
          <w:szCs w:val="22"/>
          <w:lang w:val="en-US"/>
        </w:rPr>
      </w:pPr>
      <w:r>
        <w:rPr>
          <w:szCs w:val="22"/>
          <w:lang w:val="en-US"/>
        </w:rPr>
        <w:t xml:space="preserve">Tse, T. S. M. (2013). Chinese outbound tourism as a form of diplomacy. </w:t>
      </w:r>
      <w:r>
        <w:rPr>
          <w:szCs w:val="22"/>
          <w:lang w:val="en-US"/>
          <w:i/>
        </w:rPr>
        <w:t xml:space="preserve">Tourism Planning &amp; Development, 10</w:t>
      </w:r>
      <w:r>
        <w:rPr>
          <w:szCs w:val="22"/>
          <w:lang w:val="en-US"/>
        </w:rPr>
        <w:t xml:space="preserve">(2), 149–158. https://doi.org/10.1080/21568316.2013.783738</w:t>
      </w:r>
    </w:p>
    <w:p w14:paraId="7181E931" w14:textId="12400B6F" w:rsidR="00D67217" w:rsidRPr="004D166C" w:rsidRDefault="00A529DA" w:rsidP="00A529DA">
      <w:pPr>
        <w:ind w:left="709" w:hanging="709"/>
        <w:rPr>
          <w:szCs w:val="22"/>
          <w:lang w:val="en-US"/>
        </w:rPr>
      </w:pPr>
      <w:r>
        <w:rPr>
          <w:szCs w:val="22"/>
          <w:lang w:val="en-US"/>
        </w:rPr>
        <w:t xml:space="preserve">Türkiye İstatistik Kurumu. (2026). </w:t>
      </w:r>
      <w:r>
        <w:rPr>
          <w:szCs w:val="22"/>
          <w:lang w:val="en-US"/>
          <w:i/>
        </w:rPr>
        <w:t xml:space="preserve">Giriş yapan yabancı ve vatandaşlar</w:t>
      </w:r>
      <w:r>
        <w:rPr>
          <w:szCs w:val="22"/>
          <w:lang w:val="en-US"/>
        </w:rPr>
        <w:t xml:space="preserve"> [Veri seti]. Türkiye İstatistik Kurumu.</w:t>
      </w:r>
    </w:p>
    <w:p w14:paraId="7181E931" w14:textId="12400B6F" w:rsidR="00D67217" w:rsidRPr="004D166C" w:rsidRDefault="00A529DA" w:rsidP="00A529DA">
      <w:pPr>
        <w:ind w:left="709" w:hanging="709"/>
        <w:rPr>
          <w:szCs w:val="22"/>
          <w:lang w:val="en-US"/>
        </w:rPr>
      </w:pPr>
      <w:r>
        <w:rPr>
          <w:szCs w:val="22"/>
          <w:lang w:val="en-US"/>
        </w:rPr>
        <w:t xml:space="preserve">Türkiye Turizm Tanıtım ve Geliştirme Ajansı. (2026). </w:t>
      </w:r>
      <w:r>
        <w:rPr>
          <w:szCs w:val="22"/>
          <w:lang w:val="en-US"/>
          <w:i/>
        </w:rPr>
        <w:t xml:space="preserve">Visa-free entry policy for Chinese citizens traveling to Türkiye (effective from 2 January 2026)</w:t>
      </w:r>
      <w:r>
        <w:rPr>
          <w:szCs w:val="22"/>
          <w:lang w:val="en-US"/>
        </w:rPr>
        <w:t xml:space="preserve">. GoTürkiye. https://goturkiye.com/visa-free-entry-policy-for-chinese-citizens-traveling-to-turkiye</w:t>
      </w:r>
    </w:p>
    <w:p w14:paraId="7181E931" w14:textId="12400B6F" w:rsidR="00D67217" w:rsidRPr="004D166C" w:rsidRDefault="00A529DA" w:rsidP="00A529DA">
      <w:pPr>
        <w:ind w:left="709" w:hanging="709"/>
        <w:rPr>
          <w:szCs w:val="22"/>
          <w:lang w:val="en-US"/>
        </w:rPr>
      </w:pPr>
      <w:r>
        <w:rPr>
          <w:szCs w:val="22"/>
          <w:lang w:val="en-US"/>
        </w:rPr>
        <w:t xml:space="preserve">Wang, J., &amp; Sun, D. (2024). China and Türkiye's strategic cooperation in the 21st century: A 'complex role' prism. </w:t>
      </w:r>
      <w:r>
        <w:rPr>
          <w:szCs w:val="22"/>
          <w:lang w:val="en-US"/>
          <w:i/>
        </w:rPr>
        <w:t xml:space="preserve">Journal of Balkan and Near Eastern Studies, 26</w:t>
      </w:r>
      <w:r>
        <w:rPr>
          <w:szCs w:val="22"/>
          <w:lang w:val="en-US"/>
        </w:rPr>
        <w:t xml:space="preserve">(5), 732–749. https://doi.org/10.1080/19448953.2024.2308974</w:t>
      </w:r>
    </w:p>
    <w:p w14:paraId="7181E931" w14:textId="12400B6F" w:rsidR="00D67217" w:rsidRPr="004D166C" w:rsidRDefault="00A529DA" w:rsidP="00A529DA">
      <w:pPr>
        <w:ind w:left="709" w:hanging="709"/>
        <w:rPr>
          <w:szCs w:val="22"/>
          <w:lang w:val="en-US"/>
        </w:rPr>
      </w:pPr>
      <w:r>
        <w:rPr>
          <w:szCs w:val="22"/>
          <w:lang w:val="en-US"/>
        </w:rPr>
        <w:t xml:space="preserve">Wang, Y., &amp; Krakover, S. (2008). Destination marketing: Competition, cooperation or coopetition? </w:t>
      </w:r>
      <w:r>
        <w:rPr>
          <w:szCs w:val="22"/>
          <w:lang w:val="en-US"/>
          <w:i/>
        </w:rPr>
        <w:t xml:space="preserve">International Journal of Contemporary Hospitality Management, 20</w:t>
      </w:r>
      <w:r>
        <w:rPr>
          <w:szCs w:val="22"/>
          <w:lang w:val="en-US"/>
        </w:rPr>
        <w:t xml:space="preserve">(2), 126–141. https://doi.org/10.1108/09596110810852122</w:t>
      </w:r>
    </w:p>
    <w:p w14:paraId="7181E931" w14:textId="12400B6F" w:rsidR="00D67217" w:rsidRPr="004D166C" w:rsidRDefault="00A529DA" w:rsidP="00A529DA">
      <w:pPr>
        <w:ind w:left="709" w:hanging="709"/>
        <w:rPr>
          <w:szCs w:val="22"/>
          <w:lang w:val="en-US"/>
        </w:rPr>
      </w:pPr>
      <w:r>
        <w:rPr>
          <w:szCs w:val="22"/>
          <w:lang w:val="en-US"/>
        </w:rPr>
        <w:t xml:space="preserve">Winter, T. (2015). Heritage diplomacy. </w:t>
      </w:r>
      <w:r>
        <w:rPr>
          <w:szCs w:val="22"/>
          <w:lang w:val="en-US"/>
          <w:i/>
        </w:rPr>
        <w:t xml:space="preserve">International Journal of Heritage Studies, 21</w:t>
      </w:r>
      <w:r>
        <w:rPr>
          <w:szCs w:val="22"/>
          <w:lang w:val="en-US"/>
        </w:rPr>
        <w:t xml:space="preserve">(10), 997–1015. https://doi.org/10.1080/13527258.2015.1041412</w:t>
      </w:r>
    </w:p>
    <w:p w14:paraId="7181E931" w14:textId="12400B6F" w:rsidR="00D67217" w:rsidRPr="004D166C" w:rsidRDefault="00A529DA" w:rsidP="00A529DA">
      <w:pPr>
        <w:ind w:left="709" w:hanging="709"/>
        <w:rPr>
          <w:szCs w:val="22"/>
          <w:lang w:val="en-US"/>
        </w:rPr>
      </w:pPr>
      <w:r>
        <w:rPr>
          <w:szCs w:val="22"/>
          <w:lang w:val="en-US"/>
        </w:rPr>
        <w:t xml:space="preserve">Winter, T. (2020). Silk road diplomacy: Geopolitics and histories of connectivity. </w:t>
      </w:r>
      <w:r>
        <w:rPr>
          <w:szCs w:val="22"/>
          <w:lang w:val="en-US"/>
          <w:i/>
        </w:rPr>
        <w:t xml:space="preserve">International Journal of Cultural Policy, 26</w:t>
      </w:r>
      <w:r>
        <w:rPr>
          <w:szCs w:val="22"/>
          <w:lang w:val="en-US"/>
        </w:rPr>
        <w:t xml:space="preserve">(7), 898–912. https://doi.org/10.1080/10286632.2020.1765164</w:t>
      </w:r>
    </w:p>
    <w:p w14:paraId="7181E931" w14:textId="12400B6F" w:rsidR="00D67217" w:rsidRPr="004D166C" w:rsidRDefault="00A529DA" w:rsidP="00A529DA">
      <w:pPr>
        <w:ind w:left="709" w:hanging="709"/>
        <w:rPr>
          <w:szCs w:val="22"/>
          <w:lang w:val="en-US"/>
        </w:rPr>
      </w:pPr>
      <w:r>
        <w:rPr>
          <w:szCs w:val="22"/>
          <w:lang w:val="en-US"/>
        </w:rPr>
        <w:t xml:space="preserve">Winter, T. (2021a). The geocultural heritage of the Silk Roads. </w:t>
      </w:r>
      <w:r>
        <w:rPr>
          <w:szCs w:val="22"/>
          <w:lang w:val="en-US"/>
          <w:i/>
        </w:rPr>
        <w:t xml:space="preserve">International Journal of Heritage Studies, 27</w:t>
      </w:r>
      <w:r>
        <w:rPr>
          <w:szCs w:val="22"/>
          <w:lang w:val="en-US"/>
        </w:rPr>
        <w:t xml:space="preserve">(7), 700–719. https://doi.org/10.1080/13527258.2020.1852296</w:t>
      </w:r>
    </w:p>
    <w:p w14:paraId="7181E931" w14:textId="12400B6F" w:rsidR="00D67217" w:rsidRPr="004D166C" w:rsidRDefault="00A529DA" w:rsidP="00A529DA">
      <w:pPr>
        <w:ind w:left="709" w:hanging="709"/>
        <w:rPr>
          <w:szCs w:val="22"/>
          <w:lang w:val="en-US"/>
        </w:rPr>
      </w:pPr>
      <w:r>
        <w:rPr>
          <w:szCs w:val="22"/>
          <w:lang w:val="en-US"/>
        </w:rPr>
        <w:t xml:space="preserve">Winter, T. (2021b). Geocultural power: China's Belt and Road Initiative. </w:t>
      </w:r>
      <w:r>
        <w:rPr>
          <w:szCs w:val="22"/>
          <w:lang w:val="en-US"/>
          <w:i/>
        </w:rPr>
        <w:t xml:space="preserve">Geopolitics, 26</w:t>
      </w:r>
      <w:r>
        <w:rPr>
          <w:szCs w:val="22"/>
          <w:lang w:val="en-US"/>
        </w:rPr>
        <w:t xml:space="preserve">(5), 1376–1399. https://doi.org/10.1080/14650045.2020.1718656</w:t>
      </w:r>
    </w:p>
    <w:p w14:paraId="7181E931" w14:textId="12400B6F" w:rsidR="00D67217" w:rsidRPr="004D166C" w:rsidRDefault="00A529DA" w:rsidP="00A529DA">
      <w:pPr>
        <w:ind w:left="709" w:hanging="709"/>
        <w:rPr>
          <w:szCs w:val="22"/>
          <w:lang w:val="en-US"/>
        </w:rPr>
      </w:pPr>
      <w:r>
        <w:rPr>
          <w:szCs w:val="22"/>
          <w:lang w:val="en-US"/>
        </w:rPr>
        <w:t xml:space="preserve">Wisniewski, R. (2025). Coopetition as a form of great power relations—The case study of US–China dynamics in the post-Cold War period. </w:t>
      </w:r>
      <w:r>
        <w:rPr>
          <w:szCs w:val="22"/>
          <w:lang w:val="en-US"/>
          <w:i/>
        </w:rPr>
        <w:t xml:space="preserve">Stosunki Międzynarodowe – International Relations, 5</w:t>
      </w:r>
      <w:r>
        <w:rPr>
          <w:szCs w:val="22"/>
          <w:lang w:val="en-US"/>
        </w:rPr>
        <w:t xml:space="preserve">, 18. https://doi.org/10.12688/stomiedintrelat.17973.1</w:t>
      </w:r>
    </w:p>
    <w:p w14:paraId="7181E931" w14:textId="12400B6F" w:rsidR="00D67217" w:rsidRPr="004D166C" w:rsidRDefault="00A529DA" w:rsidP="00A529DA">
      <w:pPr>
        <w:ind w:left="709" w:hanging="709"/>
        <w:rPr>
          <w:szCs w:val="22"/>
          <w:lang w:val="en-US"/>
        </w:rPr>
      </w:pPr>
      <w:r>
        <w:rPr>
          <w:szCs w:val="22"/>
          <w:lang w:val="en-US"/>
        </w:rPr>
        <w:t xml:space="preserve">Zengin, B., &amp; Koç, İ. (2021). Yeni İpek Yolu ticaret hattının Türkiye turizmi açısından değerlendirilmesi. </w:t>
      </w:r>
      <w:r>
        <w:rPr>
          <w:szCs w:val="22"/>
          <w:lang w:val="en-US"/>
          <w:i/>
        </w:rPr>
        <w:t xml:space="preserve">Journal of Gastronomy Hospitality and Travel, 4</w:t>
      </w:r>
      <w:r>
        <w:rPr>
          <w:szCs w:val="22"/>
          <w:lang w:val="en-US"/>
        </w:rPr>
        <w:t xml:space="preserve">(2), 586–599. https://doi.org/10.33083/joghat.2021.95</w:t>
      </w:r>
    </w:p>
    <w:p w14:paraId="67145077" w14:textId="61F759BA" w:rsidR="004724F9" w:rsidRDefault="00FC5974" w:rsidP="001B50BE">
      <w:pPr>
        <w:pStyle w:val="Gvdemetin"/>
      </w:pPr>
      <w:r>
        <w:br w:type="page"/>
      </w:r>
    </w:p>
    <w:p w14:paraId="3FAD8F1C" w14:textId="6E6ACCE1" w:rsidR="004B39A5" w:rsidRPr="00F20263" w:rsidRDefault="00F20263" w:rsidP="00F20263">
      <w:pPr>
        <w:pStyle w:val="1cilbalk"/>
        <w:rPr>
          <w:color w:val="C00000"/>
        </w:rPr>
      </w:pPr>
      <w:r>
        <w:rPr>
          <w:color w:val="C00000"/>
        </w:rPr>
        <w:lastRenderedPageBreak/>
        <w:t>GENİŞLETİLMİŞ ÖZET / EXTENDED SUMMARY</w:t>
      </w:r>
    </w:p>
    <w:p w14:paraId="7D783A8E" w14:textId="3D9086B7" w:rsidR="000D3353" w:rsidRPr="0028281F" w:rsidRDefault="0028281F" w:rsidP="00F20263">
      <w:pPr>
        <w:pStyle w:val="2cilbalk"/>
        <w:jc w:val="left"/>
      </w:pPr>
      <w:r>
        <w:t xml:space="preserve">Amaç / Purpose</w:t>
      </w:r>
    </w:p>
    <w:p w14:paraId="6D020A01" w14:textId="2C30EF26" w:rsidR="00066C8F" w:rsidRPr="009E7A8B" w:rsidRDefault="00904F39" w:rsidP="001B50BE">
      <w:pPr>
        <w:pStyle w:val="Gvdemetin"/>
        <w:rPr>
          <w:b/>
          <w:bCs/>
        </w:rPr>
      </w:pPr>
      <w:r>
        <w:rPr/>
        <w:t xml:space="preserve">Official discourse between Türkiye and China presents the Silk Road as a shared heritage and tourism as a natural field of cooperation. Recent steps follow this narrative: Türkiye aligned its Middle Corridor with the Belt and Road Initiative through a memorandum signed in Antalya in 2015 (Resmî Gazete, 2017), 2018 was celebrated as the Year of Turkish Tourism in China (Niu &amp; Li, 2019), the two culture and tourism ministries signed a tourism cooperation memorandum in 2024, and from 2 January 2026 Türkiye granted Chinese citizens unilateral visa-free entry (Türkiye Turizm Tanıtım ve Geliştirme Ajansı [TGA], 2026). These steps create a clear expectation that Chinese tourists will follow, but the data meet this expectation only in part. Arrivals of Chinese nationals tripled after 2013, yet they never exceeded one per cent of all foreign arrivals (Türkiye İstatistik Kurumu [TÜİK], 2026). The Turkish tourism literature explains this gap by technical obstacles such as security perceptions, language and distance, because it treats the relationship as a win-win partnership from the outset (İbiş, 2019; Kılıç, 2021; Palidan, 2024). Heritage politics research suggests a different reading: "shared" heritage also generates competing claims of ownership and centrality (Brown &amp; O'Brien, 2025; Debarbieux et al., 2023), and China's historicisation of the Silk Road has been described as Sinocentric (Sciorati, 2023). If both readings hold, the problem may lie in the relationship itself rather than in its obstacles. The study therefore asks two questions. First, in which domains do Türkiye and China cooperate, and in which do they compete, over Silk Road tourism heritage between 2010 and 2026, and does this distribution follow the activity's proximity to the tourist? Second, to what extent have the two countries' cooperation discourse and agreements been reflected in arrivals of Chinese nationals?</w:t>
      </w:r>
    </w:p>
    <w:p w14:paraId="19FE8518" w14:textId="0748B9BF" w:rsidR="000D3353" w:rsidRPr="00513F10" w:rsidRDefault="00513F10" w:rsidP="00F20263">
      <w:pPr>
        <w:pStyle w:val="2cilbalk"/>
        <w:jc w:val="left"/>
      </w:pPr>
      <w:r>
        <w:t xml:space="preserve">Yöntem / Methodology</w:t>
      </w:r>
    </w:p>
    <w:p w14:paraId="3898089E" w14:textId="52605446" w:rsidR="00066C8F" w:rsidRPr="009E7A8B" w:rsidRDefault="002E58C7" w:rsidP="001B50BE">
      <w:pPr>
        <w:pStyle w:val="Gvdemetin"/>
        <w:rPr>
          <w:b/>
          <w:bCs/>
          <w:lang w:val="en-US"/>
        </w:rPr>
      </w:pPr>
      <w:r>
        <w:rPr/>
        <w:t xml:space="preserve">Because these questions look for a mechanism, the study adopts a critical realist stance and treats documentary traces as indicators of that mechanism rather than as the mechanism itself. The mechanism tested is the separation principle derived from Bengtsson and Kock (2000, p. 421), according to which competitors cooperate in input activities far from the customer and compete in output activities close to the customer. To compare this mechanism across the parts of a single relationship, a single embedded case design was chosen, with the Türkiye–China dyad as the case and four domains, ordered in advance by proximity to the tourist, as embedded units: connectivity, tourist flows, narrative and value capture. Since cooperation is expected to appear in joint documents and competition in unilateral ones, systematic document analysis (Bowen, 2009) was applied to two groups of documents: 25 bilateral or joint official documents and 24 unilateral Silk Road promotion and policy narratives, selected through criterion sampling. The documents were divided into 368 meaning units. A pilot round showed that interpretive coding of orientation produced very low agreement, so the final scheme derives orientation mechanically from three manifest markers (a joint subject, self-promotion, and exclusion or one-sidedness); pilot codes were not used in the analysis. Two independent human coders carried out the final coding, and agreement is reported with Cohen's kappa </w:t>
      </w:r>
      <w:r>
        <w:rPr>
          <w:highlight w:val="yellow"/>
        </w:rPr>
        <w:t xml:space="preserve">κ domain = __; κ orientation = __</w:t>
      </w:r>
      <w:r>
        <w:rPr/>
        <w:t xml:space="preserve">. To prevent post hoc interpretation, the decision rule was written before the analysis: a monotonic increase in the share of competition codes from connectivity to value capture, or a difference of at least 20 percentage points between the two ends, counts as support. Arrivals of Chinese nationals for 2010–2025 were then read descriptively, without causal testing.</w:t>
      </w:r>
    </w:p>
    <w:p w14:paraId="69DBDB7A" w14:textId="5F4C65D2" w:rsidR="000D3353" w:rsidRDefault="004977B3" w:rsidP="00F20263">
      <w:pPr>
        <w:pStyle w:val="2cilbalk"/>
        <w:jc w:val="left"/>
      </w:pPr>
      <w:r>
        <w:t xml:space="preserve">Bulgular / Findings</w:t>
      </w:r>
    </w:p>
    <w:p w14:paraId="186756B3" w14:textId="0348E4F9" w:rsidR="009E7A8B" w:rsidRPr="002A1906" w:rsidRDefault="002E58C7" w:rsidP="001B50BE">
      <w:pPr>
        <w:pStyle w:val="Gvdemetin"/>
        <w:rPr>
          <w:b/>
          <w:bCs/>
        </w:rPr>
      </w:pPr>
      <w:r>
        <w:rPr>
          <w:highlight w:val="yellow"/>
        </w:rPr>
        <w:t xml:space="preserve">P1 and P2: shares of cooperation codes in bilateral documents and of competition codes in unilateral documents, with one short documentary example each; asymmetry between Turkish and Chinese sources in self-promotion and exclusion markers.</w:t>
      </w:r>
    </w:p>
    <w:p w14:paraId="186756B3" w14:textId="0348E4F9" w:rsidR="009E7A8B" w:rsidRPr="002A1906" w:rsidRDefault="002E58C7" w:rsidP="001B50BE">
      <w:pPr>
        <w:pStyle w:val="Gvdemetin"/>
        <w:rPr>
          <w:b/>
          <w:bCs/>
        </w:rPr>
      </w:pPr>
      <w:r>
        <w:rPr>
          <w:highlight w:val="yellow"/>
        </w:rPr>
        <w:t xml:space="preserve">P3: shares of competition codes across the four domains (connectivity __%, tourist flows __%, narrative __%, value capture __%), with and without neutral units; outcome of the pre-registered rule; number and character of negative cases.</w:t>
      </w:r>
    </w:p>
    <w:p w14:paraId="186756B3" w14:textId="0348E4F9" w:rsidR="009E7A8B" w:rsidRPr="002A1906" w:rsidRDefault="002E58C7" w:rsidP="001B50BE">
      <w:pPr>
        <w:pStyle w:val="Gvdemetin"/>
        <w:rPr>
          <w:b/>
          <w:bCs/>
        </w:rPr>
      </w:pPr>
      <w:r>
        <w:rPr/>
        <w:t xml:space="preserve">The descriptive series confirms the gap between discourse and flows. Arrivals of Chinese nationals rose from 138,876 in 2013 to 426,344 in 2019 and stood at 425,348 in 2025, but their share of all foreign arrivals peaked at 0.998% in 2018 (TÜİK, 2026). The connectivity domain helps to explain why. Cooperation along the Middle Corridor has produced freight capacity rather than passenger services: the corridor carried about 5.2 million tonnes of freight in 2025 without a scheduled international passenger service on its main axis (Farmanov et al., 2026). </w:t>
      </w:r>
      <w:r>
        <w:rPr>
          <w:highlight w:val="yellow"/>
        </w:rPr>
        <w:t xml:space="preserve">P4 and P5: what the coding adds to this picture, for example Chinese narratives that market domestic Silk Road destinations.</w:t>
      </w:r>
    </w:p>
    <w:p w14:paraId="79C22126" w14:textId="22920F7B" w:rsidR="0003050B" w:rsidRDefault="004977B3" w:rsidP="00F20263">
      <w:pPr>
        <w:pStyle w:val="2cilbalk"/>
        <w:jc w:val="left"/>
      </w:pPr>
      <w:r>
        <w:t xml:space="preserve">Sonuç / Conclusions</w:t>
      </w:r>
    </w:p>
    <w:p w14:paraId="0C7B34A9" w14:textId="6789A283" w:rsidR="009E7A8B" w:rsidRPr="002A1906" w:rsidRDefault="004727F1" w:rsidP="001B50BE">
      <w:pPr>
        <w:pStyle w:val="Gvdemetin"/>
        <w:rPr>
          <w:b/>
          <w:bCs/>
        </w:rPr>
      </w:pPr>
      <w:r>
        <w:rPr>
          <w:highlight w:val="yellow"/>
        </w:rPr>
        <w:t xml:space="preserve">Conclusions (author): whether and how far the separation principle travels to inter-state heritage tourism; how the competing explanations of market-based separation (Bengtsson &amp; Kock, 2000, p. 420), geographic and cultural distance (Deng &amp; Hu, 2019) and status asymmetry (Norheim-Hansen et al., 2026) fare against the findings; one or two policy implications for Türkiye; limitations (document selection, Chinese-language sources, the construct–measure gap in value capture, arrivals as border records rather than tourist counts).</w:t>
      </w:r>
    </w:p>
    <w:p w14:paraId="7686A9D5" w14:textId="60F630F1" w:rsidR="000D3353" w:rsidRPr="00C20CCB" w:rsidRDefault="004977B3" w:rsidP="00F20263">
      <w:pPr>
        <w:pStyle w:val="2cilbalk"/>
        <w:jc w:val="left"/>
      </w:pPr>
      <w:r>
        <w:t xml:space="preserve">Özgün Değer / Originality and Value</w:t>
      </w:r>
    </w:p>
    <w:p w14:paraId="3C8AFA5A" w14:textId="79CEB8B9" w:rsidR="00F06507" w:rsidRPr="00E46558" w:rsidRDefault="004727F1" w:rsidP="001B50BE">
      <w:pPr>
        <w:pStyle w:val="Gvdemetin"/>
        <w:rPr>
          <w:b/>
          <w:bCs/>
          <w:lang w:val="en-US"/>
        </w:rPr>
      </w:pPr>
      <w:r>
        <w:rPr/>
        <w:t xml:space="preserve">The study contributes at three levels. Theoretically, it carries the separation principle, so far examined among firms and destinations (Chim-Miki &amp; Batista-Canino, 2017a; Wang &amp; Krakover, 2008), to heritage tourism between two states. This extension matters because the closest existing work addresses the multilateral management of the Silk Road Programme (Redi &amp; Pulido Fernández, 2018), while international relations studies of the Türkiye–China dyad and of great power coopetition explain the relationship as a whole without asking in which activities cooperation and competition concentrate (Wang &amp; Sun, 2024; Wisniewski, 2025). Conceptually, the study shows that the discourse of a "shared Silk Road" can carry partnership and ownership claims at the same time; for this reason it treats the Silk Road heritage as the object of coopetition rather than as a neutral common asset. Practically, it offers Türkiye's China tourism policy a way to distinguish the domains in which cooperation pays from those in which differentiation is needed.</w:t>
      </w:r>
      <w:r>
        <w:br w:type="page"/>
      </w:r>
    </w:p>
    <w:p w14:paraId="0E6FCCB9" w14:textId="77777777" w:rsidR="0068649C" w:rsidRDefault="0068649C" w:rsidP="00D24CA7"/>
    <w:tbl>
      <w:tblPr>
        <w:tblW w:w="5000" w:type="pct"/>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3402"/>
        <w:gridCol w:w="6286"/>
      </w:tblGrid>
      <w:tr w:rsidR="006D63E2" w:rsidRPr="00BF34F4" w14:paraId="06DA61DB" w14:textId="77777777" w:rsidTr="00266A10">
        <w:trPr>
          <w:trHeight w:val="510"/>
          <w:jc w:val="center"/>
        </w:trPr>
        <w:tc>
          <w:tcPr>
            <w:tcW w:w="9688" w:type="dxa"/>
            <w:gridSpan w:val="2"/>
            <w:tcBorders>
              <w:top w:val="single" w:sz="12" w:space="0" w:color="auto"/>
              <w:bottom w:val="single" w:sz="4" w:space="0" w:color="auto"/>
            </w:tcBorders>
            <w:shd w:val="clear" w:color="auto" w:fill="F2F2F2" w:themeFill="background1" w:themeFillShade="F2"/>
            <w:vAlign w:val="center"/>
          </w:tcPr>
          <w:p w14:paraId="63E5EDA3" w14:textId="1982E8EA" w:rsidR="006D63E2" w:rsidRPr="006D63E2" w:rsidRDefault="006D63E2" w:rsidP="006D63E2">
            <w:pPr>
              <w:jc w:val="center"/>
              <w:rPr>
                <w:b/>
                <w:bCs/>
                <w:color w:val="C00000"/>
              </w:rPr>
            </w:pPr>
            <w:r>
              <w:rPr>
                <w:rFonts w:ascii="Times New Roman" w:eastAsia="Calibri" w:hAnsi="Times New Roman" w:cs="Times New Roman"/>
                <w:b/>
                <w:bCs/>
                <w:color w:val="C00000"/>
                <w:sz w:val="20"/>
                <w:szCs w:val="20"/>
              </w:rPr>
              <w:t>YAZARLARIN BEYANI / DECLARATION OF THE AUTHORS</w:t>
            </w:r>
          </w:p>
        </w:tc>
      </w:tr>
      <w:tr w:rsidR="00BF34F4" w:rsidRPr="00BF34F4" w14:paraId="4FD5EAAE" w14:textId="77777777" w:rsidTr="00AE5F22">
        <w:trPr>
          <w:trHeight w:val="284"/>
          <w:jc w:val="center"/>
        </w:trPr>
        <w:tc>
          <w:tcPr>
            <w:tcW w:w="3402" w:type="dxa"/>
            <w:tcBorders>
              <w:top w:val="single" w:sz="12" w:space="0" w:color="auto"/>
              <w:bottom w:val="single" w:sz="4" w:space="0" w:color="auto"/>
            </w:tcBorders>
            <w:vAlign w:val="center"/>
          </w:tcPr>
          <w:p w14:paraId="4536928F" w14:textId="77777777" w:rsidR="00BF34F4" w:rsidRPr="00BF34F4" w:rsidRDefault="00BF34F4" w:rsidP="003966A3">
            <w:pPr>
              <w:spacing w:before="60" w:after="60"/>
              <w:jc w:val="left"/>
              <w:rPr>
                <w:rFonts w:eastAsia="Calibri" w:cs="Times New Roman"/>
                <w:b/>
                <w:color w:val="auto"/>
                <w:sz w:val="18"/>
                <w:szCs w:val="18"/>
              </w:rPr>
            </w:pPr>
            <w:r>
              <w:rPr>
                <w:rFonts w:eastAsia="Calibri" w:cs="Times New Roman"/>
                <w:b/>
                <w:color w:val="auto"/>
                <w:sz w:val="18"/>
                <w:szCs w:val="18"/>
              </w:rPr>
              <w:t>Katkı Oranı Beyanı</w:t>
            </w:r>
          </w:p>
          <w:p w14:paraId="59A1560F" w14:textId="699902EC" w:rsidR="00BF34F4" w:rsidRPr="00BF34F4" w:rsidRDefault="00BF34F4" w:rsidP="003966A3">
            <w:pPr>
              <w:spacing w:before="60" w:after="60"/>
              <w:jc w:val="left"/>
              <w:rPr>
                <w:rFonts w:eastAsia="Calibri" w:cs="Times New Roman"/>
                <w:color w:val="auto"/>
                <w:sz w:val="18"/>
                <w:szCs w:val="18"/>
              </w:rPr>
            </w:pPr>
          </w:p>
        </w:tc>
        <w:tc>
          <w:tcPr>
            <w:tcW w:w="6286" w:type="dxa"/>
            <w:tcBorders>
              <w:top w:val="single" w:sz="12" w:space="0" w:color="auto"/>
              <w:bottom w:val="single" w:sz="4" w:space="0" w:color="auto"/>
            </w:tcBorders>
          </w:tcPr>
          <w:p w14:paraId="1D6F5CAF" w14:textId="77777777" w:rsidR="00BF34F4" w:rsidRPr="00BF34F4" w:rsidRDefault="00000000" w:rsidP="00D52E6B">
            <w:pPr>
              <w:spacing w:before="40" w:after="40"/>
              <w:rPr>
                <w:rFonts w:eastAsia="Calibri" w:cs="Times New Roman"/>
                <w:color w:val="auto"/>
                <w:sz w:val="18"/>
                <w:szCs w:val="18"/>
              </w:rPr>
            </w:pPr>
            <w:sdt>
              <w:sdtPr>
                <w:rPr>
                  <w:rFonts w:eastAsia="Calibri" w:cs="Times New Roman"/>
                  <w:color w:val="auto"/>
                  <w:sz w:val="18"/>
                  <w:szCs w:val="18"/>
                </w:rPr>
                <w:id w:val="-1181967418"/>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rPr>
                  <w:t>☒</w:t>
                </w:r>
              </w:sdtContent>
            </w:sdt>
            <w:r>
              <w:rPr>
                <w:rFonts w:eastAsia="Calibri" w:cs="Times New Roman"/>
                <w:color w:val="auto"/>
                <w:sz w:val="18"/>
                <w:szCs w:val="18"/>
              </w:rPr>
              <w:t xml:space="preserve"> Yazar, çalışmanın tümüne tek başına katkı sağlamıştır.</w:t>
            </w:r>
          </w:p>
          <w:p w14:paraId="54437A3E" w14:textId="77777777" w:rsidR="00BF34F4" w:rsidRPr="00BF34F4" w:rsidRDefault="00000000" w:rsidP="00D52E6B">
            <w:pPr>
              <w:spacing w:before="40" w:after="40"/>
              <w:rPr>
                <w:rFonts w:eastAsia="Calibri" w:cs="Times New Roman"/>
                <w:color w:val="auto"/>
                <w:sz w:val="18"/>
                <w:szCs w:val="18"/>
              </w:rPr>
            </w:pPr>
            <w:sdt>
              <w:sdtPr>
                <w:rPr>
                  <w:rFonts w:eastAsia="Calibri" w:cs="Times New Roman"/>
                  <w:color w:val="auto"/>
                  <w:sz w:val="18"/>
                  <w:szCs w:val="18"/>
                </w:rPr>
                <w:id w:val="1549883879"/>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rPr>
                  <w:t>☐</w:t>
                </w:r>
              </w:sdtContent>
            </w:sdt>
            <w:r>
              <w:rPr>
                <w:rFonts w:eastAsia="Calibri" w:cs="Times New Roman"/>
                <w:color w:val="auto"/>
                <w:sz w:val="18"/>
                <w:szCs w:val="18"/>
              </w:rPr>
              <w:t xml:space="preserve"> Yazarlar çalışmaya eşit oranda katkı sağlamıştır. </w:t>
            </w:r>
          </w:p>
          <w:p w14:paraId="3D004EA5" w14:textId="1971F283" w:rsidR="00BF34F4" w:rsidRPr="00BF34F4"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2121363366"/>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rPr>
                  <w:t>☐</w:t>
                </w:r>
              </w:sdtContent>
            </w:sdt>
            <w:r>
              <w:rPr>
                <w:rFonts w:eastAsia="Calibri" w:cs="Times New Roman"/>
                <w:color w:val="auto"/>
                <w:sz w:val="18"/>
                <w:szCs w:val="18"/>
              </w:rPr>
              <w:t xml:space="preserve"> Çalışmaya birinci yazar %XX oranında, ikinci yazar %XX oranında, üçüncü yazar %XX oranında katkı sağlamıştır.</w:t>
            </w:r>
          </w:p>
        </w:tc>
      </w:tr>
      <w:tr w:rsidR="00BF34F4" w:rsidRPr="00BF34F4" w14:paraId="5A5D2DF7" w14:textId="77777777" w:rsidTr="00AE5F22">
        <w:trPr>
          <w:trHeight w:val="284"/>
          <w:jc w:val="center"/>
        </w:trPr>
        <w:tc>
          <w:tcPr>
            <w:tcW w:w="3402" w:type="dxa"/>
            <w:tcBorders>
              <w:top w:val="single" w:sz="4" w:space="0" w:color="auto"/>
              <w:left w:val="nil"/>
              <w:bottom w:val="single" w:sz="12" w:space="0" w:color="auto"/>
              <w:right w:val="nil"/>
            </w:tcBorders>
            <w:vAlign w:val="center"/>
          </w:tcPr>
          <w:p w14:paraId="5C98EDC6" w14:textId="77777777" w:rsidR="00BF34F4" w:rsidRPr="00BF34F4" w:rsidRDefault="00BF34F4" w:rsidP="003966A3">
            <w:pPr>
              <w:spacing w:before="60" w:after="60"/>
              <w:jc w:val="left"/>
              <w:rPr>
                <w:rFonts w:eastAsia="Calibri" w:cs="Times New Roman"/>
                <w:b/>
                <w:color w:val="auto"/>
                <w:sz w:val="18"/>
                <w:szCs w:val="18"/>
                <w:lang w:val="en-US"/>
              </w:rPr>
            </w:pPr>
            <w:r>
              <w:rPr>
                <w:rFonts w:eastAsia="Calibri" w:cs="Times New Roman"/>
                <w:b/>
                <w:color w:val="auto"/>
                <w:sz w:val="18"/>
                <w:szCs w:val="18"/>
                <w:lang w:val="en-US"/>
              </w:rPr>
              <w:t>Declaration of Contribution Rate</w:t>
            </w:r>
          </w:p>
          <w:p w14:paraId="71E6B997" w14:textId="2E12092D" w:rsidR="00BF34F4" w:rsidRPr="00BF34F4" w:rsidRDefault="00BF34F4" w:rsidP="003966A3">
            <w:pPr>
              <w:spacing w:before="60" w:after="60"/>
              <w:jc w:val="left"/>
              <w:rPr>
                <w:rFonts w:eastAsia="Calibri" w:cs="Times New Roman"/>
                <w:b/>
                <w:color w:val="auto"/>
                <w:sz w:val="18"/>
                <w:szCs w:val="18"/>
              </w:rPr>
            </w:pPr>
          </w:p>
        </w:tc>
        <w:tc>
          <w:tcPr>
            <w:tcW w:w="6286" w:type="dxa"/>
            <w:tcBorders>
              <w:top w:val="single" w:sz="4" w:space="0" w:color="auto"/>
              <w:left w:val="nil"/>
              <w:bottom w:val="single" w:sz="12" w:space="0" w:color="auto"/>
              <w:right w:val="nil"/>
            </w:tcBorders>
          </w:tcPr>
          <w:p w14:paraId="3B6ACEF1" w14:textId="77777777" w:rsidR="00BF34F4" w:rsidRPr="00BF34F4" w:rsidRDefault="00000000" w:rsidP="00D52E6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1087958475"/>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The author contributes the study on his/her own</w:t>
            </w:r>
          </w:p>
          <w:p w14:paraId="0B91BB69" w14:textId="77777777" w:rsidR="00BF34F4" w:rsidRPr="00BF34F4" w:rsidRDefault="00000000" w:rsidP="00D52E6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664699948"/>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The authors have equal contributions. </w:t>
            </w:r>
          </w:p>
          <w:p w14:paraId="5F8A5EA1" w14:textId="4FEB38F1" w:rsidR="00BF34F4" w:rsidRPr="00BF34F4" w:rsidRDefault="00000000" w:rsidP="00D52E6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797845816"/>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The first author contributes XX%, the second author contributes XX%, the third author contributes XX%.</w:t>
            </w:r>
          </w:p>
        </w:tc>
      </w:tr>
      <w:tr w:rsidR="00BF34F4" w:rsidRPr="00BF34F4" w14:paraId="65940C8F" w14:textId="77777777" w:rsidTr="00AE5F22">
        <w:trPr>
          <w:trHeight w:val="284"/>
          <w:jc w:val="center"/>
        </w:trPr>
        <w:tc>
          <w:tcPr>
            <w:tcW w:w="3402" w:type="dxa"/>
            <w:tcBorders>
              <w:top w:val="single" w:sz="12" w:space="0" w:color="auto"/>
              <w:bottom w:val="single" w:sz="4" w:space="0" w:color="auto"/>
            </w:tcBorders>
            <w:vAlign w:val="center"/>
          </w:tcPr>
          <w:p w14:paraId="3033E2D4" w14:textId="77777777" w:rsidR="007076B8" w:rsidRPr="00BF34F4" w:rsidRDefault="007076B8" w:rsidP="00E63ADD">
            <w:pPr>
              <w:spacing w:before="60" w:after="60"/>
              <w:jc w:val="left"/>
              <w:rPr>
                <w:rFonts w:eastAsia="Calibri" w:cs="Times New Roman"/>
                <w:b/>
                <w:color w:val="auto"/>
                <w:sz w:val="18"/>
                <w:szCs w:val="18"/>
              </w:rPr>
            </w:pPr>
            <w:r>
              <w:rPr>
                <w:rFonts w:eastAsia="Calibri" w:cs="Times New Roman"/>
                <w:b/>
                <w:color w:val="auto"/>
                <w:sz w:val="18"/>
                <w:szCs w:val="18"/>
              </w:rPr>
              <w:t>Çatışma Beyanı</w:t>
            </w:r>
          </w:p>
          <w:p w14:paraId="328C3AEE" w14:textId="04F6DD57" w:rsidR="00BF34F4" w:rsidRPr="00BF34F4" w:rsidRDefault="00BF34F4" w:rsidP="00E63ADD">
            <w:pPr>
              <w:spacing w:before="60" w:after="60"/>
              <w:jc w:val="left"/>
              <w:rPr>
                <w:rFonts w:eastAsia="Calibri" w:cs="Times New Roman"/>
                <w:b/>
                <w:color w:val="auto"/>
                <w:sz w:val="18"/>
                <w:szCs w:val="18"/>
              </w:rPr>
            </w:pPr>
          </w:p>
        </w:tc>
        <w:tc>
          <w:tcPr>
            <w:tcW w:w="6286" w:type="dxa"/>
            <w:tcBorders>
              <w:top w:val="single" w:sz="12" w:space="0" w:color="auto"/>
              <w:bottom w:val="single" w:sz="4" w:space="0" w:color="auto"/>
            </w:tcBorders>
          </w:tcPr>
          <w:p w14:paraId="48BD8225" w14:textId="18CF897D" w:rsidR="00BF34F4" w:rsidRPr="00BF34F4"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509347003"/>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rPr>
                  <w:t>☒</w:t>
                </w:r>
              </w:sdtContent>
            </w:sdt>
            <w:r>
              <w:rPr>
                <w:rFonts w:eastAsia="Calibri" w:cs="Times New Roman"/>
                <w:color w:val="auto"/>
                <w:sz w:val="18"/>
                <w:szCs w:val="18"/>
              </w:rPr>
              <w:t xml:space="preserve"> Çalışmada herhangi bir potansiyel çıkar çatışması söz konusu değildir.</w:t>
            </w:r>
          </w:p>
          <w:p w14:paraId="2F1C23BE" w14:textId="5E697CAC" w:rsidR="00BF34F4" w:rsidRPr="00BF34F4"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978607681"/>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rPr>
                  <w:t>☐</w:t>
                </w:r>
              </w:sdtContent>
            </w:sdt>
            <w:r>
              <w:rPr>
                <w:rFonts w:eastAsia="Calibri" w:cs="Times New Roman"/>
                <w:color w:val="auto"/>
                <w:sz w:val="18"/>
                <w:szCs w:val="18"/>
              </w:rPr>
              <w:t xml:space="preserve"> Yazarlar, çalışmadan XXX (firması, kurumu, kişisinin) etkilenebileceğini ve ortaya çıkacak çıkar çatışması durumunu yönetmek için onaylanmış bir planının olduğunu beyan etmektedir.</w:t>
            </w:r>
          </w:p>
        </w:tc>
      </w:tr>
      <w:tr w:rsidR="00BF34F4" w:rsidRPr="00BF34F4" w14:paraId="6D53E4AA" w14:textId="77777777" w:rsidTr="00AE5F22">
        <w:trPr>
          <w:trHeight w:val="284"/>
          <w:jc w:val="center"/>
        </w:trPr>
        <w:tc>
          <w:tcPr>
            <w:tcW w:w="3402" w:type="dxa"/>
            <w:tcBorders>
              <w:top w:val="single" w:sz="4" w:space="0" w:color="auto"/>
              <w:bottom w:val="single" w:sz="12" w:space="0" w:color="auto"/>
            </w:tcBorders>
            <w:vAlign w:val="center"/>
          </w:tcPr>
          <w:p w14:paraId="5EC6A011" w14:textId="77777777" w:rsidR="003966A3" w:rsidRPr="00BF34F4" w:rsidRDefault="003966A3" w:rsidP="00E63ADD">
            <w:pPr>
              <w:spacing w:before="60" w:after="60"/>
              <w:jc w:val="left"/>
              <w:rPr>
                <w:rFonts w:eastAsia="Calibri" w:cs="Times New Roman"/>
                <w:b/>
                <w:color w:val="auto"/>
                <w:sz w:val="18"/>
                <w:szCs w:val="18"/>
                <w:lang w:val="en-US"/>
              </w:rPr>
            </w:pPr>
            <w:r>
              <w:rPr>
                <w:rFonts w:eastAsia="Calibri" w:cs="Times New Roman"/>
                <w:b/>
                <w:color w:val="auto"/>
                <w:sz w:val="18"/>
                <w:szCs w:val="18"/>
                <w:lang w:val="en-US"/>
              </w:rPr>
              <w:t>Declaration of Conflict</w:t>
            </w:r>
          </w:p>
          <w:p w14:paraId="11225876" w14:textId="0D960BDB" w:rsidR="00BF34F4" w:rsidRPr="00BF34F4" w:rsidRDefault="00BF34F4" w:rsidP="00E63ADD">
            <w:pPr>
              <w:spacing w:before="60" w:after="60"/>
              <w:jc w:val="left"/>
              <w:rPr>
                <w:rFonts w:eastAsia="Calibri" w:cs="Times New Roman"/>
                <w:color w:val="FF0000"/>
                <w:sz w:val="18"/>
                <w:szCs w:val="18"/>
              </w:rPr>
            </w:pPr>
          </w:p>
        </w:tc>
        <w:tc>
          <w:tcPr>
            <w:tcW w:w="6286" w:type="dxa"/>
            <w:tcBorders>
              <w:top w:val="single" w:sz="4" w:space="0" w:color="auto"/>
              <w:bottom w:val="single" w:sz="12" w:space="0" w:color="auto"/>
            </w:tcBorders>
          </w:tcPr>
          <w:p w14:paraId="615C7181" w14:textId="67974BD7" w:rsidR="0075642E" w:rsidRPr="00BF34F4" w:rsidRDefault="00000000" w:rsidP="00D52E6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1838495917"/>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lang w:val="en-US"/>
                  </w:rPr>
                  <w:t>☒</w:t>
                </w:r>
              </w:sdtContent>
            </w:sdt>
            <w:r>
              <w:rPr>
                <w:rFonts w:eastAsia="Calibri" w:cs="Times New Roman"/>
                <w:color w:val="auto"/>
                <w:sz w:val="18"/>
                <w:szCs w:val="18"/>
                <w:lang w:val="en-US"/>
              </w:rPr>
              <w:t xml:space="preserve"> There is no potential conflict of interest in the study. </w:t>
            </w:r>
          </w:p>
          <w:p w14:paraId="0C853521" w14:textId="15043B74" w:rsidR="00BF34F4" w:rsidRPr="00BF34F4"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lang w:val="en-US"/>
                </w:rPr>
                <w:id w:val="1886984722"/>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lang w:val="en-US"/>
                  </w:rPr>
                  <w:t>☐</w:t>
                </w:r>
              </w:sdtContent>
            </w:sdt>
            <w:r>
              <w:rPr>
                <w:rFonts w:eastAsia="Calibri" w:cs="Times New Roman"/>
                <w:color w:val="auto"/>
                <w:sz w:val="18"/>
                <w:szCs w:val="18"/>
                <w:lang w:val="en-US"/>
              </w:rPr>
              <w:t xml:space="preserve"> Authors declare that XXX (firm, institution, person) may be affected from the study and in case of a conflict of interest they have a confirmed plan in order to administer the case. </w:t>
            </w:r>
          </w:p>
        </w:tc>
      </w:tr>
      <w:tr w:rsidR="008C051F" w:rsidRPr="005357D1" w14:paraId="29A73DAF" w14:textId="77777777" w:rsidTr="00AE5F22">
        <w:trPr>
          <w:trHeight w:val="897"/>
          <w:jc w:val="center"/>
        </w:trPr>
        <w:tc>
          <w:tcPr>
            <w:tcW w:w="3402" w:type="dxa"/>
            <w:tcBorders>
              <w:top w:val="single" w:sz="12" w:space="0" w:color="auto"/>
              <w:bottom w:val="single" w:sz="8" w:space="0" w:color="auto"/>
            </w:tcBorders>
            <w:vAlign w:val="center"/>
          </w:tcPr>
          <w:p w14:paraId="741104D5" w14:textId="77777777" w:rsidR="008C051F" w:rsidRPr="00F26C27" w:rsidRDefault="008C051F" w:rsidP="008C051F">
            <w:pPr>
              <w:pStyle w:val="1cilbalk"/>
              <w:jc w:val="left"/>
              <w:rPr>
                <w:sz w:val="18"/>
                <w:szCs w:val="18"/>
                <w:lang w:val="en-US"/>
              </w:rPr>
            </w:pPr>
            <w:r>
              <w:rPr>
                <w:sz w:val="18"/>
                <w:szCs w:val="18"/>
              </w:rPr>
              <w:t>Yayın Etiği Beyanı</w:t>
            </w:r>
            <w:r>
              <w:rPr>
                <w:sz w:val="18"/>
                <w:szCs w:val="18"/>
                <w:lang w:val="en-US"/>
              </w:rPr>
              <w:t xml:space="preserve"> </w:t>
            </w:r>
          </w:p>
          <w:p w14:paraId="0DE127CE" w14:textId="77777777" w:rsidR="008C051F" w:rsidRPr="00F26C27" w:rsidRDefault="008C051F" w:rsidP="005357D1">
            <w:pPr>
              <w:spacing w:before="60" w:after="60"/>
              <w:jc w:val="left"/>
              <w:rPr>
                <w:rFonts w:eastAsia="Calibri" w:cs="Times New Roman"/>
                <w:b/>
                <w:color w:val="auto"/>
                <w:sz w:val="18"/>
                <w:szCs w:val="18"/>
                <w:lang w:val="en-US"/>
              </w:rPr>
            </w:pPr>
          </w:p>
        </w:tc>
        <w:tc>
          <w:tcPr>
            <w:tcW w:w="6286" w:type="dxa"/>
            <w:tcBorders>
              <w:top w:val="single" w:sz="12" w:space="0" w:color="auto"/>
              <w:bottom w:val="single" w:sz="8" w:space="0" w:color="auto"/>
            </w:tcBorders>
            <w:vAlign w:val="center"/>
          </w:tcPr>
          <w:p w14:paraId="61414924" w14:textId="0EE7A8E7" w:rsidR="008C051F" w:rsidRPr="00F26C27"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lang w:val="en-US"/>
                </w:rPr>
                <w:id w:val="-1117215180"/>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lang w:val="en-US"/>
                  </w:rPr>
                  <w:t>☒</w:t>
                </w:r>
              </w:sdtContent>
            </w:sdt>
            <w:r>
              <w:rPr>
                <w:rFonts w:eastAsia="Calibri" w:cs="Times New Roman"/>
                <w:color w:val="auto"/>
                <w:sz w:val="18"/>
                <w:szCs w:val="18"/>
                <w:lang w:val="en-US"/>
              </w:rPr>
              <w:t xml:space="preserve"> </w:t>
            </w:r>
            <w:r>
              <w:rPr>
                <w:rFonts w:eastAsia="Calibri" w:cs="Times New Roman"/>
                <w:color w:val="auto"/>
                <w:sz w:val="18"/>
                <w:szCs w:val="18"/>
              </w:rPr>
              <w:t xml:space="preserve">Çalışmada etik dışı bir husus bulunmadığını, araştırma ve yayın etiğine özenle uyulduğunu beyan ederiz. </w:t>
            </w:r>
          </w:p>
          <w:p w14:paraId="209FDF6B" w14:textId="0ADED6C2" w:rsidR="008C051F" w:rsidRPr="00F26C27"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2080934255"/>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Bu çalışma, etik kurul belgesi gerektiren bir çalışma değildir.</w:t>
            </w:r>
          </w:p>
          <w:p w14:paraId="11C0B9DE" w14:textId="6F62DE57" w:rsidR="008C051F" w:rsidRPr="00F26C27"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1280098343"/>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Bu çalışma için _______ Üniversitesi, Bilimsel Araştırma ve Yayın Etiği Kurulundan __/__/____ tarih ve ______ sayılı kararı ile etik kurul onayı alınmıştır.</w:t>
            </w:r>
          </w:p>
        </w:tc>
      </w:tr>
      <w:tr w:rsidR="005357D1" w:rsidRPr="005357D1" w14:paraId="22326188" w14:textId="77777777" w:rsidTr="00AE5F22">
        <w:trPr>
          <w:trHeight w:val="897"/>
          <w:jc w:val="center"/>
        </w:trPr>
        <w:tc>
          <w:tcPr>
            <w:tcW w:w="3402" w:type="dxa"/>
            <w:tcBorders>
              <w:top w:val="single" w:sz="8" w:space="0" w:color="auto"/>
              <w:bottom w:val="single" w:sz="12" w:space="0" w:color="auto"/>
            </w:tcBorders>
            <w:vAlign w:val="center"/>
          </w:tcPr>
          <w:p w14:paraId="0FA02B36" w14:textId="29331F1F" w:rsidR="005357D1" w:rsidRPr="00F26C27" w:rsidRDefault="005357D1" w:rsidP="005357D1">
            <w:pPr>
              <w:spacing w:before="60" w:after="60"/>
              <w:jc w:val="left"/>
              <w:rPr>
                <w:rFonts w:eastAsia="Calibri" w:cs="Times New Roman"/>
                <w:b/>
                <w:color w:val="auto"/>
                <w:sz w:val="18"/>
                <w:szCs w:val="18"/>
                <w:lang w:val="en-US"/>
              </w:rPr>
            </w:pPr>
            <w:r>
              <w:rPr>
                <w:rFonts w:eastAsia="Calibri" w:cs="Times New Roman"/>
                <w:b/>
                <w:color w:val="auto"/>
                <w:sz w:val="18"/>
                <w:szCs w:val="18"/>
                <w:lang w:val="en-US"/>
              </w:rPr>
              <w:t>Declaration</w:t>
            </w:r>
            <w:r>
              <w:rPr>
                <w:b/>
                <w:sz w:val="18"/>
                <w:szCs w:val="18"/>
                <w:lang w:val="en-US"/>
              </w:rPr>
              <w:t xml:space="preserve"> of Publication Ethics</w:t>
            </w:r>
          </w:p>
        </w:tc>
        <w:tc>
          <w:tcPr>
            <w:tcW w:w="6286" w:type="dxa"/>
            <w:tcBorders>
              <w:top w:val="single" w:sz="8" w:space="0" w:color="auto"/>
              <w:bottom w:val="single" w:sz="8" w:space="0" w:color="auto"/>
            </w:tcBorders>
            <w:vAlign w:val="center"/>
          </w:tcPr>
          <w:p w14:paraId="4D18C853" w14:textId="77777777" w:rsidR="00277DFB" w:rsidRPr="00F26C27" w:rsidRDefault="00000000" w:rsidP="00277DF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1237980416"/>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lang w:val="en-US"/>
                  </w:rPr>
                  <w:t>☒</w:t>
                </w:r>
              </w:sdtContent>
            </w:sdt>
            <w:r>
              <w:rPr>
                <w:rFonts w:eastAsia="Calibri" w:cs="Times New Roman"/>
                <w:color w:val="auto"/>
                <w:sz w:val="18"/>
                <w:szCs w:val="18"/>
                <w:lang w:val="en-US"/>
              </w:rPr>
              <w:t xml:space="preserve"> We hereby declare that the study has not unethical issues and that research and publication ethics have been observed carefully. </w:t>
            </w:r>
          </w:p>
          <w:p w14:paraId="5760100B" w14:textId="13A44B75" w:rsidR="005357D1" w:rsidRPr="00F26C27"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568647475"/>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w:t>
            </w:r>
            <w:r>
              <w:rPr>
                <w:rFonts w:eastAsia="Calibri" w:cs="Times New Roman"/>
                <w:color w:val="auto"/>
                <w:sz w:val="18"/>
                <w:szCs w:val="18"/>
                <w:lang w:val="en-US"/>
              </w:rPr>
              <w:t>This study does not require ethics committee approval.</w:t>
            </w:r>
          </w:p>
          <w:p w14:paraId="0EA67064" w14:textId="43175330" w:rsidR="005357D1" w:rsidRPr="00F26C27"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1448304796"/>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w:t>
            </w:r>
            <w:r>
              <w:rPr>
                <w:rFonts w:eastAsia="Calibri" w:cs="Times New Roman"/>
                <w:color w:val="auto"/>
                <w:sz w:val="18"/>
                <w:szCs w:val="18"/>
                <w:lang w:val="en-US"/>
              </w:rPr>
              <w:t xml:space="preserve">Ethical approval for this study was obtained from the Scientific Research and Publication Ethics Committee of ______ University with decision number ______ dated </w:t>
            </w:r>
            <w:r>
              <w:rPr>
                <w:rFonts w:eastAsia="Calibri" w:cs="Times New Roman"/>
                <w:b/>
                <w:bCs/>
                <w:color w:val="auto"/>
                <w:sz w:val="18"/>
                <w:szCs w:val="18"/>
                <w:lang w:val="en-US"/>
              </w:rPr>
              <w:t>__/__/___</w:t>
            </w:r>
            <w:r>
              <w:rPr>
                <w:rFonts w:eastAsia="Calibri" w:cs="Times New Roman"/>
                <w:color w:val="auto"/>
                <w:sz w:val="18"/>
                <w:szCs w:val="18"/>
                <w:lang w:val="en-US"/>
              </w:rPr>
              <w:t>.</w:t>
            </w:r>
          </w:p>
        </w:tc>
      </w:tr>
      <w:tr w:rsidR="005357D1" w:rsidRPr="00BF34F4" w14:paraId="67BE8FD8" w14:textId="77777777" w:rsidTr="00AE5F22">
        <w:trPr>
          <w:trHeight w:val="897"/>
          <w:jc w:val="center"/>
        </w:trPr>
        <w:tc>
          <w:tcPr>
            <w:tcW w:w="3402" w:type="dxa"/>
            <w:tcBorders>
              <w:top w:val="single" w:sz="12" w:space="0" w:color="auto"/>
              <w:bottom w:val="single" w:sz="8" w:space="0" w:color="auto"/>
            </w:tcBorders>
            <w:vAlign w:val="center"/>
          </w:tcPr>
          <w:p w14:paraId="50EA59E4" w14:textId="15FD41BC" w:rsidR="005357D1" w:rsidRPr="00F26C27" w:rsidRDefault="001C4629" w:rsidP="005357D1">
            <w:pPr>
              <w:spacing w:before="60" w:after="60"/>
              <w:jc w:val="left"/>
              <w:rPr>
                <w:rFonts w:eastAsia="Calibri" w:cs="Times New Roman"/>
                <w:b/>
                <w:color w:val="auto"/>
                <w:sz w:val="18"/>
                <w:szCs w:val="18"/>
              </w:rPr>
            </w:pPr>
            <w:r>
              <w:rPr>
                <w:rFonts w:eastAsia="Calibri" w:cs="Times New Roman"/>
                <w:b/>
                <w:color w:val="auto"/>
                <w:sz w:val="18"/>
                <w:szCs w:val="18"/>
              </w:rPr>
              <w:t xml:space="preserve">Üretken Yapay Zekâ Kullanım Beyanı</w:t>
            </w:r>
          </w:p>
        </w:tc>
        <w:tc>
          <w:tcPr>
            <w:tcW w:w="6286" w:type="dxa"/>
            <w:tcBorders>
              <w:top w:val="single" w:sz="12" w:space="0" w:color="auto"/>
              <w:bottom w:val="single" w:sz="8" w:space="0" w:color="auto"/>
            </w:tcBorders>
            <w:vAlign w:val="center"/>
          </w:tcPr>
          <w:p w14:paraId="069A8AF6" w14:textId="5E1B6C7F" w:rsidR="00CA75F3" w:rsidRDefault="00000000" w:rsidP="00CA75F3">
            <w:pPr>
              <w:spacing w:before="40" w:after="40"/>
              <w:ind w:left="227" w:hanging="227"/>
              <w:rPr>
                <w:rFonts w:eastAsia="Calibri" w:cs="Times New Roman"/>
                <w:color w:val="auto"/>
                <w:sz w:val="18"/>
                <w:szCs w:val="18"/>
              </w:rPr>
            </w:pPr>
            <w:sdt>
              <w:sdtPr>
                <w:rPr>
                  <w:rFonts w:eastAsia="Calibri" w:cs="Times New Roman"/>
                  <w:color w:val="auto"/>
                  <w:sz w:val="18"/>
                  <w:szCs w:val="18"/>
                </w:rPr>
                <w:id w:val="218095704"/>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Bu çalışmanın hiçbir aşamasında üretken yapay zekâ araçlarından faydalanılmamıştır. </w:t>
            </w:r>
          </w:p>
          <w:p w14:paraId="4987546C" w14:textId="7F75BAE1" w:rsidR="005357D1" w:rsidRPr="00F26C27" w:rsidRDefault="00000000" w:rsidP="00CA75F3">
            <w:pPr>
              <w:spacing w:before="40" w:after="40"/>
              <w:ind w:left="227" w:hanging="227"/>
              <w:rPr>
                <w:rFonts w:eastAsia="Calibri" w:cs="Times New Roman"/>
                <w:color w:val="auto"/>
                <w:sz w:val="18"/>
                <w:szCs w:val="18"/>
              </w:rPr>
            </w:pPr>
            <w:sdt>
              <w:sdtPr>
                <w:rPr>
                  <w:rFonts w:eastAsia="Calibri" w:cs="Times New Roman"/>
                  <w:color w:val="auto"/>
                  <w:sz w:val="18"/>
                  <w:szCs w:val="18"/>
                </w:rPr>
                <w:id w:val="661353305"/>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Bu çalışmanın hazırlanması sırasında yazar(lar), literatür taraması ve künye doğrulama, incelenen belgelerin hazırlanması ve Çince metinlerin çevirisi, kodlama şemasının pilot sınaması, insan kodlayıcılar arasındaki uyuşmazlıkların çözümünde bağımsız üçüncü kodlama, betimsel hesaplamalar ile Giriş, Kuramsal Çerçeve ve Yöntem bölümlerinde taslak ve dil desteği amacıyla Claude (Anthropic) kullanmıştır. Bu araç/hizmeti kullandıktan sonra, yazar(lar) içeriği gerektiği şekilde gözden geçirip düzenlemiş ve yayınlanan makalenin içeriği konusunda tüm sorumluluğu üstlenmiştir.</w:t>
            </w:r>
          </w:p>
        </w:tc>
      </w:tr>
      <w:tr w:rsidR="005357D1" w:rsidRPr="00BF34F4" w14:paraId="05102F23" w14:textId="77777777" w:rsidTr="00195D95">
        <w:trPr>
          <w:trHeight w:val="976"/>
          <w:jc w:val="center"/>
        </w:trPr>
        <w:tc>
          <w:tcPr>
            <w:tcW w:w="3402" w:type="dxa"/>
            <w:tcBorders>
              <w:top w:val="single" w:sz="8" w:space="0" w:color="auto"/>
              <w:bottom w:val="single" w:sz="12" w:space="0" w:color="auto"/>
            </w:tcBorders>
            <w:vAlign w:val="center"/>
          </w:tcPr>
          <w:p w14:paraId="302486E1" w14:textId="77777777" w:rsidR="001C4629" w:rsidRPr="001C4629" w:rsidRDefault="001C4629" w:rsidP="00195D95">
            <w:pPr>
              <w:spacing w:after="60"/>
              <w:jc w:val="left"/>
              <w:rPr>
                <w:rStyle w:val="Kpr"/>
                <w:rFonts w:eastAsia="Calibri" w:cs="Times New Roman"/>
                <w:b/>
                <w:sz w:val="18"/>
                <w:szCs w:val="18"/>
              </w:rPr>
            </w:pPr>
            <w:r>
              <w:rPr>
                <w:rFonts w:eastAsia="Calibri" w:cs="Times New Roman"/>
                <w:b/>
                <w:color w:val="auto"/>
                <w:sz w:val="18"/>
                <w:szCs w:val="18"/>
              </w:rPr>
              <w:fldChar w:fldCharType="begin"/>
              <w:instrText>HYPERLINK "https://dergipark.org.tr/en/pub/maeuefd/page/19045"</w:instrText>
              <w:fldChar w:fldCharType="separate"/>
            </w:r>
          </w:p>
          <w:p w14:paraId="04574174" w14:textId="77777777" w:rsidR="001C4629" w:rsidRPr="001C4629" w:rsidRDefault="001C4629" w:rsidP="00195D95">
            <w:pPr>
              <w:spacing w:after="60"/>
              <w:jc w:val="left"/>
              <w:rPr>
                <w:rStyle w:val="Kpr"/>
                <w:rFonts w:eastAsia="Calibri" w:cs="Times New Roman"/>
                <w:b/>
                <w:color w:val="auto"/>
                <w:sz w:val="18"/>
                <w:szCs w:val="18"/>
                <w:u w:val="none"/>
                <w:lang w:val="en-US"/>
              </w:rPr>
            </w:pPr>
            <w:r>
              <w:rPr>
                <w:rStyle w:val="Kpr"/>
                <w:rFonts w:eastAsia="Calibri" w:cs="Times New Roman"/>
                <w:b/>
                <w:color w:val="auto"/>
                <w:sz w:val="18"/>
                <w:szCs w:val="18"/>
                <w:u w:val="none"/>
                <w:lang w:val="en-US"/>
              </w:rPr>
              <w:t>Declaration of Generative AI Use</w:t>
            </w:r>
          </w:p>
          <w:p w14:paraId="2276BF35" w14:textId="23C0B01D" w:rsidR="001C4629" w:rsidRPr="001C4629" w:rsidRDefault="001C4629" w:rsidP="00195D95">
            <w:pPr>
              <w:spacing w:after="60"/>
              <w:jc w:val="left"/>
              <w:rPr>
                <w:rStyle w:val="Kpr"/>
                <w:rFonts w:eastAsia="Calibri" w:cs="Times New Roman"/>
                <w:b/>
                <w:sz w:val="18"/>
                <w:szCs w:val="18"/>
              </w:rPr>
            </w:pPr>
          </w:p>
          <w:p w14:paraId="5FCD6C79" w14:textId="40921358" w:rsidR="005357D1" w:rsidRPr="00F26C27" w:rsidRDefault="001C4629" w:rsidP="00195D95">
            <w:pPr>
              <w:spacing w:after="60"/>
              <w:jc w:val="left"/>
              <w:rPr>
                <w:rFonts w:eastAsia="Calibri" w:cs="Times New Roman"/>
                <w:b/>
                <w:color w:val="auto"/>
                <w:sz w:val="18"/>
                <w:szCs w:val="18"/>
              </w:rPr>
            </w:pPr>
            <w:r>
              <w:rPr>
                <w:rFonts w:eastAsia="Calibri" w:cs="Times New Roman"/>
                <w:b/>
                <w:color w:val="auto"/>
                <w:sz w:val="18"/>
                <w:szCs w:val="18"/>
              </w:rPr>
              <w:fldChar w:fldCharType="end"/>
            </w:r>
          </w:p>
        </w:tc>
        <w:tc>
          <w:tcPr>
            <w:tcW w:w="6286" w:type="dxa"/>
            <w:tcBorders>
              <w:top w:val="single" w:sz="8" w:space="0" w:color="auto"/>
              <w:bottom w:val="single" w:sz="12" w:space="0" w:color="auto"/>
            </w:tcBorders>
          </w:tcPr>
          <w:p w14:paraId="7386F75F" w14:textId="68985561" w:rsidR="00AF4A47" w:rsidRPr="00120E5A" w:rsidRDefault="00000000" w:rsidP="00195D95">
            <w:pPr>
              <w:spacing w:before="40" w:after="40"/>
              <w:ind w:left="227" w:hanging="227"/>
              <w:jc w:val="left"/>
              <w:rPr>
                <w:rFonts w:eastAsia="Calibri" w:cs="Times New Roman"/>
                <w:color w:val="auto"/>
                <w:sz w:val="18"/>
                <w:szCs w:val="18"/>
                <w:lang w:val="en-US"/>
              </w:rPr>
            </w:pPr>
            <w:sdt>
              <w:sdtPr>
                <w:rPr>
                  <w:rFonts w:eastAsia="Calibri" w:cs="Times New Roman"/>
                  <w:color w:val="auto"/>
                  <w:sz w:val="18"/>
                  <w:szCs w:val="18"/>
                  <w:lang w:val="en-US"/>
                </w:rPr>
                <w:id w:val="1363871410"/>
                <w14:checkbox>
                  <w14:checked w14:val="0"/>
                  <w14:checkedState w14:val="2612" w14:font="MS Gothic"/>
                  <w14:uncheckedState w14:val="2610" w14:font="MS Gothic"/>
                </w14:checkbox>
              </w:sdtPr>
              <w:sdtContent>
                <w:r>
                  <w:rPr>
                    <w:rFonts w:ascii="MS Gothic" w:eastAsia="MS Gothic" w:hAnsi="MS Gothic" w:cs="Times New Roman"/>
                    <w:color w:val="auto"/>
                    <w:sz w:val="18"/>
                    <w:szCs w:val="18"/>
                    <w:lang w:val="en-US"/>
                  </w:rPr>
                  <w:t>☐</w:t>
                </w:r>
              </w:sdtContent>
            </w:sdt>
            <w:r>
              <w:rPr>
                <w:rFonts w:eastAsia="Calibri" w:cs="Times New Roman"/>
                <w:color w:val="auto"/>
                <w:sz w:val="18"/>
                <w:szCs w:val="18"/>
                <w:lang w:val="en-US"/>
              </w:rPr>
              <w:t xml:space="preserve"> No generative artificial intelligence tools were used at any stage of this study.</w:t>
            </w:r>
          </w:p>
          <w:p w14:paraId="66C740DC" w14:textId="41C0C31A" w:rsidR="005357D1" w:rsidRPr="00120E5A" w:rsidRDefault="00000000" w:rsidP="00195D95">
            <w:pPr>
              <w:spacing w:after="40"/>
              <w:ind w:left="227" w:hanging="227"/>
              <w:jc w:val="left"/>
              <w:rPr>
                <w:rFonts w:eastAsia="Calibri" w:cs="Times New Roman"/>
                <w:color w:val="auto"/>
                <w:sz w:val="18"/>
                <w:szCs w:val="18"/>
                <w:lang w:val="en-US"/>
              </w:rPr>
            </w:pPr>
            <w:sdt>
              <w:sdtPr>
                <w:rPr>
                  <w:rFonts w:eastAsia="Calibri" w:cs="Times New Roman"/>
                  <w:color w:val="auto"/>
                  <w:sz w:val="18"/>
                  <w:szCs w:val="18"/>
                  <w:lang w:val="en-US"/>
                </w:rPr>
                <w:id w:val="471872071"/>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During the preparation of this study the author(s) used Claude (Anthropic) in order to literature search and reference verification, preparation of the document set and translation of Chinese texts, pilot testing of the coding scheme, an independent third coding used to resolve disagreements between the human coders, descriptive calculations, and drafting and language support in the Introduction, Theoretical Framework and Method sections. After using this tool/service, the author(s) reviewed and edited the content as needed and take(s) full responsibility for the content of the published article.</w:t>
            </w:r>
          </w:p>
        </w:tc>
      </w:tr>
      <w:tr w:rsidR="005357D1" w:rsidRPr="00BF34F4" w14:paraId="1767E4E7" w14:textId="77777777" w:rsidTr="00953D31">
        <w:trPr>
          <w:trHeight w:val="284"/>
          <w:jc w:val="center"/>
        </w:trPr>
        <w:tc>
          <w:tcPr>
            <w:tcW w:w="3402" w:type="dxa"/>
            <w:tcBorders>
              <w:top w:val="single" w:sz="12" w:space="0" w:color="auto"/>
              <w:bottom w:val="single" w:sz="8" w:space="0" w:color="auto"/>
            </w:tcBorders>
            <w:vAlign w:val="center"/>
          </w:tcPr>
          <w:p w14:paraId="0D096E16" w14:textId="7A792764" w:rsidR="005357D1" w:rsidRPr="00BF34F4" w:rsidRDefault="005357D1" w:rsidP="005357D1">
            <w:pPr>
              <w:spacing w:before="60" w:after="60"/>
              <w:jc w:val="left"/>
              <w:rPr>
                <w:rFonts w:eastAsia="Calibri" w:cs="Times New Roman"/>
                <w:b/>
                <w:color w:val="auto"/>
                <w:sz w:val="18"/>
                <w:szCs w:val="18"/>
              </w:rPr>
            </w:pPr>
            <w:r>
              <w:rPr>
                <w:rFonts w:eastAsia="Calibri" w:cs="Times New Roman"/>
                <w:b/>
                <w:color w:val="auto"/>
                <w:sz w:val="18"/>
                <w:szCs w:val="18"/>
              </w:rPr>
              <w:t>Destek ve Teşekkür Beyanı</w:t>
            </w:r>
          </w:p>
        </w:tc>
        <w:tc>
          <w:tcPr>
            <w:tcW w:w="6286" w:type="dxa"/>
            <w:tcBorders>
              <w:top w:val="single" w:sz="12" w:space="0" w:color="auto"/>
              <w:bottom w:val="single" w:sz="8" w:space="0" w:color="auto"/>
            </w:tcBorders>
          </w:tcPr>
          <w:p w14:paraId="3DD0EECD" w14:textId="1674A34F" w:rsidR="005357D1" w:rsidRPr="00BF34F4" w:rsidRDefault="00000000" w:rsidP="00D52E6B">
            <w:pPr>
              <w:spacing w:before="40" w:after="40"/>
              <w:ind w:left="227" w:hanging="227"/>
              <w:rPr>
                <w:rFonts w:eastAsia="Calibri" w:cs="Times New Roman"/>
                <w:color w:val="auto"/>
                <w:sz w:val="18"/>
                <w:szCs w:val="18"/>
              </w:rPr>
            </w:pPr>
            <w:sdt>
              <w:sdtPr>
                <w:rPr>
                  <w:rFonts w:eastAsia="Calibri" w:cs="Times New Roman"/>
                  <w:color w:val="auto"/>
                  <w:sz w:val="18"/>
                  <w:szCs w:val="18"/>
                </w:rPr>
                <w:id w:val="604155152"/>
                <w14:checkbox>
                  <w14:checked w14:val="0"/>
                  <w14:checkedState w14:val="2612" w14:font="MS Gothic"/>
                  <w14:uncheckedState w14:val="2610" w14:font="MS Gothic"/>
                </w14:checkbox>
              </w:sdtPr>
              <w:sdtContent>
                <w:r>
                  <w:rPr>
                    <w:rFonts w:ascii="MS Gothic" w:eastAsia="MS Gothic" w:hAnsi="MS Gothic" w:cs="Times New Roman" w:hint="eastAsia"/>
                    <w:color w:val="auto"/>
                    <w:sz w:val="18"/>
                    <w:szCs w:val="18"/>
                  </w:rPr>
                  <w:t>☒</w:t>
                </w:r>
              </w:sdtContent>
            </w:sdt>
            <w:r>
              <w:rPr>
                <w:rFonts w:eastAsia="Calibri" w:cs="Times New Roman"/>
                <w:color w:val="auto"/>
                <w:sz w:val="18"/>
                <w:szCs w:val="18"/>
              </w:rPr>
              <w:t xml:space="preserve"> Çalışmada herhangi bir kurum ya da kuruluştan mali destek alınmamıştır.</w:t>
            </w:r>
          </w:p>
          <w:p w14:paraId="78B538D4" w14:textId="7E7BFBF9" w:rsidR="005357D1" w:rsidRPr="00F26C27" w:rsidRDefault="00000000" w:rsidP="00D52E6B">
            <w:pPr>
              <w:spacing w:before="40" w:after="40"/>
              <w:ind w:left="222" w:hanging="222"/>
              <w:rPr>
                <w:rFonts w:eastAsia="Calibri" w:cs="Times New Roman"/>
                <w:color w:val="auto"/>
                <w:sz w:val="18"/>
                <w:szCs w:val="18"/>
              </w:rPr>
            </w:pPr>
            <w:sdt>
              <w:sdtPr>
                <w:rPr>
                  <w:rFonts w:eastAsia="Calibri" w:cs="Times New Roman"/>
                  <w:color w:val="auto"/>
                  <w:sz w:val="18"/>
                  <w:szCs w:val="18"/>
                </w:rPr>
                <w:id w:val="-1647423827"/>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rPr>
                  <w:t>☐</w:t>
                </w:r>
              </w:sdtContent>
            </w:sdt>
            <w:r>
              <w:rPr>
                <w:rFonts w:eastAsia="Calibri" w:cs="Times New Roman"/>
                <w:color w:val="auto"/>
                <w:sz w:val="18"/>
                <w:szCs w:val="18"/>
              </w:rPr>
              <w:t xml:space="preserve"> Bu çalışma, X Projesi (Proje No: XXXXX) tarafından desteklenmektedir.</w:t>
            </w:r>
          </w:p>
          <w:p w14:paraId="4A2C0FD3" w14:textId="62FD54CC" w:rsidR="005357D1" w:rsidRPr="00BF34F4" w:rsidRDefault="00000000" w:rsidP="00D52E6B">
            <w:pPr>
              <w:spacing w:before="40" w:after="40"/>
              <w:ind w:left="222" w:hanging="222"/>
              <w:rPr>
                <w:rFonts w:eastAsia="Calibri" w:cs="Times New Roman"/>
                <w:color w:val="auto"/>
                <w:sz w:val="18"/>
                <w:szCs w:val="18"/>
              </w:rPr>
            </w:pPr>
            <w:sdt>
              <w:sdtPr>
                <w:rPr>
                  <w:rFonts w:eastAsia="Calibri" w:cs="Times New Roman"/>
                  <w:color w:val="auto"/>
                  <w:sz w:val="18"/>
                  <w:szCs w:val="18"/>
                  <w:lang w:val="en-US"/>
                </w:rPr>
                <w:id w:val="-1230771952"/>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Diğer (Belirtiniz) ……….</w:t>
            </w:r>
          </w:p>
        </w:tc>
      </w:tr>
      <w:tr w:rsidR="005357D1" w:rsidRPr="00BF34F4" w14:paraId="55A359F5" w14:textId="77777777" w:rsidTr="00953D31">
        <w:trPr>
          <w:trHeight w:val="284"/>
          <w:jc w:val="center"/>
        </w:trPr>
        <w:tc>
          <w:tcPr>
            <w:tcW w:w="3402" w:type="dxa"/>
            <w:tcBorders>
              <w:top w:val="single" w:sz="8" w:space="0" w:color="auto"/>
              <w:bottom w:val="single" w:sz="12" w:space="0" w:color="auto"/>
            </w:tcBorders>
            <w:vAlign w:val="center"/>
          </w:tcPr>
          <w:p w14:paraId="3016126D" w14:textId="4E63FDF8" w:rsidR="005357D1" w:rsidRPr="00BF34F4" w:rsidRDefault="005357D1" w:rsidP="005357D1">
            <w:pPr>
              <w:spacing w:before="60" w:after="60"/>
              <w:jc w:val="left"/>
              <w:rPr>
                <w:rFonts w:eastAsia="Calibri" w:cs="Times New Roman"/>
                <w:b/>
                <w:color w:val="auto"/>
                <w:sz w:val="18"/>
                <w:szCs w:val="18"/>
                <w:lang w:val="en-US"/>
              </w:rPr>
            </w:pPr>
            <w:r>
              <w:rPr>
                <w:rFonts w:eastAsia="Calibri" w:cs="Times New Roman"/>
                <w:b/>
                <w:color w:val="auto"/>
                <w:sz w:val="18"/>
                <w:szCs w:val="18"/>
                <w:lang w:val="en-US"/>
              </w:rPr>
              <w:t xml:space="preserve">Declaration of Support and </w:t>
            </w:r>
            <w:r>
              <w:rPr>
                <w:rFonts w:eastAsia="Calibri" w:cs="Times New Roman"/>
                <w:b/>
                <w:bCs/>
                <w:color w:val="auto"/>
                <w:sz w:val="18"/>
                <w:szCs w:val="18"/>
              </w:rPr>
              <w:t>Acknowledgments</w:t>
            </w:r>
          </w:p>
        </w:tc>
        <w:tc>
          <w:tcPr>
            <w:tcW w:w="6286" w:type="dxa"/>
            <w:tcBorders>
              <w:top w:val="single" w:sz="8" w:space="0" w:color="auto"/>
              <w:bottom w:val="single" w:sz="12" w:space="0" w:color="auto"/>
            </w:tcBorders>
          </w:tcPr>
          <w:p w14:paraId="59CDB337" w14:textId="7E78DA41" w:rsidR="005357D1" w:rsidRPr="00BF34F4" w:rsidRDefault="00000000" w:rsidP="00D52E6B">
            <w:pPr>
              <w:spacing w:before="40" w:after="40"/>
              <w:rPr>
                <w:rFonts w:eastAsia="Calibri" w:cs="Times New Roman"/>
                <w:color w:val="auto"/>
                <w:sz w:val="18"/>
                <w:szCs w:val="18"/>
                <w:lang w:val="en-US"/>
              </w:rPr>
            </w:pPr>
            <w:sdt>
              <w:sdtPr>
                <w:rPr>
                  <w:rFonts w:eastAsia="Calibri" w:cs="Times New Roman"/>
                  <w:color w:val="auto"/>
                  <w:sz w:val="18"/>
                  <w:szCs w:val="18"/>
                  <w:lang w:val="en-US"/>
                </w:rPr>
                <w:id w:val="-561091946"/>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No financial support is taken from any institution or organization.</w:t>
            </w:r>
          </w:p>
          <w:p w14:paraId="08272AEE" w14:textId="6844BF93" w:rsidR="005357D1" w:rsidRPr="00BF34F4" w:rsidRDefault="00000000" w:rsidP="00D52E6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1303737074"/>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The study is supported by X Project (Project No: XXXXX).</w:t>
            </w:r>
          </w:p>
          <w:p w14:paraId="03FE80E4" w14:textId="77777777" w:rsidR="005357D1" w:rsidRPr="00BF34F4" w:rsidRDefault="00000000" w:rsidP="00D52E6B">
            <w:pPr>
              <w:spacing w:before="40" w:after="40"/>
              <w:ind w:left="227" w:hanging="227"/>
              <w:rPr>
                <w:rFonts w:eastAsia="Calibri" w:cs="Times New Roman"/>
                <w:color w:val="auto"/>
                <w:sz w:val="18"/>
                <w:szCs w:val="18"/>
                <w:lang w:val="en-US"/>
              </w:rPr>
            </w:pPr>
            <w:sdt>
              <w:sdtPr>
                <w:rPr>
                  <w:rFonts w:eastAsia="Calibri" w:cs="Times New Roman"/>
                  <w:color w:val="auto"/>
                  <w:sz w:val="18"/>
                  <w:szCs w:val="18"/>
                  <w:lang w:val="en-US"/>
                </w:rPr>
                <w:id w:val="-168023925"/>
                <w14:checkbox>
                  <w14:checked w14:val="0"/>
                  <w14:checkedState w14:val="2612" w14:font="MS Gothic"/>
                  <w14:uncheckedState w14:val="2610" w14:font="MS Gothic"/>
                </w14:checkbox>
              </w:sdtPr>
              <w:sdtContent>
                <w:r>
                  <w:rPr>
                    <w:rFonts w:ascii="Segoe UI Symbol" w:eastAsia="Calibri" w:hAnsi="Segoe UI Symbol" w:cs="Segoe UI Symbol"/>
                    <w:color w:val="auto"/>
                    <w:sz w:val="18"/>
                    <w:szCs w:val="18"/>
                    <w:lang w:val="en-US"/>
                  </w:rPr>
                  <w:t>☐</w:t>
                </w:r>
              </w:sdtContent>
            </w:sdt>
            <w:r>
              <w:rPr>
                <w:rFonts w:eastAsia="Calibri" w:cs="Times New Roman"/>
                <w:color w:val="auto"/>
                <w:sz w:val="18"/>
                <w:szCs w:val="18"/>
                <w:lang w:val="en-US"/>
              </w:rPr>
              <w:t xml:space="preserve"> Others (Specify) ……….</w:t>
            </w:r>
          </w:p>
        </w:tc>
      </w:tr>
    </w:tbl>
    <w:p w14:paraId="1505A2F7" w14:textId="53EA4FB3" w:rsidR="009F1642" w:rsidRPr="00593EFD" w:rsidRDefault="009F1642" w:rsidP="003232C9">
      <w:pPr>
        <w:pStyle w:val="bulgulartartma"/>
        <w:spacing w:before="0" w:after="0"/>
        <w:jc w:val="both"/>
        <w:rPr>
          <w:rFonts w:cstheme="minorBidi"/>
          <w:b w:val="0"/>
          <w:bCs w:val="0"/>
          <w:color w:val="000000" w:themeColor="text1"/>
          <w:sz w:val="18"/>
          <w:szCs w:val="18"/>
        </w:rPr>
      </w:pPr>
    </w:p>
    <w:sectPr w:rsidR="009F1642" w:rsidRPr="00593EFD" w:rsidSect="006E3BB4">
      <w:headerReference w:type="default" r:id="rId22"/>
      <w:footerReference w:type="default" r:id="rId23"/>
      <w:type w:val="continuous"/>
      <w:pgSz w:w="12240" w:h="15840"/>
      <w:pgMar w:top="1134" w:right="1134" w:bottom="1134" w:left="1418"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CEF87" w14:textId="77777777" w:rsidR="00811B8E" w:rsidRDefault="00811B8E" w:rsidP="002D526B">
      <w:r>
        <w:separator/>
      </w:r>
    </w:p>
  </w:endnote>
  <w:endnote w:type="continuationSeparator" w:id="0">
    <w:p w14:paraId="2824300B" w14:textId="77777777" w:rsidR="00811B8E" w:rsidRDefault="00811B8E" w:rsidP="002D5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Garamond">
    <w:panose1 w:val="02020404030301010803"/>
    <w:charset w:val="A2"/>
    <w:family w:val="roman"/>
    <w:pitch w:val="variable"/>
    <w:sig w:usb0="00000287" w:usb1="00000002" w:usb2="00000000" w:usb3="00000000" w:csb0="0000009F" w:csb1="00000000"/>
  </w:font>
  <w:font w:name="Calibri Light">
    <w:panose1 w:val="020F0302020204030204"/>
    <w:charset w:val="A2"/>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Poppins">
    <w:altName w:val="Times New Roman"/>
    <w:panose1 w:val="00000500000000000000"/>
    <w:charset w:val="A2"/>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1CBB" w14:textId="363315C2" w:rsidR="00DF57E8" w:rsidRPr="000651EB" w:rsidRDefault="0014236D">
    <w:pPr>
      <w:pStyle w:val="AltBilgi"/>
      <w:rPr>
        <w:b/>
        <w:bCs/>
        <w:sz w:val="18"/>
        <w:szCs w:val="18"/>
      </w:rPr>
    </w:pPr>
    <w:r w:rsidRPr="000651EB">
      <w:rPr>
        <w:rFonts w:ascii="Aptos" w:eastAsia="Aptos" w:hAnsi="Aptos" w:cs="Times New Roman"/>
        <w:noProof/>
        <w:color w:val="808080"/>
        <w:kern w:val="2"/>
        <w:sz w:val="18"/>
        <w:szCs w:val="18"/>
        <w:lang w:eastAsia="tr-TR"/>
        <w14:ligatures w14:val="standardContextual"/>
      </w:rPr>
      <w:drawing>
        <wp:anchor distT="0" distB="0" distL="114300" distR="114300" simplePos="0" relativeHeight="251659264" behindDoc="1" locked="0" layoutInCell="1" allowOverlap="1" wp14:anchorId="7B4CA2E0" wp14:editId="33E983DC">
          <wp:simplePos x="0" y="0"/>
          <wp:positionH relativeFrom="column">
            <wp:posOffset>-18687</wp:posOffset>
          </wp:positionH>
          <wp:positionV relativeFrom="paragraph">
            <wp:posOffset>131989</wp:posOffset>
          </wp:positionV>
          <wp:extent cx="819150" cy="293915"/>
          <wp:effectExtent l="0" t="0" r="0" b="0"/>
          <wp:wrapNone/>
          <wp:docPr id="139648897" name="Resim 4" descr="simge, sembol, ekran görüntüsü, bilardo topu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4565" name="Resim 4" descr="simge, sembol, ekran görüntüsü, bilardo topu içeren bir resim&#10;&#10;Yapay zeka tarafından oluşturulmuş içerik yanlış olabili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0672" cy="2944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1EB" w:rsidRPr="000651EB">
      <w:rPr>
        <w:rStyle w:val="Gl"/>
        <w:color w:val="0A0A0A"/>
        <w:sz w:val="18"/>
        <w:szCs w:val="18"/>
      </w:rPr>
      <w:t xml:space="preserve">© </w:t>
    </w:r>
    <w:r w:rsidR="000651EB" w:rsidRPr="000651EB">
      <w:rPr>
        <w:rStyle w:val="Gl"/>
        <w:b w:val="0"/>
        <w:bCs w:val="0"/>
        <w:color w:val="0A0A0A"/>
        <w:sz w:val="18"/>
        <w:szCs w:val="18"/>
      </w:rPr>
      <w:t>Yazarlar</w:t>
    </w:r>
    <w:r w:rsidR="000651EB">
      <w:rPr>
        <w:rStyle w:val="Gl"/>
        <w:b w:val="0"/>
        <w:bCs w:val="0"/>
        <w:color w:val="0A0A0A"/>
        <w:sz w:val="18"/>
        <w:szCs w:val="18"/>
      </w:rPr>
      <w:t xml:space="preserve">. Bu çalışmanın telif hakları yazarlara aittir. </w:t>
    </w:r>
    <w:r w:rsidR="000651EB" w:rsidRPr="000651EB">
      <w:rPr>
        <w:rStyle w:val="Gl"/>
        <w:b w:val="0"/>
        <w:bCs w:val="0"/>
        <w:color w:val="0A0A0A"/>
        <w:sz w:val="18"/>
        <w:szCs w:val="18"/>
      </w:rPr>
      <w:t>/</w:t>
    </w:r>
    <w:proofErr w:type="spellStart"/>
    <w:r w:rsidR="000651EB" w:rsidRPr="000651EB">
      <w:rPr>
        <w:rStyle w:val="Gl"/>
        <w:b w:val="0"/>
        <w:bCs w:val="0"/>
        <w:color w:val="0A0A0A"/>
        <w:sz w:val="18"/>
        <w:szCs w:val="18"/>
      </w:rPr>
      <w:t>Authors</w:t>
    </w:r>
    <w:proofErr w:type="spellEnd"/>
    <w:r w:rsidR="000651EB">
      <w:rPr>
        <w:rStyle w:val="Gl"/>
        <w:b w:val="0"/>
        <w:bCs w:val="0"/>
        <w:color w:val="0A0A0A"/>
        <w:sz w:val="18"/>
        <w:szCs w:val="18"/>
      </w:rPr>
      <w:t xml:space="preserve">. </w:t>
    </w:r>
    <w:proofErr w:type="spellStart"/>
    <w:r w:rsidR="000651EB" w:rsidRPr="000651EB">
      <w:rPr>
        <w:rStyle w:val="Gl"/>
        <w:b w:val="0"/>
        <w:bCs w:val="0"/>
        <w:color w:val="0A0A0A"/>
        <w:sz w:val="18"/>
        <w:szCs w:val="18"/>
      </w:rPr>
      <w:t>The</w:t>
    </w:r>
    <w:proofErr w:type="spellEnd"/>
    <w:r w:rsidR="000651EB" w:rsidRPr="000651EB">
      <w:rPr>
        <w:rStyle w:val="Gl"/>
        <w:b w:val="0"/>
        <w:bCs w:val="0"/>
        <w:color w:val="0A0A0A"/>
        <w:sz w:val="18"/>
        <w:szCs w:val="18"/>
      </w:rPr>
      <w:t xml:space="preserve"> </w:t>
    </w:r>
    <w:proofErr w:type="spellStart"/>
    <w:r w:rsidR="000651EB" w:rsidRPr="000651EB">
      <w:rPr>
        <w:rStyle w:val="Gl"/>
        <w:b w:val="0"/>
        <w:bCs w:val="0"/>
        <w:color w:val="0A0A0A"/>
        <w:sz w:val="18"/>
        <w:szCs w:val="18"/>
      </w:rPr>
      <w:t>copyright</w:t>
    </w:r>
    <w:proofErr w:type="spellEnd"/>
    <w:r w:rsidR="000651EB" w:rsidRPr="000651EB">
      <w:rPr>
        <w:rStyle w:val="Gl"/>
        <w:b w:val="0"/>
        <w:bCs w:val="0"/>
        <w:color w:val="0A0A0A"/>
        <w:sz w:val="18"/>
        <w:szCs w:val="18"/>
      </w:rPr>
      <w:t xml:space="preserve"> of </w:t>
    </w:r>
    <w:proofErr w:type="spellStart"/>
    <w:r w:rsidR="000651EB" w:rsidRPr="000651EB">
      <w:rPr>
        <w:rStyle w:val="Gl"/>
        <w:b w:val="0"/>
        <w:bCs w:val="0"/>
        <w:color w:val="0A0A0A"/>
        <w:sz w:val="18"/>
        <w:szCs w:val="18"/>
      </w:rPr>
      <w:t>this</w:t>
    </w:r>
    <w:proofErr w:type="spellEnd"/>
    <w:r w:rsidR="000651EB" w:rsidRPr="000651EB">
      <w:rPr>
        <w:rStyle w:val="Gl"/>
        <w:b w:val="0"/>
        <w:bCs w:val="0"/>
        <w:color w:val="0A0A0A"/>
        <w:sz w:val="18"/>
        <w:szCs w:val="18"/>
      </w:rPr>
      <w:t xml:space="preserve"> </w:t>
    </w:r>
    <w:proofErr w:type="spellStart"/>
    <w:r w:rsidR="000651EB" w:rsidRPr="000651EB">
      <w:rPr>
        <w:rStyle w:val="Gl"/>
        <w:b w:val="0"/>
        <w:bCs w:val="0"/>
        <w:color w:val="0A0A0A"/>
        <w:sz w:val="18"/>
        <w:szCs w:val="18"/>
      </w:rPr>
      <w:t>work</w:t>
    </w:r>
    <w:proofErr w:type="spellEnd"/>
    <w:r w:rsidR="000651EB" w:rsidRPr="000651EB">
      <w:rPr>
        <w:rStyle w:val="Gl"/>
        <w:b w:val="0"/>
        <w:bCs w:val="0"/>
        <w:color w:val="0A0A0A"/>
        <w:sz w:val="18"/>
        <w:szCs w:val="18"/>
      </w:rPr>
      <w:t xml:space="preserve"> </w:t>
    </w:r>
    <w:proofErr w:type="spellStart"/>
    <w:r w:rsidR="000651EB" w:rsidRPr="000651EB">
      <w:rPr>
        <w:rStyle w:val="Gl"/>
        <w:b w:val="0"/>
        <w:bCs w:val="0"/>
        <w:color w:val="0A0A0A"/>
        <w:sz w:val="18"/>
        <w:szCs w:val="18"/>
      </w:rPr>
      <w:t>belongs</w:t>
    </w:r>
    <w:proofErr w:type="spellEnd"/>
    <w:r w:rsidR="000651EB" w:rsidRPr="000651EB">
      <w:rPr>
        <w:rStyle w:val="Gl"/>
        <w:b w:val="0"/>
        <w:bCs w:val="0"/>
        <w:color w:val="0A0A0A"/>
        <w:sz w:val="18"/>
        <w:szCs w:val="18"/>
      </w:rPr>
      <w:t xml:space="preserve"> </w:t>
    </w:r>
    <w:proofErr w:type="spellStart"/>
    <w:r w:rsidR="000651EB" w:rsidRPr="000651EB">
      <w:rPr>
        <w:rStyle w:val="Gl"/>
        <w:b w:val="0"/>
        <w:bCs w:val="0"/>
        <w:color w:val="0A0A0A"/>
        <w:sz w:val="18"/>
        <w:szCs w:val="18"/>
      </w:rPr>
      <w:t>to</w:t>
    </w:r>
    <w:proofErr w:type="spellEnd"/>
    <w:r w:rsidR="000651EB" w:rsidRPr="000651EB">
      <w:rPr>
        <w:rStyle w:val="Gl"/>
        <w:b w:val="0"/>
        <w:bCs w:val="0"/>
        <w:color w:val="0A0A0A"/>
        <w:sz w:val="18"/>
        <w:szCs w:val="18"/>
      </w:rPr>
      <w:t xml:space="preserve"> </w:t>
    </w:r>
    <w:proofErr w:type="spellStart"/>
    <w:r w:rsidR="000651EB" w:rsidRPr="000651EB">
      <w:rPr>
        <w:rStyle w:val="Gl"/>
        <w:b w:val="0"/>
        <w:bCs w:val="0"/>
        <w:color w:val="0A0A0A"/>
        <w:sz w:val="18"/>
        <w:szCs w:val="18"/>
      </w:rPr>
      <w:t>the</w:t>
    </w:r>
    <w:proofErr w:type="spellEnd"/>
    <w:r w:rsidR="000651EB" w:rsidRPr="000651EB">
      <w:rPr>
        <w:rStyle w:val="Gl"/>
        <w:b w:val="0"/>
        <w:bCs w:val="0"/>
        <w:color w:val="0A0A0A"/>
        <w:sz w:val="18"/>
        <w:szCs w:val="18"/>
      </w:rPr>
      <w:t xml:space="preserve"> </w:t>
    </w:r>
    <w:proofErr w:type="spellStart"/>
    <w:r w:rsidR="000651EB" w:rsidRPr="000651EB">
      <w:rPr>
        <w:rStyle w:val="Gl"/>
        <w:b w:val="0"/>
        <w:bCs w:val="0"/>
        <w:color w:val="0A0A0A"/>
        <w:sz w:val="18"/>
        <w:szCs w:val="18"/>
      </w:rPr>
      <w:t>authors</w:t>
    </w:r>
    <w:proofErr w:type="spellEnd"/>
    <w:r w:rsidR="000651EB" w:rsidRPr="000651EB">
      <w:rPr>
        <w:rStyle w:val="Gl"/>
        <w:b w:val="0"/>
        <w:bCs w:val="0"/>
        <w:color w:val="0A0A0A"/>
        <w:sz w:val="18"/>
        <w:szCs w:val="18"/>
      </w:rPr>
      <w:t>.</w:t>
    </w:r>
  </w:p>
  <w:tbl>
    <w:tblPr>
      <w:tblStyle w:val="TabloKlavuzu3"/>
      <w:tblW w:w="6616" w:type="dxa"/>
      <w:tblInd w:w="1322" w:type="dxa"/>
      <w:tblBorders>
        <w:insideH w:val="none" w:sz="0" w:space="0" w:color="auto"/>
        <w:insideV w:val="none" w:sz="0" w:space="0" w:color="auto"/>
      </w:tblBorders>
      <w:tblCellMar>
        <w:left w:w="0" w:type="dxa"/>
        <w:right w:w="0" w:type="dxa"/>
      </w:tblCellMar>
      <w:tblLook w:val="04A0" w:firstRow="1" w:lastRow="0" w:firstColumn="1" w:lastColumn="0" w:noHBand="0" w:noVBand="1"/>
    </w:tblPr>
    <w:tblGrid>
      <w:gridCol w:w="6616"/>
    </w:tblGrid>
    <w:tr w:rsidR="0002155D" w:rsidRPr="0002155D" w14:paraId="426E8705" w14:textId="77777777" w:rsidTr="004501CF">
      <w:trPr>
        <w:trHeight w:val="454"/>
      </w:trPr>
      <w:tc>
        <w:tcPr>
          <w:tcW w:w="6616" w:type="dxa"/>
          <w:tcBorders>
            <w:top w:val="nil"/>
            <w:left w:val="nil"/>
            <w:bottom w:val="nil"/>
            <w:right w:val="nil"/>
          </w:tcBorders>
          <w:vAlign w:val="center"/>
        </w:tcPr>
        <w:p w14:paraId="66DBE399" w14:textId="0A3A45BD" w:rsidR="0014236D" w:rsidRPr="0002155D" w:rsidRDefault="0014236D" w:rsidP="0002155D">
          <w:pPr>
            <w:rPr>
              <w:rFonts w:eastAsia="Aptos"/>
              <w:color w:val="auto"/>
              <w:sz w:val="18"/>
              <w:szCs w:val="18"/>
            </w:rPr>
          </w:pPr>
          <w:r w:rsidRPr="004B1A1C">
            <w:rPr>
              <w:rFonts w:eastAsia="Aptos"/>
              <w:color w:val="auto"/>
              <w:sz w:val="18"/>
              <w:szCs w:val="18"/>
            </w:rPr>
            <w:t xml:space="preserve">Bu çalışma </w:t>
          </w:r>
          <w:hyperlink r:id="rId2" w:history="1">
            <w:r w:rsidRPr="000651EB">
              <w:rPr>
                <w:rStyle w:val="Kpr"/>
                <w:rFonts w:eastAsia="Aptos"/>
                <w:sz w:val="18"/>
                <w:szCs w:val="18"/>
                <w:lang w:val="en-US"/>
              </w:rPr>
              <w:t>Creative Commons Attribution (CC-BY)</w:t>
            </w:r>
            <w:r w:rsidRPr="000651EB">
              <w:rPr>
                <w:rStyle w:val="Kpr"/>
                <w:rFonts w:eastAsia="Aptos"/>
                <w:sz w:val="18"/>
                <w:szCs w:val="18"/>
              </w:rPr>
              <w:t xml:space="preserve"> 4.0 Lisansı</w:t>
            </w:r>
          </w:hyperlink>
          <w:r w:rsidRPr="004B1A1C">
            <w:rPr>
              <w:rFonts w:eastAsia="Aptos"/>
              <w:color w:val="auto"/>
              <w:sz w:val="18"/>
              <w:szCs w:val="18"/>
            </w:rPr>
            <w:t xml:space="preserve"> kapsamında lisanslanmıştır.</w:t>
          </w:r>
        </w:p>
        <w:p w14:paraId="1CB76370" w14:textId="0C4B43EC" w:rsidR="0014236D" w:rsidRPr="004B1A1C" w:rsidRDefault="0014236D" w:rsidP="0014236D">
          <w:pPr>
            <w:rPr>
              <w:rFonts w:eastAsia="Aptos"/>
              <w:color w:val="auto"/>
              <w:sz w:val="16"/>
              <w:szCs w:val="16"/>
              <w:lang w:val="en-US"/>
            </w:rPr>
          </w:pPr>
          <w:r w:rsidRPr="004B1A1C">
            <w:rPr>
              <w:rFonts w:eastAsia="Aptos"/>
              <w:color w:val="auto"/>
              <w:sz w:val="18"/>
              <w:szCs w:val="18"/>
              <w:lang w:val="en-US"/>
            </w:rPr>
            <w:t xml:space="preserve">This study is licensed under a </w:t>
          </w:r>
          <w:hyperlink r:id="rId3" w:history="1">
            <w:r w:rsidRPr="000651EB">
              <w:rPr>
                <w:rStyle w:val="Kpr"/>
                <w:rFonts w:eastAsia="Aptos"/>
                <w:sz w:val="18"/>
                <w:szCs w:val="18"/>
                <w:lang w:val="en-US"/>
              </w:rPr>
              <w:t>Creative Commons Attribution (CC-BY) 4.0 License</w:t>
            </w:r>
          </w:hyperlink>
        </w:p>
      </w:tc>
    </w:tr>
  </w:tbl>
  <w:p w14:paraId="69AE0429" w14:textId="2A329CBA" w:rsidR="0014236D" w:rsidRDefault="0014236D">
    <w:pPr>
      <w:pStyle w:val="AltBilgi"/>
    </w:pPr>
    <w:r>
      <w:t xml:space="preserve">        </w:t>
    </w:r>
  </w:p>
  <w:p w14:paraId="1297D2C6" w14:textId="77777777" w:rsidR="00AB4966" w:rsidRDefault="00AB496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9A22" w14:textId="0108B84B" w:rsidR="00D713DF" w:rsidRDefault="001A7C30">
    <w:pPr>
      <w:pStyle w:val="AltBilgi"/>
      <w:jc w:val="right"/>
    </w:pPr>
    <w:r w:rsidRPr="004232FE">
      <w:rPr>
        <w:noProof/>
        <w:color w:val="C00000"/>
        <w:lang w:eastAsia="tr-TR"/>
      </w:rPr>
      <mc:AlternateContent>
        <mc:Choice Requires="wps">
          <w:drawing>
            <wp:anchor distT="0" distB="0" distL="114300" distR="114300" simplePos="0" relativeHeight="251670528" behindDoc="0" locked="0" layoutInCell="1" allowOverlap="1" wp14:anchorId="3268C52E" wp14:editId="0B9A1324">
              <wp:simplePos x="0" y="0"/>
              <wp:positionH relativeFrom="margin">
                <wp:posOffset>-3175</wp:posOffset>
              </wp:positionH>
              <wp:positionV relativeFrom="paragraph">
                <wp:posOffset>84243</wp:posOffset>
              </wp:positionV>
              <wp:extent cx="6156000" cy="0"/>
              <wp:effectExtent l="0" t="0" r="0" b="0"/>
              <wp:wrapNone/>
              <wp:docPr id="1734861049" name="Düz Bağlayıcı 6"/>
              <wp:cNvGraphicFramePr/>
              <a:graphic xmlns:a="http://schemas.openxmlformats.org/drawingml/2006/main">
                <a:graphicData uri="http://schemas.microsoft.com/office/word/2010/wordprocessingShape">
                  <wps:wsp>
                    <wps:cNvCnPr/>
                    <wps:spPr>
                      <a:xfrm flipV="1">
                        <a:off x="0" y="0"/>
                        <a:ext cx="6156000" cy="0"/>
                      </a:xfrm>
                      <a:prstGeom prst="line">
                        <a:avLst/>
                      </a:prstGeom>
                      <a:noFill/>
                      <a:ln w="9525"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799214" id="Düz Bağlayıcı 6"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6.65pt" to="484.4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" strokecolor="#c00000">
              <v:stroke joinstyle="miter"/>
              <w10:wrap anchorx="margin"/>
            </v:line>
          </w:pict>
        </mc:Fallback>
      </mc:AlternateContent>
    </w:r>
  </w:p>
  <w:p w14:paraId="75010301" w14:textId="16DC372E" w:rsidR="00485FB0" w:rsidRDefault="00D713DF" w:rsidP="005303BC">
    <w:pPr>
      <w:pStyle w:val="AltBilgi"/>
      <w:tabs>
        <w:tab w:val="clear" w:pos="4680"/>
        <w:tab w:val="clear" w:pos="9360"/>
        <w:tab w:val="left" w:pos="5983"/>
      </w:tabs>
    </w:pPr>
    <w:r>
      <w:rPr>
        <w:noProof/>
        <w:lang w:eastAsia="tr-TR"/>
      </w:rPr>
      <mc:AlternateContent>
        <mc:Choice Requires="wps">
          <w:drawing>
            <wp:anchor distT="0" distB="0" distL="114300" distR="114300" simplePos="0" relativeHeight="251667456" behindDoc="0" locked="0" layoutInCell="0" allowOverlap="1" wp14:anchorId="60456B0A" wp14:editId="7EC155D1">
              <wp:simplePos x="0" y="0"/>
              <wp:positionH relativeFrom="page">
                <wp:posOffset>7052310</wp:posOffset>
              </wp:positionH>
              <wp:positionV relativeFrom="topMargin">
                <wp:posOffset>9558443</wp:posOffset>
              </wp:positionV>
              <wp:extent cx="911860" cy="170815"/>
              <wp:effectExtent l="0" t="0" r="3810" b="0"/>
              <wp:wrapNone/>
              <wp:docPr id="1361510084" name="Metin Kutusu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rgbClr val="C00000"/>
                      </a:solidFill>
                      <a:ln>
                        <a:noFill/>
                      </a:ln>
                    </wps:spPr>
                    <wps:txbx>
                      <w:txbxContent>
                        <w:p w14:paraId="0A872181" w14:textId="07743132" w:rsidR="00D713DF" w:rsidRPr="00375429" w:rsidRDefault="00D713DF" w:rsidP="00D713DF">
                          <w:pPr>
                            <w:jc w:val="center"/>
                            <w:rPr>
                              <w:color w:val="auto"/>
                            </w:rPr>
                          </w:pPr>
                          <w:r w:rsidRPr="00375429">
                            <w:rPr>
                              <w:color w:val="auto"/>
                            </w:rPr>
                            <w:fldChar w:fldCharType="begin"/>
                          </w:r>
                          <w:r w:rsidRPr="00375429">
                            <w:rPr>
                              <w:color w:val="auto"/>
                            </w:rPr>
                            <w:instrText>PAGE   \* MERGEFORMAT</w:instrText>
                          </w:r>
                          <w:r w:rsidRPr="00375429">
                            <w:rPr>
                              <w:color w:val="auto"/>
                            </w:rPr>
                            <w:fldChar w:fldCharType="separate"/>
                          </w:r>
                          <w:r w:rsidR="00A455B1">
                            <w:rPr>
                              <w:noProof/>
                              <w:color w:val="auto"/>
                            </w:rPr>
                            <w:t>14</w:t>
                          </w:r>
                          <w:r w:rsidRPr="00375429">
                            <w:rPr>
                              <w:color w:val="auto"/>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0456B0A" id="_x0000_t202" coordsize="21600,21600" o:spt="202" path="m,l,21600r21600,l21600,xe">
              <v:stroke joinstyle="miter"/>
              <v:path gradientshapeok="t" o:connecttype="rect"/>
            </v:shapetype>
            <v:shape id="Metin Kutusu 231" o:spid="_x0000_s1026" type="#_x0000_t202" style="position:absolute;left:0;text-align:left;margin-left:555.3pt;margin-top:752.65pt;width:71.8pt;height:13.45pt;z-index:251667456;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" o:allowincell="f" fillcolor="#c00000" stroked="f">
              <v:textbox style="mso-fit-shape-to-text:t" inset=",0,,0">
                <w:txbxContent>
                  <w:p w14:paraId="0A872181" w14:textId="07743132" w:rsidR="00D713DF" w:rsidRPr="00375429" w:rsidRDefault="00D713DF" w:rsidP="00D713DF">
                    <w:pPr>
                      <w:jc w:val="center"/>
                      <w:rPr>
                        <w:color w:val="auto"/>
                      </w:rPr>
                    </w:pPr>
                    <w:r w:rsidRPr="00375429">
                      <w:rPr>
                        <w:color w:val="auto"/>
                      </w:rPr>
                      <w:fldChar w:fldCharType="begin"/>
                    </w:r>
                    <w:r w:rsidRPr="00375429">
                      <w:rPr>
                        <w:color w:val="auto"/>
                      </w:rPr>
                      <w:instrText>PAGE   \* MERGEFORMAT</w:instrText>
                    </w:r>
                    <w:r w:rsidRPr="00375429">
                      <w:rPr>
                        <w:color w:val="auto"/>
                      </w:rPr>
                      <w:fldChar w:fldCharType="separate"/>
                    </w:r>
                    <w:r w:rsidR="00A455B1">
                      <w:rPr>
                        <w:noProof/>
                        <w:color w:val="auto"/>
                      </w:rPr>
                      <w:t>14</w:t>
                    </w:r>
                    <w:r w:rsidRPr="00375429">
                      <w:rPr>
                        <w:color w:val="auto"/>
                      </w:rPr>
                      <w:fldChar w:fldCharType="end"/>
                    </w:r>
                  </w:p>
                </w:txbxContent>
              </v:textbox>
              <w10:wrap anchorx="page" anchory="margin"/>
            </v:shape>
          </w:pict>
        </mc:Fallback>
      </mc:AlternateContent>
    </w:r>
    <w:r w:rsidR="005303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9914" w14:textId="77777777" w:rsidR="00811B8E" w:rsidRDefault="00811B8E" w:rsidP="002D526B">
      <w:r>
        <w:separator/>
      </w:r>
    </w:p>
  </w:footnote>
  <w:footnote w:type="continuationSeparator" w:id="0">
    <w:p w14:paraId="578C18DB" w14:textId="77777777" w:rsidR="00811B8E" w:rsidRDefault="00811B8E" w:rsidP="002D526B">
      <w:r>
        <w:continuationSeparator/>
      </w:r>
    </w:p>
  </w:footnote>
  <w:footnote w:id="1">
    <w:p w14:paraId="12386353" w14:textId="2C42BAB9" w:rsidR="00B61C3B" w:rsidRPr="0056244A" w:rsidRDefault="00B61C3B" w:rsidP="00222017">
      <w:pPr>
        <w:pStyle w:val="Makalehakkndaekbilgi"/>
        <w:rPr>
          <w:color w:val="C00000"/>
        </w:rPr>
      </w:pPr>
      <w:r w:rsidRPr="00451C7B">
        <w:rPr>
          <w:vertAlign w:val="superscript"/>
        </w:rPr>
        <w:t>*</w:t>
      </w:r>
      <w:r w:rsidR="0056244A">
        <w:rPr>
          <w:vertAlign w:val="superscript"/>
        </w:rPr>
        <w:t xml:space="preserve"> </w:t>
      </w:r>
      <w:r w:rsidR="00451C7B">
        <w:rPr>
          <w:vertAlign w:val="superscript"/>
        </w:rPr>
        <w:t xml:space="preserve"> </w:t>
      </w:r>
      <w:r w:rsidR="00451C7B" w:rsidRPr="0056244A">
        <w:t xml:space="preserve">Makale </w:t>
      </w:r>
      <w:proofErr w:type="spellStart"/>
      <w:r w:rsidR="00451C7B" w:rsidRPr="0056244A">
        <w:t>hakkında</w:t>
      </w:r>
      <w:proofErr w:type="spellEnd"/>
      <w:r w:rsidR="00451C7B" w:rsidRPr="0056244A">
        <w:t xml:space="preserve"> ek </w:t>
      </w:r>
      <w:proofErr w:type="spellStart"/>
      <w:r w:rsidR="00451C7B" w:rsidRPr="0056244A">
        <w:t>bilgiler</w:t>
      </w:r>
      <w:proofErr w:type="spellEnd"/>
      <w:r w:rsidR="00451C7B" w:rsidRPr="0056244A">
        <w:t xml:space="preserve"> / </w:t>
      </w:r>
      <w:r w:rsidR="00451C7B" w:rsidRPr="00222017">
        <w:t>Additional</w:t>
      </w:r>
      <w:r w:rsidR="00451C7B" w:rsidRPr="0056244A">
        <w:t xml:space="preserve"> information about the article. Makale </w:t>
      </w:r>
      <w:proofErr w:type="spellStart"/>
      <w:r w:rsidR="00451C7B" w:rsidRPr="0056244A">
        <w:t>hakkında</w:t>
      </w:r>
      <w:proofErr w:type="spellEnd"/>
      <w:r w:rsidR="00451C7B" w:rsidRPr="0056244A">
        <w:t xml:space="preserve"> ek </w:t>
      </w:r>
      <w:proofErr w:type="spellStart"/>
      <w:r w:rsidR="00451C7B" w:rsidRPr="0056244A">
        <w:t>bilgiler</w:t>
      </w:r>
      <w:proofErr w:type="spellEnd"/>
      <w:r w:rsidR="00451C7B" w:rsidRPr="0056244A">
        <w:t xml:space="preserve"> / Additional information about the article. Makale </w:t>
      </w:r>
      <w:proofErr w:type="spellStart"/>
      <w:r w:rsidR="00451C7B" w:rsidRPr="0056244A">
        <w:t>hakkında</w:t>
      </w:r>
      <w:proofErr w:type="spellEnd"/>
      <w:r w:rsidR="00451C7B" w:rsidRPr="0056244A">
        <w:t xml:space="preserve"> ek </w:t>
      </w:r>
      <w:proofErr w:type="spellStart"/>
      <w:r w:rsidR="00451C7B" w:rsidRPr="0056244A">
        <w:t>bilgiler</w:t>
      </w:r>
      <w:proofErr w:type="spellEnd"/>
      <w:r w:rsidR="00451C7B" w:rsidRPr="0056244A">
        <w:t xml:space="preserve"> / Additional information about the article.</w:t>
      </w:r>
      <w:r w:rsidR="00451C7B" w:rsidRPr="0056244A">
        <w:rPr>
          <w:color w:val="C00000"/>
        </w:rPr>
        <w:t xml:space="preserve"> (</w:t>
      </w:r>
      <w:proofErr w:type="spellStart"/>
      <w:r w:rsidR="00451C7B" w:rsidRPr="0056244A">
        <w:rPr>
          <w:color w:val="C00000"/>
        </w:rPr>
        <w:t>Değiştirmeyeniz</w:t>
      </w:r>
      <w:proofErr w:type="spellEnd"/>
      <w:r w:rsidR="00451C7B" w:rsidRPr="0056244A">
        <w:rPr>
          <w:color w:val="C00000"/>
        </w:rPr>
        <w:t xml:space="preserve"> / Do not change)</w:t>
      </w:r>
    </w:p>
    <w:p w14:paraId="66B10ABB" w14:textId="29AE5364" w:rsidR="00C06AF3" w:rsidRPr="0056244A" w:rsidRDefault="00C06AF3" w:rsidP="006B61D0">
      <w:pPr>
        <w:pStyle w:val="Yazaraltbilgi"/>
        <w:rPr>
          <w:color w:val="C00000"/>
        </w:rPr>
      </w:pPr>
      <w:r w:rsidRPr="0056244A">
        <w:rPr>
          <w:rStyle w:val="DipnotBavurusu"/>
        </w:rPr>
        <w:footnoteRef/>
      </w:r>
      <w:r w:rsidR="002053D0" w:rsidRPr="0056244A">
        <w:t xml:space="preserve"> </w:t>
      </w:r>
      <w:r w:rsidRPr="0056244A">
        <w:t xml:space="preserve"> </w:t>
      </w:r>
      <w:r w:rsidRPr="0056244A">
        <w:rPr>
          <w:rFonts w:ascii="Times New Roman" w:eastAsia="Calibri" w:hAnsi="Times New Roman" w:cs="Times New Roman"/>
          <w:noProof/>
          <w:color w:val="auto"/>
          <w:lang w:val="tr-TR" w:eastAsia="tr-TR"/>
        </w:rPr>
        <w:drawing>
          <wp:inline distT="0" distB="0" distL="0" distR="0" wp14:anchorId="39C6B7DF" wp14:editId="1788BA29">
            <wp:extent cx="108000" cy="108000"/>
            <wp:effectExtent l="0" t="0" r="6350" b="6350"/>
            <wp:docPr id="1897767115" name="Resim 189776711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8000" cy="108000"/>
                    </a:xfrm>
                    <a:prstGeom prst="rect">
                      <a:avLst/>
                    </a:prstGeom>
                  </pic:spPr>
                </pic:pic>
              </a:graphicData>
            </a:graphic>
          </wp:inline>
        </w:drawing>
      </w:r>
      <w:r w:rsidR="00F366F8" w:rsidRPr="0056244A">
        <w:t xml:space="preserve"> </w:t>
      </w:r>
      <w:bookmarkStart w:id="0" w:name="_Hlk218280168"/>
      <w:bookmarkStart w:id="1" w:name="_Hlk218280008"/>
      <w:proofErr w:type="spellStart"/>
      <w:r w:rsidR="00477189">
        <w:t>Unvan</w:t>
      </w:r>
      <w:proofErr w:type="spellEnd"/>
      <w:r w:rsidR="00477189">
        <w:t>/</w:t>
      </w:r>
      <w:r w:rsidR="00477189" w:rsidRPr="00477189">
        <w:t>Title</w:t>
      </w:r>
      <w:r w:rsidR="00477189">
        <w:t>,</w:t>
      </w:r>
      <w:bookmarkEnd w:id="0"/>
      <w:r w:rsidR="00477189">
        <w:t xml:space="preserve"> </w:t>
      </w:r>
      <w:r w:rsidR="00F366F8" w:rsidRPr="0056244A">
        <w:t xml:space="preserve">X </w:t>
      </w:r>
      <w:proofErr w:type="spellStart"/>
      <w:r w:rsidR="00F366F8" w:rsidRPr="0056244A">
        <w:t>Üniversitesi</w:t>
      </w:r>
      <w:proofErr w:type="spellEnd"/>
      <w:r w:rsidR="00F366F8" w:rsidRPr="0056244A">
        <w:t xml:space="preserve">/University, Y </w:t>
      </w:r>
      <w:proofErr w:type="spellStart"/>
      <w:r w:rsidR="00F366F8" w:rsidRPr="0056244A">
        <w:t>Fakültesi</w:t>
      </w:r>
      <w:proofErr w:type="spellEnd"/>
      <w:r w:rsidR="00F366F8" w:rsidRPr="0056244A">
        <w:t>/Faculty</w:t>
      </w:r>
      <w:r w:rsidR="00660795" w:rsidRPr="0056244A">
        <w:t xml:space="preserve">, </w:t>
      </w:r>
      <w:proofErr w:type="spellStart"/>
      <w:r w:rsidR="00660795" w:rsidRPr="0056244A">
        <w:t>Ülke</w:t>
      </w:r>
      <w:proofErr w:type="spellEnd"/>
      <w:r w:rsidR="00660795" w:rsidRPr="0056244A">
        <w:t>/Country</w:t>
      </w:r>
      <w:r w:rsidR="002053D0" w:rsidRPr="0056244A">
        <w:t>,</w:t>
      </w:r>
      <w:r w:rsidR="00F366F8" w:rsidRPr="0056244A">
        <w:t xml:space="preserve"> aaa@bbb.edu.tr </w:t>
      </w:r>
      <w:r w:rsidR="00F366F8" w:rsidRPr="0056244A">
        <w:rPr>
          <w:color w:val="C00000"/>
        </w:rPr>
        <w:t>(</w:t>
      </w:r>
      <w:proofErr w:type="spellStart"/>
      <w:r w:rsidR="00F366F8" w:rsidRPr="0056244A">
        <w:rPr>
          <w:color w:val="C00000"/>
        </w:rPr>
        <w:t>Değiştirmeyeniz</w:t>
      </w:r>
      <w:proofErr w:type="spellEnd"/>
      <w:r w:rsidR="00F366F8" w:rsidRPr="0056244A">
        <w:rPr>
          <w:color w:val="C00000"/>
        </w:rPr>
        <w:t xml:space="preserve"> / Do not change)</w:t>
      </w:r>
      <w:bookmarkEnd w:id="1"/>
    </w:p>
  </w:footnote>
  <w:footnote w:id="2">
    <w:p w14:paraId="68173D05" w14:textId="75F88CFE" w:rsidR="00C839B5" w:rsidRPr="0056244A" w:rsidRDefault="00C839B5" w:rsidP="006D49C5">
      <w:pPr>
        <w:pStyle w:val="Yazaraltbilgi"/>
      </w:pPr>
      <w:r w:rsidRPr="0056244A">
        <w:rPr>
          <w:rStyle w:val="DipnotBavurusu"/>
        </w:rPr>
        <w:footnoteRef/>
      </w:r>
      <w:r w:rsidRPr="0056244A">
        <w:t xml:space="preserve"> </w:t>
      </w:r>
      <w:r w:rsidR="002053D0" w:rsidRPr="0056244A">
        <w:t xml:space="preserve"> </w:t>
      </w:r>
      <w:r w:rsidRPr="0056244A">
        <w:rPr>
          <w:rFonts w:ascii="Times New Roman" w:eastAsia="Calibri" w:hAnsi="Times New Roman" w:cs="Times New Roman"/>
          <w:noProof/>
          <w:color w:val="auto"/>
          <w:lang w:val="tr-TR" w:eastAsia="tr-TR"/>
        </w:rPr>
        <w:drawing>
          <wp:inline distT="0" distB="0" distL="0" distR="0" wp14:anchorId="1CA4D0AB" wp14:editId="79E5F221">
            <wp:extent cx="108000" cy="108000"/>
            <wp:effectExtent l="0" t="0" r="6350" b="6350"/>
            <wp:docPr id="1447159826" name="Resim 1447159826">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8000" cy="108000"/>
                    </a:xfrm>
                    <a:prstGeom prst="rect">
                      <a:avLst/>
                    </a:prstGeom>
                  </pic:spPr>
                </pic:pic>
              </a:graphicData>
            </a:graphic>
          </wp:inline>
        </w:drawing>
      </w:r>
      <w:r w:rsidR="002053D0" w:rsidRPr="0056244A">
        <w:t xml:space="preserve"> </w:t>
      </w:r>
      <w:proofErr w:type="spellStart"/>
      <w:r w:rsidR="00477189">
        <w:t>Unvan</w:t>
      </w:r>
      <w:proofErr w:type="spellEnd"/>
      <w:r w:rsidR="00477189">
        <w:t>/</w:t>
      </w:r>
      <w:r w:rsidR="00477189" w:rsidRPr="00477189">
        <w:t>Title</w:t>
      </w:r>
      <w:r w:rsidR="00477189">
        <w:t xml:space="preserve">, </w:t>
      </w:r>
      <w:r w:rsidR="002053D0" w:rsidRPr="0056244A">
        <w:t xml:space="preserve">X </w:t>
      </w:r>
      <w:proofErr w:type="spellStart"/>
      <w:r w:rsidR="002053D0" w:rsidRPr="0056244A">
        <w:t>Üniversitesi</w:t>
      </w:r>
      <w:proofErr w:type="spellEnd"/>
      <w:r w:rsidR="002053D0" w:rsidRPr="0056244A">
        <w:t xml:space="preserve">/University, Y </w:t>
      </w:r>
      <w:proofErr w:type="spellStart"/>
      <w:r w:rsidR="002053D0" w:rsidRPr="0056244A">
        <w:t>Fakültesi</w:t>
      </w:r>
      <w:proofErr w:type="spellEnd"/>
      <w:r w:rsidR="002053D0" w:rsidRPr="0056244A">
        <w:t xml:space="preserve">/Faculty, </w:t>
      </w:r>
      <w:proofErr w:type="spellStart"/>
      <w:r w:rsidR="002053D0" w:rsidRPr="0056244A">
        <w:t>Ülke</w:t>
      </w:r>
      <w:proofErr w:type="spellEnd"/>
      <w:r w:rsidR="002053D0" w:rsidRPr="0056244A">
        <w:t xml:space="preserve">/Country, aaa@bbb.edu.tr </w:t>
      </w:r>
      <w:r w:rsidR="002053D0" w:rsidRPr="0056244A">
        <w:rPr>
          <w:color w:val="C00000"/>
        </w:rPr>
        <w:t>(</w:t>
      </w:r>
      <w:proofErr w:type="spellStart"/>
      <w:r w:rsidR="002053D0" w:rsidRPr="0056244A">
        <w:rPr>
          <w:color w:val="C00000"/>
        </w:rPr>
        <w:t>Değiştirmeyeniz</w:t>
      </w:r>
      <w:proofErr w:type="spellEnd"/>
      <w:r w:rsidR="002053D0" w:rsidRPr="0056244A">
        <w:rPr>
          <w:color w:val="C00000"/>
        </w:rPr>
        <w:t xml:space="preserve"> / Do not change)</w:t>
      </w:r>
    </w:p>
  </w:footnote>
  <w:footnote w:id="3">
    <w:p w14:paraId="458E237A" w14:textId="045236A1" w:rsidR="00C839B5" w:rsidRPr="0056244A" w:rsidRDefault="00C839B5" w:rsidP="00222017">
      <w:pPr>
        <w:pStyle w:val="Yazaraltbilgi"/>
      </w:pPr>
      <w:r w:rsidRPr="0056244A">
        <w:rPr>
          <w:rStyle w:val="DipnotBavurusu"/>
        </w:rPr>
        <w:footnoteRef/>
      </w:r>
      <w:r w:rsidR="002053D0" w:rsidRPr="0056244A">
        <w:t xml:space="preserve"> </w:t>
      </w:r>
      <w:r w:rsidRPr="0056244A">
        <w:t xml:space="preserve"> </w:t>
      </w:r>
      <w:r w:rsidRPr="0056244A">
        <w:rPr>
          <w:rFonts w:ascii="Times New Roman" w:eastAsia="Calibri" w:hAnsi="Times New Roman" w:cs="Times New Roman"/>
          <w:noProof/>
          <w:color w:val="auto"/>
          <w:lang w:val="tr-TR" w:eastAsia="tr-TR"/>
        </w:rPr>
        <w:drawing>
          <wp:inline distT="0" distB="0" distL="0" distR="0" wp14:anchorId="3B008599" wp14:editId="1E120278">
            <wp:extent cx="108000" cy="108000"/>
            <wp:effectExtent l="0" t="0" r="6350" b="6350"/>
            <wp:docPr id="394964129" name="Resim 39496412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8000" cy="108000"/>
                    </a:xfrm>
                    <a:prstGeom prst="rect">
                      <a:avLst/>
                    </a:prstGeom>
                  </pic:spPr>
                </pic:pic>
              </a:graphicData>
            </a:graphic>
          </wp:inline>
        </w:drawing>
      </w:r>
      <w:r w:rsidR="002053D0" w:rsidRPr="0056244A">
        <w:t xml:space="preserve"> </w:t>
      </w:r>
      <w:proofErr w:type="spellStart"/>
      <w:r w:rsidR="00477189">
        <w:t>Unvan</w:t>
      </w:r>
      <w:proofErr w:type="spellEnd"/>
      <w:r w:rsidR="00477189">
        <w:t>/</w:t>
      </w:r>
      <w:r w:rsidR="00477189" w:rsidRPr="00477189">
        <w:t>Title</w:t>
      </w:r>
      <w:r w:rsidR="00477189">
        <w:t xml:space="preserve">, </w:t>
      </w:r>
      <w:r w:rsidR="002053D0" w:rsidRPr="0056244A">
        <w:t xml:space="preserve">X </w:t>
      </w:r>
      <w:proofErr w:type="spellStart"/>
      <w:r w:rsidR="002053D0" w:rsidRPr="0056244A">
        <w:t>Üniversitesi</w:t>
      </w:r>
      <w:proofErr w:type="spellEnd"/>
      <w:r w:rsidR="002053D0" w:rsidRPr="0056244A">
        <w:t xml:space="preserve">/University, Y </w:t>
      </w:r>
      <w:proofErr w:type="spellStart"/>
      <w:r w:rsidR="002053D0" w:rsidRPr="0056244A">
        <w:t>Fakültesi</w:t>
      </w:r>
      <w:proofErr w:type="spellEnd"/>
      <w:r w:rsidR="002053D0" w:rsidRPr="0056244A">
        <w:t xml:space="preserve">/Faculty, </w:t>
      </w:r>
      <w:proofErr w:type="spellStart"/>
      <w:r w:rsidR="002053D0" w:rsidRPr="0056244A">
        <w:t>Ülke</w:t>
      </w:r>
      <w:proofErr w:type="spellEnd"/>
      <w:r w:rsidR="002053D0" w:rsidRPr="0056244A">
        <w:t xml:space="preserve">/Country, aaa@bbb.edu.tr </w:t>
      </w:r>
      <w:r w:rsidR="002053D0" w:rsidRPr="0056244A">
        <w:rPr>
          <w:color w:val="C00000"/>
        </w:rPr>
        <w:t>(</w:t>
      </w:r>
      <w:proofErr w:type="spellStart"/>
      <w:r w:rsidR="002053D0" w:rsidRPr="0056244A">
        <w:rPr>
          <w:color w:val="C00000"/>
        </w:rPr>
        <w:t>Değiştirmeyeniz</w:t>
      </w:r>
      <w:proofErr w:type="spellEnd"/>
      <w:r w:rsidR="002053D0" w:rsidRPr="0056244A">
        <w:rPr>
          <w:color w:val="C00000"/>
        </w:rPr>
        <w:t xml:space="preserve"> / Do not change)</w:t>
      </w:r>
    </w:p>
  </w:footnote>
  <w:footnote w:id="4">
    <w:p w14:paraId="270A42F1" w14:textId="4D71B7DF" w:rsidR="00583EFC" w:rsidRPr="0056244A" w:rsidRDefault="00583EFC" w:rsidP="000B26A0">
      <w:pPr>
        <w:pStyle w:val="DipnotMetni"/>
        <w:spacing w:after="20"/>
        <w:rPr>
          <w:sz w:val="18"/>
          <w:szCs w:val="18"/>
        </w:rPr>
      </w:pPr>
      <w:r w:rsidRPr="0056244A">
        <w:rPr>
          <w:rStyle w:val="DipnotBavurusu"/>
          <w:sz w:val="18"/>
          <w:szCs w:val="18"/>
        </w:rPr>
        <w:footnoteRef/>
      </w:r>
      <w:r w:rsidR="002053D0" w:rsidRPr="0056244A">
        <w:rPr>
          <w:sz w:val="18"/>
          <w:szCs w:val="18"/>
        </w:rPr>
        <w:t xml:space="preserve"> </w:t>
      </w:r>
      <w:r w:rsidRPr="0056244A">
        <w:rPr>
          <w:sz w:val="18"/>
          <w:szCs w:val="18"/>
        </w:rPr>
        <w:t xml:space="preserve"> </w:t>
      </w:r>
      <w:r w:rsidR="005E6ADF" w:rsidRPr="0056244A">
        <w:rPr>
          <w:rFonts w:ascii="Times New Roman" w:eastAsia="Calibri" w:hAnsi="Times New Roman" w:cs="Times New Roman"/>
          <w:noProof/>
          <w:color w:val="auto"/>
          <w:sz w:val="18"/>
          <w:szCs w:val="18"/>
          <w:lang w:eastAsia="tr-TR"/>
        </w:rPr>
        <w:drawing>
          <wp:inline distT="0" distB="0" distL="0" distR="0" wp14:anchorId="704D8151" wp14:editId="6867002D">
            <wp:extent cx="108000" cy="108000"/>
            <wp:effectExtent l="0" t="0" r="6350" b="6350"/>
            <wp:docPr id="1077078677" name="Resim 107707867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8000" cy="108000"/>
                    </a:xfrm>
                    <a:prstGeom prst="rect">
                      <a:avLst/>
                    </a:prstGeom>
                  </pic:spPr>
                </pic:pic>
              </a:graphicData>
            </a:graphic>
          </wp:inline>
        </w:drawing>
      </w:r>
      <w:r w:rsidR="002053D0" w:rsidRPr="0056244A">
        <w:rPr>
          <w:sz w:val="18"/>
          <w:szCs w:val="18"/>
        </w:rPr>
        <w:t xml:space="preserve"> </w:t>
      </w:r>
      <w:r w:rsidR="00477189">
        <w:rPr>
          <w:sz w:val="18"/>
          <w:szCs w:val="18"/>
        </w:rPr>
        <w:t>Unvan/</w:t>
      </w:r>
      <w:r w:rsidR="00477189" w:rsidRPr="00477189">
        <w:rPr>
          <w:sz w:val="18"/>
          <w:szCs w:val="18"/>
          <w:lang w:val="en-US"/>
        </w:rPr>
        <w:t>Title</w:t>
      </w:r>
      <w:r w:rsidR="00477189">
        <w:rPr>
          <w:sz w:val="18"/>
          <w:szCs w:val="18"/>
        </w:rPr>
        <w:t xml:space="preserve">, </w:t>
      </w:r>
      <w:r w:rsidR="002053D0" w:rsidRPr="0056244A">
        <w:rPr>
          <w:sz w:val="18"/>
          <w:szCs w:val="18"/>
        </w:rPr>
        <w:t>X Üniversitesi/</w:t>
      </w:r>
      <w:r w:rsidR="002053D0" w:rsidRPr="0056244A">
        <w:rPr>
          <w:sz w:val="18"/>
          <w:szCs w:val="18"/>
          <w:lang w:val="en-US"/>
        </w:rPr>
        <w:t>University</w:t>
      </w:r>
      <w:r w:rsidR="002053D0" w:rsidRPr="0056244A">
        <w:rPr>
          <w:sz w:val="18"/>
          <w:szCs w:val="18"/>
        </w:rPr>
        <w:t>, Y Fakültesi/</w:t>
      </w:r>
      <w:r w:rsidR="002053D0" w:rsidRPr="0056244A">
        <w:rPr>
          <w:sz w:val="18"/>
          <w:szCs w:val="18"/>
          <w:lang w:val="en-US"/>
        </w:rPr>
        <w:t xml:space="preserve">Faculty, </w:t>
      </w:r>
      <w:proofErr w:type="spellStart"/>
      <w:r w:rsidR="002053D0" w:rsidRPr="0056244A">
        <w:rPr>
          <w:sz w:val="18"/>
          <w:szCs w:val="18"/>
          <w:lang w:val="en-US"/>
        </w:rPr>
        <w:t>Ülke</w:t>
      </w:r>
      <w:proofErr w:type="spellEnd"/>
      <w:r w:rsidR="002053D0" w:rsidRPr="0056244A">
        <w:rPr>
          <w:sz w:val="18"/>
          <w:szCs w:val="18"/>
          <w:lang w:val="en-US"/>
        </w:rPr>
        <w:t xml:space="preserve">/Country, </w:t>
      </w:r>
      <w:r w:rsidR="002053D0" w:rsidRPr="0056244A">
        <w:rPr>
          <w:sz w:val="18"/>
          <w:szCs w:val="18"/>
        </w:rPr>
        <w:t xml:space="preserve">aaa@bbb.edu.tr </w:t>
      </w:r>
      <w:r w:rsidR="002053D0" w:rsidRPr="0056244A">
        <w:rPr>
          <w:color w:val="C00000"/>
          <w:sz w:val="18"/>
          <w:szCs w:val="18"/>
        </w:rPr>
        <w:t xml:space="preserve">(Değiştirmeyeniz / </w:t>
      </w:r>
      <w:r w:rsidR="002053D0" w:rsidRPr="0056244A">
        <w:rPr>
          <w:color w:val="C00000"/>
          <w:sz w:val="18"/>
          <w:szCs w:val="18"/>
          <w:lang w:val="en-US"/>
        </w:rPr>
        <w:t>Do not change</w:t>
      </w:r>
      <w:r w:rsidR="002053D0" w:rsidRPr="0056244A">
        <w:rPr>
          <w:color w:val="C00000"/>
          <w:sz w:val="18"/>
          <w:szCs w:val="18"/>
        </w:rPr>
        <w:t>)</w:t>
      </w:r>
    </w:p>
  </w:footnote>
  <w:footnote w:id="5">
    <w:p w14:paraId="7D14678D" w14:textId="34F835A2" w:rsidR="004B1A1C" w:rsidRPr="006E588B" w:rsidRDefault="00583EFC" w:rsidP="000B26A0">
      <w:pPr>
        <w:pStyle w:val="DipnotMetni"/>
        <w:rPr>
          <w:color w:val="C00000"/>
          <w:sz w:val="18"/>
          <w:szCs w:val="18"/>
        </w:rPr>
      </w:pPr>
      <w:r w:rsidRPr="0056244A">
        <w:rPr>
          <w:rStyle w:val="DipnotBavurusu"/>
          <w:sz w:val="18"/>
          <w:szCs w:val="18"/>
        </w:rPr>
        <w:footnoteRef/>
      </w:r>
      <w:r w:rsidRPr="0056244A">
        <w:rPr>
          <w:sz w:val="18"/>
          <w:szCs w:val="18"/>
        </w:rPr>
        <w:t xml:space="preserve"> </w:t>
      </w:r>
      <w:r w:rsidR="002053D0" w:rsidRPr="0056244A">
        <w:rPr>
          <w:sz w:val="18"/>
          <w:szCs w:val="18"/>
        </w:rPr>
        <w:t xml:space="preserve"> </w:t>
      </w:r>
      <w:r w:rsidR="005E6ADF" w:rsidRPr="0056244A">
        <w:rPr>
          <w:rFonts w:ascii="Times New Roman" w:eastAsia="Calibri" w:hAnsi="Times New Roman" w:cs="Times New Roman"/>
          <w:noProof/>
          <w:color w:val="auto"/>
          <w:sz w:val="18"/>
          <w:szCs w:val="18"/>
          <w:lang w:eastAsia="tr-TR"/>
        </w:rPr>
        <w:drawing>
          <wp:inline distT="0" distB="0" distL="0" distR="0" wp14:anchorId="7740E1E9" wp14:editId="0F27AA06">
            <wp:extent cx="108000" cy="108000"/>
            <wp:effectExtent l="0" t="0" r="6350" b="6350"/>
            <wp:docPr id="1026135212" name="Resim 102613521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8000" cy="108000"/>
                    </a:xfrm>
                    <a:prstGeom prst="rect">
                      <a:avLst/>
                    </a:prstGeom>
                  </pic:spPr>
                </pic:pic>
              </a:graphicData>
            </a:graphic>
          </wp:inline>
        </w:drawing>
      </w:r>
      <w:r w:rsidR="002053D0" w:rsidRPr="0056244A">
        <w:rPr>
          <w:sz w:val="18"/>
          <w:szCs w:val="18"/>
        </w:rPr>
        <w:t xml:space="preserve"> </w:t>
      </w:r>
      <w:r w:rsidR="00477189">
        <w:rPr>
          <w:sz w:val="18"/>
          <w:szCs w:val="18"/>
        </w:rPr>
        <w:t>Unvan/</w:t>
      </w:r>
      <w:r w:rsidR="00477189" w:rsidRPr="00477189">
        <w:rPr>
          <w:sz w:val="18"/>
          <w:szCs w:val="18"/>
          <w:lang w:val="en-US"/>
        </w:rPr>
        <w:t>Title</w:t>
      </w:r>
      <w:r w:rsidR="00477189">
        <w:rPr>
          <w:sz w:val="18"/>
          <w:szCs w:val="18"/>
        </w:rPr>
        <w:t xml:space="preserve">, </w:t>
      </w:r>
      <w:r w:rsidR="002053D0" w:rsidRPr="0056244A">
        <w:rPr>
          <w:sz w:val="18"/>
          <w:szCs w:val="18"/>
        </w:rPr>
        <w:t>X Üniversitesi/</w:t>
      </w:r>
      <w:r w:rsidR="002053D0" w:rsidRPr="0056244A">
        <w:rPr>
          <w:sz w:val="18"/>
          <w:szCs w:val="18"/>
          <w:lang w:val="en-US"/>
        </w:rPr>
        <w:t>University</w:t>
      </w:r>
      <w:r w:rsidR="002053D0" w:rsidRPr="0056244A">
        <w:rPr>
          <w:sz w:val="18"/>
          <w:szCs w:val="18"/>
        </w:rPr>
        <w:t>, Y Fakültesi/</w:t>
      </w:r>
      <w:r w:rsidR="002053D0" w:rsidRPr="0056244A">
        <w:rPr>
          <w:sz w:val="18"/>
          <w:szCs w:val="18"/>
          <w:lang w:val="en-US"/>
        </w:rPr>
        <w:t xml:space="preserve">Faculty, </w:t>
      </w:r>
      <w:proofErr w:type="spellStart"/>
      <w:r w:rsidR="002053D0" w:rsidRPr="0056244A">
        <w:rPr>
          <w:sz w:val="18"/>
          <w:szCs w:val="18"/>
          <w:lang w:val="en-US"/>
        </w:rPr>
        <w:t>Ülke</w:t>
      </w:r>
      <w:proofErr w:type="spellEnd"/>
      <w:r w:rsidR="002053D0" w:rsidRPr="0056244A">
        <w:rPr>
          <w:sz w:val="18"/>
          <w:szCs w:val="18"/>
          <w:lang w:val="en-US"/>
        </w:rPr>
        <w:t xml:space="preserve">/Country, </w:t>
      </w:r>
      <w:r w:rsidR="002053D0" w:rsidRPr="0056244A">
        <w:rPr>
          <w:sz w:val="18"/>
          <w:szCs w:val="18"/>
        </w:rPr>
        <w:t xml:space="preserve">aaa@bbb.edu.tr </w:t>
      </w:r>
      <w:r w:rsidR="002053D0" w:rsidRPr="0056244A">
        <w:rPr>
          <w:color w:val="C00000"/>
          <w:sz w:val="18"/>
          <w:szCs w:val="18"/>
        </w:rPr>
        <w:t xml:space="preserve">(Değiştirmeyeniz / </w:t>
      </w:r>
      <w:r w:rsidR="002053D0" w:rsidRPr="0056244A">
        <w:rPr>
          <w:color w:val="C00000"/>
          <w:sz w:val="18"/>
          <w:szCs w:val="18"/>
          <w:lang w:val="en-US"/>
        </w:rPr>
        <w:t>Do not change</w:t>
      </w:r>
      <w:r w:rsidR="002053D0" w:rsidRPr="0056244A">
        <w:rPr>
          <w:color w:val="C00000"/>
          <w:sz w:val="18"/>
          <w:szCs w:val="18"/>
        </w:rPr>
        <w:t>)</w:t>
      </w:r>
    </w:p>
  </w:footnote>
  <w:footnote w:id="6">
    <w:p w14:paraId="3E39D94F" w14:textId="134817DD" w:rsidR="001D7197" w:rsidRPr="0052322F" w:rsidRDefault="001D7197" w:rsidP="00422801">
      <w:pPr>
        <w:pStyle w:val="Dipnot"/>
        <w:spacing w:after="0"/>
      </w:pPr>
      <w:r w:rsidRPr="0052322F">
        <w:rPr>
          <w:rStyle w:val="DipnotBavurusu"/>
        </w:rPr>
        <w:footnoteRef/>
      </w:r>
      <w:r w:rsidRPr="0052322F">
        <w:t xml:space="preserve"> Makale içerisindeki </w:t>
      </w:r>
      <w:r w:rsidRPr="00440781">
        <w:t>dipnot</w:t>
      </w:r>
      <w:r w:rsidRPr="0052322F">
        <w:t>lar</w:t>
      </w:r>
      <w:r w:rsidRPr="00440781">
        <w:t xml:space="preserve"> </w:t>
      </w:r>
      <w:proofErr w:type="spellStart"/>
      <w:r w:rsidRPr="0052322F">
        <w:t>Garamond</w:t>
      </w:r>
      <w:proofErr w:type="spellEnd"/>
      <w:r w:rsidRPr="0052322F">
        <w:t xml:space="preserve"> yazı tipinde, 9</w:t>
      </w:r>
      <w:r w:rsidRPr="00440781">
        <w:t xml:space="preserve"> punto</w:t>
      </w:r>
      <w:r w:rsidRPr="0052322F">
        <w:t xml:space="preserve"> büyüklüğünde, </w:t>
      </w:r>
      <w:r w:rsidRPr="00440781">
        <w:t>iki yana yaslı</w:t>
      </w:r>
      <w:r w:rsidRPr="0052322F">
        <w:t xml:space="preserve">, </w:t>
      </w:r>
      <w:r w:rsidRPr="00440781">
        <w:t>tek satır aralığı</w:t>
      </w:r>
      <w:r w:rsidRPr="0052322F">
        <w:t>nda</w:t>
      </w:r>
      <w:r w:rsidRPr="00440781">
        <w:t xml:space="preserve"> </w:t>
      </w:r>
      <w:r w:rsidRPr="0052322F">
        <w:t>yazılmalı;</w:t>
      </w:r>
      <w:r w:rsidRPr="00440781">
        <w:t xml:space="preserve"> paragraftan önce ve sonra 3</w:t>
      </w:r>
      <w:r w:rsidRPr="0052322F">
        <w:t xml:space="preserve"> </w:t>
      </w:r>
      <w:proofErr w:type="spellStart"/>
      <w:r w:rsidRPr="00440781">
        <w:t>nk</w:t>
      </w:r>
      <w:proofErr w:type="spellEnd"/>
      <w:r w:rsidRPr="00440781">
        <w:t xml:space="preserve"> boşluk bırakıl</w:t>
      </w:r>
      <w:r w:rsidRPr="0052322F">
        <w:t>malıdır</w:t>
      </w:r>
      <w:r w:rsidR="00790162" w:rsidRPr="0052322F">
        <w:t>.</w:t>
      </w:r>
      <w:r w:rsidR="00B3628F">
        <w:t xml:space="preserve"> </w:t>
      </w:r>
      <w:r w:rsidR="00B3628F" w:rsidRPr="00B3628F">
        <w:t xml:space="preserve">Makale içerisindeki </w:t>
      </w:r>
      <w:r w:rsidR="00B3628F" w:rsidRPr="00440781">
        <w:t>dipnot</w:t>
      </w:r>
      <w:r w:rsidR="00B3628F" w:rsidRPr="00B3628F">
        <w:t>lar</w:t>
      </w:r>
      <w:r w:rsidR="00B3628F" w:rsidRPr="00440781">
        <w:t xml:space="preserve"> </w:t>
      </w:r>
      <w:proofErr w:type="spellStart"/>
      <w:r w:rsidR="00B3628F" w:rsidRPr="00B3628F">
        <w:t>Garamond</w:t>
      </w:r>
      <w:proofErr w:type="spellEnd"/>
      <w:r w:rsidR="00B3628F" w:rsidRPr="00B3628F">
        <w:t xml:space="preserve"> yazı tipinde, 9</w:t>
      </w:r>
      <w:r w:rsidR="00B3628F" w:rsidRPr="00440781">
        <w:t xml:space="preserve"> punto</w:t>
      </w:r>
      <w:r w:rsidR="00B3628F" w:rsidRPr="00B3628F">
        <w:t xml:space="preserve"> büyüklüğünde, </w:t>
      </w:r>
      <w:r w:rsidR="00B3628F" w:rsidRPr="00440781">
        <w:t>iki yana yaslı</w:t>
      </w:r>
      <w:r w:rsidR="00B3628F" w:rsidRPr="00B3628F">
        <w:t xml:space="preserve">, </w:t>
      </w:r>
      <w:r w:rsidR="00B3628F" w:rsidRPr="00440781">
        <w:t>tek satır aralığı</w:t>
      </w:r>
      <w:r w:rsidR="00B3628F" w:rsidRPr="00B3628F">
        <w:t>nda</w:t>
      </w:r>
      <w:r w:rsidR="00B3628F" w:rsidRPr="00440781">
        <w:t xml:space="preserve"> </w:t>
      </w:r>
      <w:r w:rsidR="00B3628F" w:rsidRPr="00B3628F">
        <w:t>yazılmalı;</w:t>
      </w:r>
      <w:r w:rsidR="00B3628F" w:rsidRPr="00440781">
        <w:t xml:space="preserve"> paragraftan önce ve sonra 3</w:t>
      </w:r>
      <w:r w:rsidR="00B3628F" w:rsidRPr="00B3628F">
        <w:t xml:space="preserve"> </w:t>
      </w:r>
      <w:proofErr w:type="spellStart"/>
      <w:r w:rsidR="00B3628F" w:rsidRPr="00440781">
        <w:t>nk</w:t>
      </w:r>
      <w:proofErr w:type="spellEnd"/>
      <w:r w:rsidR="00B3628F" w:rsidRPr="00440781">
        <w:t xml:space="preserve"> boşluk bırakıl</w:t>
      </w:r>
      <w:r w:rsidR="00B3628F" w:rsidRPr="00B3628F">
        <w:t>malıdır.</w:t>
      </w:r>
    </w:p>
  </w:footnote>
  <w:footnote w:id="7">
    <w:p w14:paraId="4B725D0C" w14:textId="23FF356D" w:rsidR="00964A76" w:rsidRPr="0052322F" w:rsidRDefault="00964A76" w:rsidP="007002AC">
      <w:pPr>
        <w:pStyle w:val="DipnotMetni"/>
        <w:spacing w:after="60"/>
        <w:ind w:left="113" w:hanging="113"/>
        <w:rPr>
          <w:sz w:val="18"/>
          <w:szCs w:val="18"/>
          <w:lang w:val="en-US"/>
        </w:rPr>
      </w:pPr>
      <w:r w:rsidRPr="0052322F">
        <w:rPr>
          <w:rStyle w:val="DipnotBavurusu"/>
          <w:sz w:val="18"/>
          <w:szCs w:val="18"/>
        </w:rPr>
        <w:footnoteRef/>
      </w:r>
      <w:r w:rsidRPr="0052322F">
        <w:rPr>
          <w:sz w:val="18"/>
          <w:szCs w:val="18"/>
        </w:rPr>
        <w:t xml:space="preserve"> </w:t>
      </w:r>
      <w:r w:rsidR="004401AB" w:rsidRPr="0052322F">
        <w:rPr>
          <w:sz w:val="18"/>
          <w:szCs w:val="18"/>
          <w:lang w:val="en-US"/>
        </w:rPr>
        <w:t xml:space="preserve">Footnotes within the manuscript should be written in Garamond font, 9-point size, justified alignment, and single line spacing; 3 </w:t>
      </w:r>
      <w:proofErr w:type="spellStart"/>
      <w:r w:rsidR="004401AB" w:rsidRPr="0052322F">
        <w:rPr>
          <w:sz w:val="18"/>
          <w:szCs w:val="18"/>
          <w:lang w:val="en-US"/>
        </w:rPr>
        <w:t>nk</w:t>
      </w:r>
      <w:proofErr w:type="spellEnd"/>
      <w:r w:rsidR="004401AB" w:rsidRPr="0052322F">
        <w:rPr>
          <w:sz w:val="18"/>
          <w:szCs w:val="18"/>
          <w:lang w:val="en-US"/>
        </w:rPr>
        <w:t xml:space="preserve"> spacing should be left before and after each paragraph.</w:t>
      </w:r>
      <w:r w:rsidR="00B3628F">
        <w:rPr>
          <w:sz w:val="18"/>
          <w:szCs w:val="18"/>
          <w:lang w:val="en-US"/>
        </w:rPr>
        <w:t xml:space="preserve"> </w:t>
      </w:r>
      <w:r w:rsidR="00B3628F" w:rsidRPr="00B3628F">
        <w:rPr>
          <w:sz w:val="18"/>
          <w:szCs w:val="18"/>
          <w:lang w:val="en-US"/>
        </w:rPr>
        <w:t xml:space="preserve">Footnotes within the manuscript should be written in Garamond font, 9-point size, justified alignment, and single line spacing; 3 </w:t>
      </w:r>
      <w:proofErr w:type="spellStart"/>
      <w:r w:rsidR="00B3628F" w:rsidRPr="00B3628F">
        <w:rPr>
          <w:sz w:val="18"/>
          <w:szCs w:val="18"/>
          <w:lang w:val="en-US"/>
        </w:rPr>
        <w:t>nk</w:t>
      </w:r>
      <w:proofErr w:type="spellEnd"/>
      <w:r w:rsidR="00B3628F" w:rsidRPr="00B3628F">
        <w:rPr>
          <w:sz w:val="18"/>
          <w:szCs w:val="18"/>
          <w:lang w:val="en-US"/>
        </w:rPr>
        <w:t xml:space="preserve"> spacing should be left before and after each paragraph.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131A" w14:textId="2D5BBEF0" w:rsidR="00771D2C" w:rsidRDefault="00242903" w:rsidP="009E6156">
    <w:pPr>
      <w:pStyle w:val="stBilgi"/>
      <w:jc w:val="right"/>
    </w:pPr>
    <w:r>
      <w:t xml:space="preserve">Yazar </w:t>
    </w:r>
    <w:r w:rsidR="002537F2">
      <w:t>Soyadı, Yıl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EE21" w14:textId="66BD6A3F" w:rsidR="00D8650A" w:rsidRPr="0086772C" w:rsidRDefault="0086772C">
    <w:pPr>
      <w:pStyle w:val="stBilgi"/>
      <w:tabs>
        <w:tab w:val="clear" w:pos="4680"/>
        <w:tab w:val="clear" w:pos="9360"/>
      </w:tabs>
      <w:jc w:val="right"/>
      <w:rPr>
        <w:sz w:val="20"/>
        <w:szCs w:val="20"/>
      </w:rPr>
    </w:pPr>
    <w:r>
      <w:rPr>
        <w:b/>
        <w:bCs/>
        <w:color w:val="auto"/>
        <w:sz w:val="20"/>
        <w:szCs w:val="20"/>
      </w:rPr>
      <w:t>Yazar Soyadı</w:t>
    </w:r>
    <w:r w:rsidR="008B08DB" w:rsidRPr="0086772C">
      <w:rPr>
        <w:b/>
        <w:bCs/>
        <w:color w:val="auto"/>
        <w:sz w:val="20"/>
        <w:szCs w:val="20"/>
      </w:rPr>
      <w:t xml:space="preserve">, </w:t>
    </w:r>
    <w:r>
      <w:rPr>
        <w:b/>
        <w:bCs/>
        <w:color w:val="auto"/>
        <w:sz w:val="20"/>
        <w:szCs w:val="20"/>
      </w:rPr>
      <w:t>Yıl</w:t>
    </w:r>
    <w:r w:rsidR="00D8650A" w:rsidRPr="0086772C">
      <w:rPr>
        <w:b/>
        <w:bCs/>
        <w:color w:val="auto"/>
        <w:sz w:val="20"/>
        <w:szCs w:val="20"/>
      </w:rPr>
      <w:t xml:space="preserve">| </w:t>
    </w:r>
    <w:sdt>
      <w:sdtPr>
        <w:rPr>
          <w:b/>
          <w:bCs/>
          <w:color w:val="auto"/>
          <w:sz w:val="20"/>
          <w:szCs w:val="20"/>
        </w:rPr>
        <w:alias w:val="Yazar"/>
        <w:tag w:val=""/>
        <w:id w:val="-1677181147"/>
        <w:placeholder>
          <w:docPart w:val="A3325D6B339641008D37855D32E9516D"/>
        </w:placeholder>
        <w:dataBinding w:prefixMappings="xmlns:ns0='http://purl.org/dc/elements/1.1/' xmlns:ns1='http://schemas.openxmlformats.org/package/2006/metadata/core-properties' " w:xpath="/ns1:coreProperties[1]/ns0:creator[1]" w:storeItemID="{6C3C8BC8-F283-45AE-878A-BAB7291924A1}"/>
        <w:text/>
      </w:sdtPr>
      <w:sdtContent>
        <w:r w:rsidR="008F0DC4">
          <w:rPr>
            <w:b/>
            <w:bCs/>
            <w:color w:val="auto"/>
            <w:sz w:val="20"/>
            <w:szCs w:val="20"/>
          </w:rPr>
          <w:t>Dergi Adı, Cilt (Sayı): Sayfa Aralığı</w:t>
        </w:r>
      </w:sdtContent>
    </w:sdt>
  </w:p>
  <w:p w14:paraId="642B3C14" w14:textId="6D549359" w:rsidR="000A256B" w:rsidRDefault="004232FE">
    <w:pPr>
      <w:pStyle w:val="stBilgi"/>
    </w:pPr>
    <w:r w:rsidRPr="004232FE">
      <w:rPr>
        <w:noProof/>
        <w:color w:val="C00000"/>
        <w:lang w:eastAsia="tr-TR"/>
      </w:rPr>
      <mc:AlternateContent>
        <mc:Choice Requires="wps">
          <w:drawing>
            <wp:anchor distT="0" distB="0" distL="114300" distR="114300" simplePos="0" relativeHeight="251668480" behindDoc="0" locked="0" layoutInCell="1" allowOverlap="1" wp14:anchorId="60A5C0D4" wp14:editId="0D42EF16">
              <wp:simplePos x="0" y="0"/>
              <wp:positionH relativeFrom="margin">
                <wp:posOffset>-1270</wp:posOffset>
              </wp:positionH>
              <wp:positionV relativeFrom="paragraph">
                <wp:posOffset>140335</wp:posOffset>
              </wp:positionV>
              <wp:extent cx="6192000" cy="0"/>
              <wp:effectExtent l="0" t="0" r="0" b="0"/>
              <wp:wrapNone/>
              <wp:docPr id="887942635" name="Düz Bağlayıcı 6"/>
              <wp:cNvGraphicFramePr/>
              <a:graphic xmlns:a="http://schemas.openxmlformats.org/drawingml/2006/main">
                <a:graphicData uri="http://schemas.microsoft.com/office/word/2010/wordprocessingShape">
                  <wps:wsp>
                    <wps:cNvCnPr/>
                    <wps:spPr>
                      <a:xfrm flipV="1">
                        <a:off x="0" y="0"/>
                        <a:ext cx="6192000" cy="0"/>
                      </a:xfrm>
                      <a:prstGeom prst="line">
                        <a:avLst/>
                      </a:prstGeom>
                      <a:ln w="952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06DEF" id="Düz Bağlayıcı 6"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1.05pt" to="487.4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" strokecolor="#c00000">
              <v:stroke joinstyle="miter"/>
              <w10:wrap anchorx="margin"/>
            </v:line>
          </w:pict>
        </mc:Fallback>
      </mc:AlternateContent>
    </w:r>
  </w:p>
  <w:p w14:paraId="0002351F" w14:textId="77777777" w:rsidR="008A268F" w:rsidRDefault="008A268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35A"/>
    <w:multiLevelType w:val="hybridMultilevel"/>
    <w:tmpl w:val="1D360A6E"/>
    <w:lvl w:ilvl="0" w:tplc="CBF62B7C">
      <w:start w:val="1"/>
      <w:numFmt w:val="bullet"/>
      <w:lvlText w:val=""/>
      <w:lvlJc w:val="left"/>
      <w:pPr>
        <w:ind w:left="0" w:firstLine="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4E2AF6"/>
    <w:multiLevelType w:val="hybridMultilevel"/>
    <w:tmpl w:val="0A3AB9DA"/>
    <w:lvl w:ilvl="0" w:tplc="72B025DA">
      <w:start w:val="1"/>
      <w:numFmt w:val="bullet"/>
      <w:lvlText w:val=""/>
      <w:lvlJc w:val="left"/>
      <w:pPr>
        <w:ind w:left="0" w:firstLine="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1E5985"/>
    <w:multiLevelType w:val="multilevel"/>
    <w:tmpl w:val="00F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14410"/>
    <w:multiLevelType w:val="hybridMultilevel"/>
    <w:tmpl w:val="90EE758C"/>
    <w:lvl w:ilvl="0" w:tplc="02C0C98C">
      <w:start w:val="1"/>
      <w:numFmt w:val="bullet"/>
      <w:pStyle w:val="Maddelendirme"/>
      <w:lvlText w:val=""/>
      <w:lvlJc w:val="left"/>
      <w:pPr>
        <w:ind w:left="357" w:hanging="357"/>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B9B79BF"/>
    <w:multiLevelType w:val="multilevel"/>
    <w:tmpl w:val="C464A1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AC116E0"/>
    <w:multiLevelType w:val="hybridMultilevel"/>
    <w:tmpl w:val="368E3178"/>
    <w:lvl w:ilvl="0" w:tplc="EB34ADFE">
      <w:start w:val="1"/>
      <w:numFmt w:val="bullet"/>
      <w:lvlText w:val=""/>
      <w:lvlJc w:val="left"/>
      <w:pPr>
        <w:ind w:left="284" w:firstLine="76"/>
      </w:pPr>
      <w:rPr>
        <w:rFonts w:ascii="Symbol" w:hAnsi="Symbol" w:hint="default"/>
        <w:color w:val="000000" w:themeColor="text1"/>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5784A64"/>
    <w:multiLevelType w:val="multilevel"/>
    <w:tmpl w:val="BFC6BE84"/>
    <w:lvl w:ilvl="0">
      <w:start w:val="1"/>
      <w:numFmt w:val="decimal"/>
      <w:lvlText w:val="%1."/>
      <w:lvlJc w:val="left"/>
      <w:pPr>
        <w:ind w:left="1080" w:hanging="360"/>
      </w:pPr>
      <w:rPr>
        <w:rFonts w:hint="default"/>
        <w:color w:val="C0000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1804888073">
    <w:abstractNumId w:val="6"/>
  </w:num>
  <w:num w:numId="2" w16cid:durableId="702025366">
    <w:abstractNumId w:val="4"/>
  </w:num>
  <w:num w:numId="3" w16cid:durableId="1610237843">
    <w:abstractNumId w:val="5"/>
  </w:num>
  <w:num w:numId="4" w16cid:durableId="560555389">
    <w:abstractNumId w:val="0"/>
  </w:num>
  <w:num w:numId="5" w16cid:durableId="379136206">
    <w:abstractNumId w:val="1"/>
  </w:num>
  <w:num w:numId="6" w16cid:durableId="1713841323">
    <w:abstractNumId w:val="3"/>
  </w:num>
  <w:num w:numId="7" w16cid:durableId="813372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W0tDA3NQYyjYwMDJV0lIJTi4sz8/NACkxqAewLjwAsAAAA"/>
  </w:docVars>
  <w:rsids>
    <w:rsidRoot w:val="00200254"/>
    <w:rsid w:val="0000045F"/>
    <w:rsid w:val="00000F21"/>
    <w:rsid w:val="0000311F"/>
    <w:rsid w:val="00003BFA"/>
    <w:rsid w:val="000042C8"/>
    <w:rsid w:val="00004733"/>
    <w:rsid w:val="0000543A"/>
    <w:rsid w:val="0000666D"/>
    <w:rsid w:val="00006D28"/>
    <w:rsid w:val="00013BA0"/>
    <w:rsid w:val="0001510D"/>
    <w:rsid w:val="000169CD"/>
    <w:rsid w:val="00016D1C"/>
    <w:rsid w:val="000171AB"/>
    <w:rsid w:val="00020511"/>
    <w:rsid w:val="00021370"/>
    <w:rsid w:val="0002155D"/>
    <w:rsid w:val="0002644B"/>
    <w:rsid w:val="000267E2"/>
    <w:rsid w:val="0003050B"/>
    <w:rsid w:val="0003181F"/>
    <w:rsid w:val="0003256B"/>
    <w:rsid w:val="00034F02"/>
    <w:rsid w:val="00034F88"/>
    <w:rsid w:val="0003577A"/>
    <w:rsid w:val="00035E31"/>
    <w:rsid w:val="00036B38"/>
    <w:rsid w:val="000422EC"/>
    <w:rsid w:val="00042F64"/>
    <w:rsid w:val="00042FFC"/>
    <w:rsid w:val="0005284A"/>
    <w:rsid w:val="00052BE3"/>
    <w:rsid w:val="000530F1"/>
    <w:rsid w:val="00053287"/>
    <w:rsid w:val="0005401A"/>
    <w:rsid w:val="00055F34"/>
    <w:rsid w:val="00056866"/>
    <w:rsid w:val="00056A97"/>
    <w:rsid w:val="00056E57"/>
    <w:rsid w:val="0006035D"/>
    <w:rsid w:val="00060E98"/>
    <w:rsid w:val="000640D4"/>
    <w:rsid w:val="000651EB"/>
    <w:rsid w:val="000658CE"/>
    <w:rsid w:val="00066C8F"/>
    <w:rsid w:val="00067712"/>
    <w:rsid w:val="00067FBA"/>
    <w:rsid w:val="00071440"/>
    <w:rsid w:val="00072DE2"/>
    <w:rsid w:val="00075B0B"/>
    <w:rsid w:val="00080B82"/>
    <w:rsid w:val="000819E2"/>
    <w:rsid w:val="0008206D"/>
    <w:rsid w:val="0008212E"/>
    <w:rsid w:val="000842A8"/>
    <w:rsid w:val="00085A75"/>
    <w:rsid w:val="00091234"/>
    <w:rsid w:val="000926C7"/>
    <w:rsid w:val="00093DC4"/>
    <w:rsid w:val="0009474A"/>
    <w:rsid w:val="00095D15"/>
    <w:rsid w:val="000A053F"/>
    <w:rsid w:val="000A1240"/>
    <w:rsid w:val="000A16F1"/>
    <w:rsid w:val="000A1BE2"/>
    <w:rsid w:val="000A256B"/>
    <w:rsid w:val="000A35D1"/>
    <w:rsid w:val="000A3EAD"/>
    <w:rsid w:val="000A4F75"/>
    <w:rsid w:val="000A78F8"/>
    <w:rsid w:val="000B14CE"/>
    <w:rsid w:val="000B25BF"/>
    <w:rsid w:val="000B26A0"/>
    <w:rsid w:val="000B2DE1"/>
    <w:rsid w:val="000B2F48"/>
    <w:rsid w:val="000B3A11"/>
    <w:rsid w:val="000C1378"/>
    <w:rsid w:val="000C20E3"/>
    <w:rsid w:val="000C3046"/>
    <w:rsid w:val="000C5403"/>
    <w:rsid w:val="000C5F2D"/>
    <w:rsid w:val="000C6107"/>
    <w:rsid w:val="000C7270"/>
    <w:rsid w:val="000C7D88"/>
    <w:rsid w:val="000D1487"/>
    <w:rsid w:val="000D309A"/>
    <w:rsid w:val="000D3353"/>
    <w:rsid w:val="000D385D"/>
    <w:rsid w:val="000D48B9"/>
    <w:rsid w:val="000D7EED"/>
    <w:rsid w:val="000E0C71"/>
    <w:rsid w:val="000E0DB1"/>
    <w:rsid w:val="000E1FE3"/>
    <w:rsid w:val="000E3A54"/>
    <w:rsid w:val="000E4133"/>
    <w:rsid w:val="000E4306"/>
    <w:rsid w:val="000E59BB"/>
    <w:rsid w:val="000F10D2"/>
    <w:rsid w:val="000F1620"/>
    <w:rsid w:val="000F18F7"/>
    <w:rsid w:val="000F1C1C"/>
    <w:rsid w:val="000F3A3E"/>
    <w:rsid w:val="000F626D"/>
    <w:rsid w:val="00100437"/>
    <w:rsid w:val="0010200E"/>
    <w:rsid w:val="001034DA"/>
    <w:rsid w:val="00103F0D"/>
    <w:rsid w:val="00104063"/>
    <w:rsid w:val="001048A9"/>
    <w:rsid w:val="00105704"/>
    <w:rsid w:val="001103F3"/>
    <w:rsid w:val="0011062F"/>
    <w:rsid w:val="00111443"/>
    <w:rsid w:val="00120E5A"/>
    <w:rsid w:val="00121242"/>
    <w:rsid w:val="00122181"/>
    <w:rsid w:val="00123570"/>
    <w:rsid w:val="00127896"/>
    <w:rsid w:val="00131046"/>
    <w:rsid w:val="00134549"/>
    <w:rsid w:val="00135382"/>
    <w:rsid w:val="0013749A"/>
    <w:rsid w:val="00137684"/>
    <w:rsid w:val="00140E0D"/>
    <w:rsid w:val="0014236D"/>
    <w:rsid w:val="00142C8B"/>
    <w:rsid w:val="00144603"/>
    <w:rsid w:val="00146AF8"/>
    <w:rsid w:val="00146BB3"/>
    <w:rsid w:val="001476D6"/>
    <w:rsid w:val="001522F9"/>
    <w:rsid w:val="001533C9"/>
    <w:rsid w:val="001536D1"/>
    <w:rsid w:val="0015370F"/>
    <w:rsid w:val="00154353"/>
    <w:rsid w:val="001554A0"/>
    <w:rsid w:val="001557D6"/>
    <w:rsid w:val="0015668B"/>
    <w:rsid w:val="00156B5A"/>
    <w:rsid w:val="001571B9"/>
    <w:rsid w:val="00157F9F"/>
    <w:rsid w:val="001606A2"/>
    <w:rsid w:val="00160E52"/>
    <w:rsid w:val="001671B1"/>
    <w:rsid w:val="001672E0"/>
    <w:rsid w:val="001711C3"/>
    <w:rsid w:val="001772F5"/>
    <w:rsid w:val="00182AEB"/>
    <w:rsid w:val="0018397C"/>
    <w:rsid w:val="001839E7"/>
    <w:rsid w:val="001847A8"/>
    <w:rsid w:val="001850B8"/>
    <w:rsid w:val="0019029F"/>
    <w:rsid w:val="0019038C"/>
    <w:rsid w:val="0019279C"/>
    <w:rsid w:val="00193320"/>
    <w:rsid w:val="001939B3"/>
    <w:rsid w:val="00195D74"/>
    <w:rsid w:val="00195D95"/>
    <w:rsid w:val="00197069"/>
    <w:rsid w:val="00197120"/>
    <w:rsid w:val="001A07A3"/>
    <w:rsid w:val="001A0F41"/>
    <w:rsid w:val="001A6A1A"/>
    <w:rsid w:val="001A71CC"/>
    <w:rsid w:val="001A7C30"/>
    <w:rsid w:val="001A7D93"/>
    <w:rsid w:val="001B1E47"/>
    <w:rsid w:val="001B3DF9"/>
    <w:rsid w:val="001B484C"/>
    <w:rsid w:val="001B4DB5"/>
    <w:rsid w:val="001B5091"/>
    <w:rsid w:val="001B50BE"/>
    <w:rsid w:val="001B609C"/>
    <w:rsid w:val="001B6C8F"/>
    <w:rsid w:val="001B701D"/>
    <w:rsid w:val="001C09CF"/>
    <w:rsid w:val="001C1567"/>
    <w:rsid w:val="001C1579"/>
    <w:rsid w:val="001C4629"/>
    <w:rsid w:val="001C7CE5"/>
    <w:rsid w:val="001D0F4F"/>
    <w:rsid w:val="001D12FC"/>
    <w:rsid w:val="001D2C7F"/>
    <w:rsid w:val="001D3AD5"/>
    <w:rsid w:val="001D51D8"/>
    <w:rsid w:val="001D6560"/>
    <w:rsid w:val="001D7197"/>
    <w:rsid w:val="001E1666"/>
    <w:rsid w:val="001E1E68"/>
    <w:rsid w:val="001E2D99"/>
    <w:rsid w:val="001E33DF"/>
    <w:rsid w:val="001E384E"/>
    <w:rsid w:val="001E689A"/>
    <w:rsid w:val="001F0FBD"/>
    <w:rsid w:val="001F1072"/>
    <w:rsid w:val="001F1979"/>
    <w:rsid w:val="001F1AE5"/>
    <w:rsid w:val="001F53BF"/>
    <w:rsid w:val="001F78B7"/>
    <w:rsid w:val="001F7C1F"/>
    <w:rsid w:val="00200254"/>
    <w:rsid w:val="00201AAF"/>
    <w:rsid w:val="002037E2"/>
    <w:rsid w:val="00203DD9"/>
    <w:rsid w:val="002043DC"/>
    <w:rsid w:val="002053D0"/>
    <w:rsid w:val="00205416"/>
    <w:rsid w:val="0020576D"/>
    <w:rsid w:val="0020679F"/>
    <w:rsid w:val="0021125F"/>
    <w:rsid w:val="002123CD"/>
    <w:rsid w:val="00213476"/>
    <w:rsid w:val="00213B59"/>
    <w:rsid w:val="00213E4B"/>
    <w:rsid w:val="00216899"/>
    <w:rsid w:val="002206C1"/>
    <w:rsid w:val="00222017"/>
    <w:rsid w:val="00222E2D"/>
    <w:rsid w:val="0022388E"/>
    <w:rsid w:val="00223E73"/>
    <w:rsid w:val="0022596C"/>
    <w:rsid w:val="00226524"/>
    <w:rsid w:val="00226862"/>
    <w:rsid w:val="00230613"/>
    <w:rsid w:val="00230901"/>
    <w:rsid w:val="00231409"/>
    <w:rsid w:val="00231999"/>
    <w:rsid w:val="002332C2"/>
    <w:rsid w:val="00233D9A"/>
    <w:rsid w:val="0023443C"/>
    <w:rsid w:val="00235A67"/>
    <w:rsid w:val="00236E64"/>
    <w:rsid w:val="0024014B"/>
    <w:rsid w:val="002419AA"/>
    <w:rsid w:val="00242903"/>
    <w:rsid w:val="00243807"/>
    <w:rsid w:val="002439BC"/>
    <w:rsid w:val="00244E31"/>
    <w:rsid w:val="002469FA"/>
    <w:rsid w:val="002504FA"/>
    <w:rsid w:val="002535E6"/>
    <w:rsid w:val="002537F2"/>
    <w:rsid w:val="0025799D"/>
    <w:rsid w:val="00261180"/>
    <w:rsid w:val="002618B4"/>
    <w:rsid w:val="00261BCD"/>
    <w:rsid w:val="00262323"/>
    <w:rsid w:val="002625F2"/>
    <w:rsid w:val="002625F7"/>
    <w:rsid w:val="00264C68"/>
    <w:rsid w:val="002656AD"/>
    <w:rsid w:val="0026644C"/>
    <w:rsid w:val="00266632"/>
    <w:rsid w:val="00266A10"/>
    <w:rsid w:val="002702A8"/>
    <w:rsid w:val="002706D8"/>
    <w:rsid w:val="002712B0"/>
    <w:rsid w:val="00276538"/>
    <w:rsid w:val="002776E5"/>
    <w:rsid w:val="00277DFB"/>
    <w:rsid w:val="00280691"/>
    <w:rsid w:val="00280817"/>
    <w:rsid w:val="00280ECC"/>
    <w:rsid w:val="00281E8D"/>
    <w:rsid w:val="0028281F"/>
    <w:rsid w:val="00284842"/>
    <w:rsid w:val="00284970"/>
    <w:rsid w:val="002849EA"/>
    <w:rsid w:val="002858AB"/>
    <w:rsid w:val="00285E2F"/>
    <w:rsid w:val="00285E9C"/>
    <w:rsid w:val="00290099"/>
    <w:rsid w:val="00290270"/>
    <w:rsid w:val="00294278"/>
    <w:rsid w:val="00295F0C"/>
    <w:rsid w:val="00296C65"/>
    <w:rsid w:val="002A0E64"/>
    <w:rsid w:val="002A1906"/>
    <w:rsid w:val="002A2693"/>
    <w:rsid w:val="002A2D83"/>
    <w:rsid w:val="002A3514"/>
    <w:rsid w:val="002A3F34"/>
    <w:rsid w:val="002A427B"/>
    <w:rsid w:val="002A59E7"/>
    <w:rsid w:val="002A78EB"/>
    <w:rsid w:val="002B006F"/>
    <w:rsid w:val="002B033E"/>
    <w:rsid w:val="002B04C9"/>
    <w:rsid w:val="002B0DBE"/>
    <w:rsid w:val="002B1B05"/>
    <w:rsid w:val="002B1C0F"/>
    <w:rsid w:val="002B4011"/>
    <w:rsid w:val="002B49FC"/>
    <w:rsid w:val="002B7AA5"/>
    <w:rsid w:val="002C0148"/>
    <w:rsid w:val="002C0962"/>
    <w:rsid w:val="002C09D6"/>
    <w:rsid w:val="002C0FCD"/>
    <w:rsid w:val="002C14D0"/>
    <w:rsid w:val="002C1638"/>
    <w:rsid w:val="002C246F"/>
    <w:rsid w:val="002C58A7"/>
    <w:rsid w:val="002C728B"/>
    <w:rsid w:val="002C7E78"/>
    <w:rsid w:val="002D0572"/>
    <w:rsid w:val="002D0AA9"/>
    <w:rsid w:val="002D526B"/>
    <w:rsid w:val="002E0094"/>
    <w:rsid w:val="002E05D8"/>
    <w:rsid w:val="002E3680"/>
    <w:rsid w:val="002E48A6"/>
    <w:rsid w:val="002E5063"/>
    <w:rsid w:val="002E58C7"/>
    <w:rsid w:val="002E5A7C"/>
    <w:rsid w:val="002E726A"/>
    <w:rsid w:val="002F077B"/>
    <w:rsid w:val="002F0C5F"/>
    <w:rsid w:val="002F0D0A"/>
    <w:rsid w:val="002F1480"/>
    <w:rsid w:val="002F1FDB"/>
    <w:rsid w:val="002F328F"/>
    <w:rsid w:val="002F6C33"/>
    <w:rsid w:val="00301139"/>
    <w:rsid w:val="0030244A"/>
    <w:rsid w:val="003033C8"/>
    <w:rsid w:val="003037E6"/>
    <w:rsid w:val="00303D93"/>
    <w:rsid w:val="00304E79"/>
    <w:rsid w:val="0030562D"/>
    <w:rsid w:val="00306ED3"/>
    <w:rsid w:val="00307AB5"/>
    <w:rsid w:val="00310F55"/>
    <w:rsid w:val="0031157D"/>
    <w:rsid w:val="003134FF"/>
    <w:rsid w:val="00314643"/>
    <w:rsid w:val="00315947"/>
    <w:rsid w:val="00315B75"/>
    <w:rsid w:val="00317B75"/>
    <w:rsid w:val="003205F5"/>
    <w:rsid w:val="003232C9"/>
    <w:rsid w:val="0032519D"/>
    <w:rsid w:val="0032736A"/>
    <w:rsid w:val="00330566"/>
    <w:rsid w:val="00330C30"/>
    <w:rsid w:val="00330EC3"/>
    <w:rsid w:val="003318A3"/>
    <w:rsid w:val="0033300D"/>
    <w:rsid w:val="00334DFB"/>
    <w:rsid w:val="003378E4"/>
    <w:rsid w:val="00337C0A"/>
    <w:rsid w:val="00340461"/>
    <w:rsid w:val="00341709"/>
    <w:rsid w:val="003419B1"/>
    <w:rsid w:val="00342812"/>
    <w:rsid w:val="0034285C"/>
    <w:rsid w:val="00342A6D"/>
    <w:rsid w:val="00342B67"/>
    <w:rsid w:val="00344126"/>
    <w:rsid w:val="003475AB"/>
    <w:rsid w:val="00350CBA"/>
    <w:rsid w:val="003528D5"/>
    <w:rsid w:val="00354D72"/>
    <w:rsid w:val="00355209"/>
    <w:rsid w:val="003561FD"/>
    <w:rsid w:val="00362046"/>
    <w:rsid w:val="003634B2"/>
    <w:rsid w:val="00365200"/>
    <w:rsid w:val="003652CA"/>
    <w:rsid w:val="00366699"/>
    <w:rsid w:val="00372D42"/>
    <w:rsid w:val="00372FA5"/>
    <w:rsid w:val="0037304C"/>
    <w:rsid w:val="00373AB6"/>
    <w:rsid w:val="00374978"/>
    <w:rsid w:val="00375429"/>
    <w:rsid w:val="00375A9F"/>
    <w:rsid w:val="00376940"/>
    <w:rsid w:val="00376B1A"/>
    <w:rsid w:val="00376B9C"/>
    <w:rsid w:val="00376DD0"/>
    <w:rsid w:val="00376FF2"/>
    <w:rsid w:val="00380833"/>
    <w:rsid w:val="00380A84"/>
    <w:rsid w:val="0038451B"/>
    <w:rsid w:val="003854B7"/>
    <w:rsid w:val="0038555E"/>
    <w:rsid w:val="00385D30"/>
    <w:rsid w:val="00390089"/>
    <w:rsid w:val="00390913"/>
    <w:rsid w:val="00391DDA"/>
    <w:rsid w:val="0039225F"/>
    <w:rsid w:val="003925C4"/>
    <w:rsid w:val="00393638"/>
    <w:rsid w:val="00394B6C"/>
    <w:rsid w:val="003958DD"/>
    <w:rsid w:val="003960D8"/>
    <w:rsid w:val="003966A3"/>
    <w:rsid w:val="00397EDF"/>
    <w:rsid w:val="003A24DE"/>
    <w:rsid w:val="003A30A5"/>
    <w:rsid w:val="003A62BE"/>
    <w:rsid w:val="003A7A46"/>
    <w:rsid w:val="003B0238"/>
    <w:rsid w:val="003B09B5"/>
    <w:rsid w:val="003B1ABE"/>
    <w:rsid w:val="003B28F2"/>
    <w:rsid w:val="003B2CA8"/>
    <w:rsid w:val="003B41C3"/>
    <w:rsid w:val="003B4E6D"/>
    <w:rsid w:val="003B6C77"/>
    <w:rsid w:val="003C0669"/>
    <w:rsid w:val="003C1784"/>
    <w:rsid w:val="003C3113"/>
    <w:rsid w:val="003C5EBE"/>
    <w:rsid w:val="003C60A1"/>
    <w:rsid w:val="003C6359"/>
    <w:rsid w:val="003C7257"/>
    <w:rsid w:val="003D03FB"/>
    <w:rsid w:val="003D0FEC"/>
    <w:rsid w:val="003D1CE3"/>
    <w:rsid w:val="003D1E71"/>
    <w:rsid w:val="003D1FEC"/>
    <w:rsid w:val="003D2DB6"/>
    <w:rsid w:val="003D30B0"/>
    <w:rsid w:val="003D3D21"/>
    <w:rsid w:val="003D420D"/>
    <w:rsid w:val="003D5CFF"/>
    <w:rsid w:val="003D6571"/>
    <w:rsid w:val="003D66F4"/>
    <w:rsid w:val="003D72CE"/>
    <w:rsid w:val="003D7A99"/>
    <w:rsid w:val="003E1835"/>
    <w:rsid w:val="003E287B"/>
    <w:rsid w:val="003E2F26"/>
    <w:rsid w:val="003E3E4B"/>
    <w:rsid w:val="003E5B39"/>
    <w:rsid w:val="003E6687"/>
    <w:rsid w:val="003E6CD7"/>
    <w:rsid w:val="003E7E3F"/>
    <w:rsid w:val="003F1C1D"/>
    <w:rsid w:val="003F4276"/>
    <w:rsid w:val="003F6175"/>
    <w:rsid w:val="003F6CB9"/>
    <w:rsid w:val="003F70ED"/>
    <w:rsid w:val="0040055C"/>
    <w:rsid w:val="0040074A"/>
    <w:rsid w:val="00401C41"/>
    <w:rsid w:val="00401D0A"/>
    <w:rsid w:val="0040270F"/>
    <w:rsid w:val="00402A0F"/>
    <w:rsid w:val="00403783"/>
    <w:rsid w:val="0040514E"/>
    <w:rsid w:val="004106FB"/>
    <w:rsid w:val="00410762"/>
    <w:rsid w:val="00411C46"/>
    <w:rsid w:val="00412B6D"/>
    <w:rsid w:val="00412F29"/>
    <w:rsid w:val="00421B31"/>
    <w:rsid w:val="00422801"/>
    <w:rsid w:val="00422EEC"/>
    <w:rsid w:val="004232FE"/>
    <w:rsid w:val="0042583B"/>
    <w:rsid w:val="004326CD"/>
    <w:rsid w:val="0043305A"/>
    <w:rsid w:val="00435ACA"/>
    <w:rsid w:val="004363A8"/>
    <w:rsid w:val="004401AB"/>
    <w:rsid w:val="00440781"/>
    <w:rsid w:val="00441479"/>
    <w:rsid w:val="0044165D"/>
    <w:rsid w:val="00442EDB"/>
    <w:rsid w:val="00445430"/>
    <w:rsid w:val="00446396"/>
    <w:rsid w:val="004463F1"/>
    <w:rsid w:val="00447434"/>
    <w:rsid w:val="00447783"/>
    <w:rsid w:val="004501CF"/>
    <w:rsid w:val="00451C7B"/>
    <w:rsid w:val="00453E49"/>
    <w:rsid w:val="00455245"/>
    <w:rsid w:val="00462AAF"/>
    <w:rsid w:val="0046413A"/>
    <w:rsid w:val="0046458C"/>
    <w:rsid w:val="00466AC1"/>
    <w:rsid w:val="004674B9"/>
    <w:rsid w:val="00470DA6"/>
    <w:rsid w:val="00471347"/>
    <w:rsid w:val="004724F9"/>
    <w:rsid w:val="004727F1"/>
    <w:rsid w:val="00472F44"/>
    <w:rsid w:val="00473599"/>
    <w:rsid w:val="0047374B"/>
    <w:rsid w:val="00477189"/>
    <w:rsid w:val="004807A2"/>
    <w:rsid w:val="004814A5"/>
    <w:rsid w:val="00481C34"/>
    <w:rsid w:val="004831AB"/>
    <w:rsid w:val="00483A47"/>
    <w:rsid w:val="00484CAE"/>
    <w:rsid w:val="00485FB0"/>
    <w:rsid w:val="00486448"/>
    <w:rsid w:val="004905A9"/>
    <w:rsid w:val="004918B2"/>
    <w:rsid w:val="0049203E"/>
    <w:rsid w:val="004955C2"/>
    <w:rsid w:val="00496ACB"/>
    <w:rsid w:val="004977B3"/>
    <w:rsid w:val="004A03FC"/>
    <w:rsid w:val="004A3924"/>
    <w:rsid w:val="004A597D"/>
    <w:rsid w:val="004A63DB"/>
    <w:rsid w:val="004A7BA8"/>
    <w:rsid w:val="004B1A1C"/>
    <w:rsid w:val="004B2B16"/>
    <w:rsid w:val="004B2E85"/>
    <w:rsid w:val="004B39A5"/>
    <w:rsid w:val="004B3D21"/>
    <w:rsid w:val="004B4663"/>
    <w:rsid w:val="004B61F5"/>
    <w:rsid w:val="004B6C66"/>
    <w:rsid w:val="004B735C"/>
    <w:rsid w:val="004B78F4"/>
    <w:rsid w:val="004B7AA0"/>
    <w:rsid w:val="004C0131"/>
    <w:rsid w:val="004C0141"/>
    <w:rsid w:val="004C1360"/>
    <w:rsid w:val="004C1C3B"/>
    <w:rsid w:val="004C48A4"/>
    <w:rsid w:val="004C5B1E"/>
    <w:rsid w:val="004C6058"/>
    <w:rsid w:val="004C76F9"/>
    <w:rsid w:val="004D09AA"/>
    <w:rsid w:val="004D138D"/>
    <w:rsid w:val="004D1480"/>
    <w:rsid w:val="004D166C"/>
    <w:rsid w:val="004D19B4"/>
    <w:rsid w:val="004D246C"/>
    <w:rsid w:val="004D37DE"/>
    <w:rsid w:val="004D5DC3"/>
    <w:rsid w:val="004D7C70"/>
    <w:rsid w:val="004E33A1"/>
    <w:rsid w:val="004E3DA7"/>
    <w:rsid w:val="004E4E8F"/>
    <w:rsid w:val="004E51E5"/>
    <w:rsid w:val="004E6F03"/>
    <w:rsid w:val="004F1ACD"/>
    <w:rsid w:val="004F27B4"/>
    <w:rsid w:val="004F2EA9"/>
    <w:rsid w:val="004F64E3"/>
    <w:rsid w:val="004F66A2"/>
    <w:rsid w:val="004F7F34"/>
    <w:rsid w:val="005021D1"/>
    <w:rsid w:val="00503082"/>
    <w:rsid w:val="0050342C"/>
    <w:rsid w:val="00503EC6"/>
    <w:rsid w:val="00504119"/>
    <w:rsid w:val="00507C1B"/>
    <w:rsid w:val="00507C8F"/>
    <w:rsid w:val="00510001"/>
    <w:rsid w:val="00513F10"/>
    <w:rsid w:val="00515233"/>
    <w:rsid w:val="00515393"/>
    <w:rsid w:val="0051672A"/>
    <w:rsid w:val="00516AD0"/>
    <w:rsid w:val="00517D50"/>
    <w:rsid w:val="00522C0D"/>
    <w:rsid w:val="0052322F"/>
    <w:rsid w:val="00523C04"/>
    <w:rsid w:val="005241F3"/>
    <w:rsid w:val="005251C4"/>
    <w:rsid w:val="00526AAB"/>
    <w:rsid w:val="00527A4A"/>
    <w:rsid w:val="00527D2D"/>
    <w:rsid w:val="005303BC"/>
    <w:rsid w:val="00531103"/>
    <w:rsid w:val="00533B0B"/>
    <w:rsid w:val="005352AE"/>
    <w:rsid w:val="005357D1"/>
    <w:rsid w:val="0053651D"/>
    <w:rsid w:val="00541D7D"/>
    <w:rsid w:val="005434B3"/>
    <w:rsid w:val="005439C3"/>
    <w:rsid w:val="00547ED7"/>
    <w:rsid w:val="00555507"/>
    <w:rsid w:val="00561742"/>
    <w:rsid w:val="0056244A"/>
    <w:rsid w:val="0056335F"/>
    <w:rsid w:val="005648C4"/>
    <w:rsid w:val="00571094"/>
    <w:rsid w:val="0057134F"/>
    <w:rsid w:val="00571F24"/>
    <w:rsid w:val="0057317A"/>
    <w:rsid w:val="0057392A"/>
    <w:rsid w:val="00573B89"/>
    <w:rsid w:val="00574EBE"/>
    <w:rsid w:val="00575B74"/>
    <w:rsid w:val="00580F86"/>
    <w:rsid w:val="00581280"/>
    <w:rsid w:val="005816EC"/>
    <w:rsid w:val="00581EEB"/>
    <w:rsid w:val="00583EFC"/>
    <w:rsid w:val="00591162"/>
    <w:rsid w:val="00591911"/>
    <w:rsid w:val="0059228F"/>
    <w:rsid w:val="00593EFD"/>
    <w:rsid w:val="00594649"/>
    <w:rsid w:val="00596713"/>
    <w:rsid w:val="005973CD"/>
    <w:rsid w:val="00597B7A"/>
    <w:rsid w:val="005A0109"/>
    <w:rsid w:val="005A06D9"/>
    <w:rsid w:val="005A1802"/>
    <w:rsid w:val="005A36CA"/>
    <w:rsid w:val="005A44B8"/>
    <w:rsid w:val="005A463E"/>
    <w:rsid w:val="005A4C15"/>
    <w:rsid w:val="005A6B75"/>
    <w:rsid w:val="005A6D3A"/>
    <w:rsid w:val="005A7BDE"/>
    <w:rsid w:val="005B0A36"/>
    <w:rsid w:val="005B1B70"/>
    <w:rsid w:val="005B42F6"/>
    <w:rsid w:val="005B5BFF"/>
    <w:rsid w:val="005B6218"/>
    <w:rsid w:val="005B6ADE"/>
    <w:rsid w:val="005B72C8"/>
    <w:rsid w:val="005B7DC8"/>
    <w:rsid w:val="005C1DF4"/>
    <w:rsid w:val="005C21B6"/>
    <w:rsid w:val="005C2A7A"/>
    <w:rsid w:val="005C4A5C"/>
    <w:rsid w:val="005C5090"/>
    <w:rsid w:val="005D0E79"/>
    <w:rsid w:val="005D3D7B"/>
    <w:rsid w:val="005D4C9D"/>
    <w:rsid w:val="005D51DD"/>
    <w:rsid w:val="005D57C5"/>
    <w:rsid w:val="005D6E94"/>
    <w:rsid w:val="005D721F"/>
    <w:rsid w:val="005E0BB1"/>
    <w:rsid w:val="005E0DA0"/>
    <w:rsid w:val="005E1285"/>
    <w:rsid w:val="005E16F6"/>
    <w:rsid w:val="005E2D2C"/>
    <w:rsid w:val="005E6ADF"/>
    <w:rsid w:val="005E77AC"/>
    <w:rsid w:val="005F010F"/>
    <w:rsid w:val="005F0323"/>
    <w:rsid w:val="005F14EA"/>
    <w:rsid w:val="005F185C"/>
    <w:rsid w:val="005F2763"/>
    <w:rsid w:val="005F282F"/>
    <w:rsid w:val="005F56D8"/>
    <w:rsid w:val="005F574F"/>
    <w:rsid w:val="00600CCA"/>
    <w:rsid w:val="006032F6"/>
    <w:rsid w:val="00603456"/>
    <w:rsid w:val="0060360A"/>
    <w:rsid w:val="0060514F"/>
    <w:rsid w:val="00606473"/>
    <w:rsid w:val="00607AE6"/>
    <w:rsid w:val="00610C22"/>
    <w:rsid w:val="00611617"/>
    <w:rsid w:val="00612DD5"/>
    <w:rsid w:val="006143F1"/>
    <w:rsid w:val="00615057"/>
    <w:rsid w:val="00615734"/>
    <w:rsid w:val="00616300"/>
    <w:rsid w:val="006166B8"/>
    <w:rsid w:val="00617863"/>
    <w:rsid w:val="00617F81"/>
    <w:rsid w:val="006213A4"/>
    <w:rsid w:val="00623E88"/>
    <w:rsid w:val="0062747E"/>
    <w:rsid w:val="00627CF4"/>
    <w:rsid w:val="00630C65"/>
    <w:rsid w:val="00631676"/>
    <w:rsid w:val="00632AA7"/>
    <w:rsid w:val="00632C5D"/>
    <w:rsid w:val="00633B4B"/>
    <w:rsid w:val="00633BAF"/>
    <w:rsid w:val="00634091"/>
    <w:rsid w:val="0064059A"/>
    <w:rsid w:val="006410E8"/>
    <w:rsid w:val="00641287"/>
    <w:rsid w:val="006459B0"/>
    <w:rsid w:val="0065020D"/>
    <w:rsid w:val="006520AE"/>
    <w:rsid w:val="00652460"/>
    <w:rsid w:val="0065257B"/>
    <w:rsid w:val="0065309D"/>
    <w:rsid w:val="0065509E"/>
    <w:rsid w:val="0065600E"/>
    <w:rsid w:val="006567E1"/>
    <w:rsid w:val="00657A68"/>
    <w:rsid w:val="00660795"/>
    <w:rsid w:val="006609DC"/>
    <w:rsid w:val="00662D09"/>
    <w:rsid w:val="00662F21"/>
    <w:rsid w:val="00664819"/>
    <w:rsid w:val="006648DA"/>
    <w:rsid w:val="006662F9"/>
    <w:rsid w:val="00667A2E"/>
    <w:rsid w:val="0067190F"/>
    <w:rsid w:val="006732A4"/>
    <w:rsid w:val="00674328"/>
    <w:rsid w:val="00675657"/>
    <w:rsid w:val="00676288"/>
    <w:rsid w:val="00677BFF"/>
    <w:rsid w:val="00680157"/>
    <w:rsid w:val="006802EA"/>
    <w:rsid w:val="00680A46"/>
    <w:rsid w:val="00682245"/>
    <w:rsid w:val="00682ADE"/>
    <w:rsid w:val="0068649C"/>
    <w:rsid w:val="006866F2"/>
    <w:rsid w:val="006878C5"/>
    <w:rsid w:val="006904AB"/>
    <w:rsid w:val="00690FFD"/>
    <w:rsid w:val="00691824"/>
    <w:rsid w:val="00691C29"/>
    <w:rsid w:val="00692225"/>
    <w:rsid w:val="00693568"/>
    <w:rsid w:val="00695787"/>
    <w:rsid w:val="00695EA0"/>
    <w:rsid w:val="00697AB6"/>
    <w:rsid w:val="006A14C6"/>
    <w:rsid w:val="006A1C46"/>
    <w:rsid w:val="006A23C0"/>
    <w:rsid w:val="006A2F40"/>
    <w:rsid w:val="006A351B"/>
    <w:rsid w:val="006A4BE9"/>
    <w:rsid w:val="006A6EEE"/>
    <w:rsid w:val="006A799D"/>
    <w:rsid w:val="006B2614"/>
    <w:rsid w:val="006B5870"/>
    <w:rsid w:val="006B5A85"/>
    <w:rsid w:val="006B61D0"/>
    <w:rsid w:val="006B66DC"/>
    <w:rsid w:val="006B72A0"/>
    <w:rsid w:val="006C0A31"/>
    <w:rsid w:val="006C14E4"/>
    <w:rsid w:val="006C1616"/>
    <w:rsid w:val="006C27E3"/>
    <w:rsid w:val="006C56C3"/>
    <w:rsid w:val="006C5B4A"/>
    <w:rsid w:val="006C6479"/>
    <w:rsid w:val="006C703E"/>
    <w:rsid w:val="006C77C9"/>
    <w:rsid w:val="006C7F18"/>
    <w:rsid w:val="006D2C55"/>
    <w:rsid w:val="006D367D"/>
    <w:rsid w:val="006D49C5"/>
    <w:rsid w:val="006D63E2"/>
    <w:rsid w:val="006D7278"/>
    <w:rsid w:val="006D7578"/>
    <w:rsid w:val="006E066D"/>
    <w:rsid w:val="006E0925"/>
    <w:rsid w:val="006E0D55"/>
    <w:rsid w:val="006E2FB5"/>
    <w:rsid w:val="006E3BB4"/>
    <w:rsid w:val="006E3CEB"/>
    <w:rsid w:val="006E5319"/>
    <w:rsid w:val="006E56AF"/>
    <w:rsid w:val="006E588B"/>
    <w:rsid w:val="006E5C01"/>
    <w:rsid w:val="006F05BB"/>
    <w:rsid w:val="006F12B4"/>
    <w:rsid w:val="006F2DBE"/>
    <w:rsid w:val="006F370D"/>
    <w:rsid w:val="006F56C4"/>
    <w:rsid w:val="006F6091"/>
    <w:rsid w:val="006F6EE3"/>
    <w:rsid w:val="006F72E0"/>
    <w:rsid w:val="006F7D25"/>
    <w:rsid w:val="007002AC"/>
    <w:rsid w:val="00700ABE"/>
    <w:rsid w:val="0070176D"/>
    <w:rsid w:val="007055A5"/>
    <w:rsid w:val="00705A0E"/>
    <w:rsid w:val="007076B8"/>
    <w:rsid w:val="007122AF"/>
    <w:rsid w:val="0071495B"/>
    <w:rsid w:val="00716D3C"/>
    <w:rsid w:val="0072045E"/>
    <w:rsid w:val="00721231"/>
    <w:rsid w:val="00726326"/>
    <w:rsid w:val="007270D1"/>
    <w:rsid w:val="00727CD1"/>
    <w:rsid w:val="0073064F"/>
    <w:rsid w:val="0073331A"/>
    <w:rsid w:val="00735215"/>
    <w:rsid w:val="0073620A"/>
    <w:rsid w:val="007362A0"/>
    <w:rsid w:val="00740F63"/>
    <w:rsid w:val="007412DA"/>
    <w:rsid w:val="00742E69"/>
    <w:rsid w:val="0074398A"/>
    <w:rsid w:val="00745B73"/>
    <w:rsid w:val="00746812"/>
    <w:rsid w:val="00746D5D"/>
    <w:rsid w:val="007507B9"/>
    <w:rsid w:val="00753D60"/>
    <w:rsid w:val="0075642E"/>
    <w:rsid w:val="00757562"/>
    <w:rsid w:val="007578AF"/>
    <w:rsid w:val="00760334"/>
    <w:rsid w:val="007611E1"/>
    <w:rsid w:val="007619CD"/>
    <w:rsid w:val="00761A0F"/>
    <w:rsid w:val="00762FD0"/>
    <w:rsid w:val="00763893"/>
    <w:rsid w:val="00764A86"/>
    <w:rsid w:val="00770B23"/>
    <w:rsid w:val="00771D2C"/>
    <w:rsid w:val="00772BB5"/>
    <w:rsid w:val="0077471A"/>
    <w:rsid w:val="00774831"/>
    <w:rsid w:val="00776575"/>
    <w:rsid w:val="00780125"/>
    <w:rsid w:val="00782612"/>
    <w:rsid w:val="00783223"/>
    <w:rsid w:val="007835B3"/>
    <w:rsid w:val="007838B3"/>
    <w:rsid w:val="00784EFE"/>
    <w:rsid w:val="00785CA8"/>
    <w:rsid w:val="007876E5"/>
    <w:rsid w:val="0079005D"/>
    <w:rsid w:val="00790162"/>
    <w:rsid w:val="0079041B"/>
    <w:rsid w:val="0079179C"/>
    <w:rsid w:val="00791C75"/>
    <w:rsid w:val="007936C0"/>
    <w:rsid w:val="00794680"/>
    <w:rsid w:val="00795627"/>
    <w:rsid w:val="00795C76"/>
    <w:rsid w:val="007A0CA2"/>
    <w:rsid w:val="007A2143"/>
    <w:rsid w:val="007A456D"/>
    <w:rsid w:val="007A4BCA"/>
    <w:rsid w:val="007A53B9"/>
    <w:rsid w:val="007B59E8"/>
    <w:rsid w:val="007B689B"/>
    <w:rsid w:val="007B69AC"/>
    <w:rsid w:val="007B6CFE"/>
    <w:rsid w:val="007B7C24"/>
    <w:rsid w:val="007C0924"/>
    <w:rsid w:val="007C1FE0"/>
    <w:rsid w:val="007C3770"/>
    <w:rsid w:val="007C5D3A"/>
    <w:rsid w:val="007C79CA"/>
    <w:rsid w:val="007D1377"/>
    <w:rsid w:val="007D1ADB"/>
    <w:rsid w:val="007D381D"/>
    <w:rsid w:val="007D4A27"/>
    <w:rsid w:val="007D4A41"/>
    <w:rsid w:val="007D5DD0"/>
    <w:rsid w:val="007D63B0"/>
    <w:rsid w:val="007D7D97"/>
    <w:rsid w:val="007D7FFD"/>
    <w:rsid w:val="007E14DD"/>
    <w:rsid w:val="007E5C51"/>
    <w:rsid w:val="007E68C1"/>
    <w:rsid w:val="007E70EA"/>
    <w:rsid w:val="007F241D"/>
    <w:rsid w:val="007F4284"/>
    <w:rsid w:val="007F7674"/>
    <w:rsid w:val="007F7F56"/>
    <w:rsid w:val="00800B6F"/>
    <w:rsid w:val="00800CC2"/>
    <w:rsid w:val="00804AA1"/>
    <w:rsid w:val="00806A4C"/>
    <w:rsid w:val="00806EF9"/>
    <w:rsid w:val="0081002C"/>
    <w:rsid w:val="00810227"/>
    <w:rsid w:val="008102BD"/>
    <w:rsid w:val="00810821"/>
    <w:rsid w:val="00811B8E"/>
    <w:rsid w:val="00811E46"/>
    <w:rsid w:val="00812ED2"/>
    <w:rsid w:val="008153B8"/>
    <w:rsid w:val="00817EF3"/>
    <w:rsid w:val="00820193"/>
    <w:rsid w:val="00820261"/>
    <w:rsid w:val="008235C4"/>
    <w:rsid w:val="00824571"/>
    <w:rsid w:val="0082761D"/>
    <w:rsid w:val="00830FFC"/>
    <w:rsid w:val="00832BDA"/>
    <w:rsid w:val="00835032"/>
    <w:rsid w:val="00835884"/>
    <w:rsid w:val="00836A79"/>
    <w:rsid w:val="00837496"/>
    <w:rsid w:val="008376BD"/>
    <w:rsid w:val="0084127C"/>
    <w:rsid w:val="00842D72"/>
    <w:rsid w:val="008437FD"/>
    <w:rsid w:val="00845AD8"/>
    <w:rsid w:val="00845BCD"/>
    <w:rsid w:val="00846629"/>
    <w:rsid w:val="00846D90"/>
    <w:rsid w:val="0084788E"/>
    <w:rsid w:val="008522B6"/>
    <w:rsid w:val="00852D1D"/>
    <w:rsid w:val="00853845"/>
    <w:rsid w:val="0085433E"/>
    <w:rsid w:val="00855132"/>
    <w:rsid w:val="008573C2"/>
    <w:rsid w:val="00857A05"/>
    <w:rsid w:val="00860A38"/>
    <w:rsid w:val="00864653"/>
    <w:rsid w:val="008648DB"/>
    <w:rsid w:val="00866B07"/>
    <w:rsid w:val="0086772C"/>
    <w:rsid w:val="00867D62"/>
    <w:rsid w:val="00873177"/>
    <w:rsid w:val="00873750"/>
    <w:rsid w:val="0087404C"/>
    <w:rsid w:val="008746A1"/>
    <w:rsid w:val="00876E63"/>
    <w:rsid w:val="0087749B"/>
    <w:rsid w:val="00880BCE"/>
    <w:rsid w:val="008819FC"/>
    <w:rsid w:val="00882722"/>
    <w:rsid w:val="00882AFC"/>
    <w:rsid w:val="0088423F"/>
    <w:rsid w:val="00884648"/>
    <w:rsid w:val="00884FAB"/>
    <w:rsid w:val="008856EB"/>
    <w:rsid w:val="00886A67"/>
    <w:rsid w:val="0089145D"/>
    <w:rsid w:val="008932D6"/>
    <w:rsid w:val="00893518"/>
    <w:rsid w:val="00893DAD"/>
    <w:rsid w:val="00894205"/>
    <w:rsid w:val="0089648E"/>
    <w:rsid w:val="00897702"/>
    <w:rsid w:val="00897EC2"/>
    <w:rsid w:val="008A1951"/>
    <w:rsid w:val="008A1CD8"/>
    <w:rsid w:val="008A268F"/>
    <w:rsid w:val="008A3A6D"/>
    <w:rsid w:val="008A58C5"/>
    <w:rsid w:val="008A6F03"/>
    <w:rsid w:val="008A78D1"/>
    <w:rsid w:val="008B08DB"/>
    <w:rsid w:val="008B0FDC"/>
    <w:rsid w:val="008B376F"/>
    <w:rsid w:val="008C012A"/>
    <w:rsid w:val="008C051F"/>
    <w:rsid w:val="008C0F75"/>
    <w:rsid w:val="008C2539"/>
    <w:rsid w:val="008C2A3B"/>
    <w:rsid w:val="008C439B"/>
    <w:rsid w:val="008C49F0"/>
    <w:rsid w:val="008C57BA"/>
    <w:rsid w:val="008C5AA3"/>
    <w:rsid w:val="008C6752"/>
    <w:rsid w:val="008D0A52"/>
    <w:rsid w:val="008D1E8D"/>
    <w:rsid w:val="008D25BD"/>
    <w:rsid w:val="008D2D6D"/>
    <w:rsid w:val="008D53A6"/>
    <w:rsid w:val="008D5841"/>
    <w:rsid w:val="008E00DC"/>
    <w:rsid w:val="008E0AE2"/>
    <w:rsid w:val="008E245A"/>
    <w:rsid w:val="008F0DC4"/>
    <w:rsid w:val="008F15F5"/>
    <w:rsid w:val="008F23FC"/>
    <w:rsid w:val="008F30C6"/>
    <w:rsid w:val="008F5272"/>
    <w:rsid w:val="008F6017"/>
    <w:rsid w:val="00904F39"/>
    <w:rsid w:val="00905113"/>
    <w:rsid w:val="009124B2"/>
    <w:rsid w:val="009129D7"/>
    <w:rsid w:val="00912C48"/>
    <w:rsid w:val="00915A3F"/>
    <w:rsid w:val="0091617A"/>
    <w:rsid w:val="00916F63"/>
    <w:rsid w:val="0091707E"/>
    <w:rsid w:val="00917937"/>
    <w:rsid w:val="009204C9"/>
    <w:rsid w:val="00921E4D"/>
    <w:rsid w:val="009224B6"/>
    <w:rsid w:val="00924077"/>
    <w:rsid w:val="0092468E"/>
    <w:rsid w:val="009249AF"/>
    <w:rsid w:val="00924B61"/>
    <w:rsid w:val="00926F12"/>
    <w:rsid w:val="009277D2"/>
    <w:rsid w:val="00932DE6"/>
    <w:rsid w:val="009341A1"/>
    <w:rsid w:val="009347EA"/>
    <w:rsid w:val="00935B06"/>
    <w:rsid w:val="009362FA"/>
    <w:rsid w:val="00936462"/>
    <w:rsid w:val="009368E7"/>
    <w:rsid w:val="00936BD2"/>
    <w:rsid w:val="00937720"/>
    <w:rsid w:val="0094027D"/>
    <w:rsid w:val="0094170F"/>
    <w:rsid w:val="00942596"/>
    <w:rsid w:val="009443C8"/>
    <w:rsid w:val="009449F4"/>
    <w:rsid w:val="00944BAD"/>
    <w:rsid w:val="009454D6"/>
    <w:rsid w:val="009455FB"/>
    <w:rsid w:val="00946B52"/>
    <w:rsid w:val="00947495"/>
    <w:rsid w:val="009479B6"/>
    <w:rsid w:val="00950533"/>
    <w:rsid w:val="009507F1"/>
    <w:rsid w:val="00950A31"/>
    <w:rsid w:val="00950DFC"/>
    <w:rsid w:val="00952EF5"/>
    <w:rsid w:val="00953D31"/>
    <w:rsid w:val="009549E4"/>
    <w:rsid w:val="00956A8D"/>
    <w:rsid w:val="00957F21"/>
    <w:rsid w:val="009642A0"/>
    <w:rsid w:val="00964904"/>
    <w:rsid w:val="00964A76"/>
    <w:rsid w:val="00967119"/>
    <w:rsid w:val="0097231F"/>
    <w:rsid w:val="00972368"/>
    <w:rsid w:val="0097285D"/>
    <w:rsid w:val="00976343"/>
    <w:rsid w:val="009769EB"/>
    <w:rsid w:val="00980209"/>
    <w:rsid w:val="0098228C"/>
    <w:rsid w:val="009843E9"/>
    <w:rsid w:val="00985E1C"/>
    <w:rsid w:val="0098632F"/>
    <w:rsid w:val="00986922"/>
    <w:rsid w:val="00990A6A"/>
    <w:rsid w:val="009911AB"/>
    <w:rsid w:val="00992D75"/>
    <w:rsid w:val="00994354"/>
    <w:rsid w:val="00994803"/>
    <w:rsid w:val="00994AF3"/>
    <w:rsid w:val="00995C4C"/>
    <w:rsid w:val="00995D4A"/>
    <w:rsid w:val="00996920"/>
    <w:rsid w:val="00996B09"/>
    <w:rsid w:val="00997AF9"/>
    <w:rsid w:val="009A058A"/>
    <w:rsid w:val="009A5543"/>
    <w:rsid w:val="009A56BE"/>
    <w:rsid w:val="009A769E"/>
    <w:rsid w:val="009B1CA4"/>
    <w:rsid w:val="009B66A5"/>
    <w:rsid w:val="009B71E7"/>
    <w:rsid w:val="009B7693"/>
    <w:rsid w:val="009C2F4C"/>
    <w:rsid w:val="009C3C0C"/>
    <w:rsid w:val="009C50F0"/>
    <w:rsid w:val="009C5D27"/>
    <w:rsid w:val="009C7174"/>
    <w:rsid w:val="009D0531"/>
    <w:rsid w:val="009D1732"/>
    <w:rsid w:val="009D292B"/>
    <w:rsid w:val="009D5737"/>
    <w:rsid w:val="009D5A04"/>
    <w:rsid w:val="009D7711"/>
    <w:rsid w:val="009E2827"/>
    <w:rsid w:val="009E30C1"/>
    <w:rsid w:val="009E31E0"/>
    <w:rsid w:val="009E3E23"/>
    <w:rsid w:val="009E54BA"/>
    <w:rsid w:val="009E6156"/>
    <w:rsid w:val="009E7A8B"/>
    <w:rsid w:val="009F0EFD"/>
    <w:rsid w:val="009F1642"/>
    <w:rsid w:val="009F2AB8"/>
    <w:rsid w:val="009F3C4D"/>
    <w:rsid w:val="009F4EB1"/>
    <w:rsid w:val="009F60DB"/>
    <w:rsid w:val="009F6DE9"/>
    <w:rsid w:val="009F71A3"/>
    <w:rsid w:val="009F75CE"/>
    <w:rsid w:val="009F76D8"/>
    <w:rsid w:val="00A00A82"/>
    <w:rsid w:val="00A03981"/>
    <w:rsid w:val="00A040C6"/>
    <w:rsid w:val="00A05027"/>
    <w:rsid w:val="00A05F58"/>
    <w:rsid w:val="00A06183"/>
    <w:rsid w:val="00A07226"/>
    <w:rsid w:val="00A10A1C"/>
    <w:rsid w:val="00A11FA9"/>
    <w:rsid w:val="00A141BC"/>
    <w:rsid w:val="00A157FC"/>
    <w:rsid w:val="00A17B4A"/>
    <w:rsid w:val="00A22907"/>
    <w:rsid w:val="00A232B3"/>
    <w:rsid w:val="00A23509"/>
    <w:rsid w:val="00A23AD0"/>
    <w:rsid w:val="00A24768"/>
    <w:rsid w:val="00A24B7B"/>
    <w:rsid w:val="00A27D3D"/>
    <w:rsid w:val="00A27FA1"/>
    <w:rsid w:val="00A32A9E"/>
    <w:rsid w:val="00A3694D"/>
    <w:rsid w:val="00A37E77"/>
    <w:rsid w:val="00A41FCC"/>
    <w:rsid w:val="00A42DA6"/>
    <w:rsid w:val="00A444F1"/>
    <w:rsid w:val="00A455B1"/>
    <w:rsid w:val="00A46059"/>
    <w:rsid w:val="00A46727"/>
    <w:rsid w:val="00A4686A"/>
    <w:rsid w:val="00A50326"/>
    <w:rsid w:val="00A529DA"/>
    <w:rsid w:val="00A53185"/>
    <w:rsid w:val="00A5623F"/>
    <w:rsid w:val="00A56C8E"/>
    <w:rsid w:val="00A56F2E"/>
    <w:rsid w:val="00A57698"/>
    <w:rsid w:val="00A65B39"/>
    <w:rsid w:val="00A6607B"/>
    <w:rsid w:val="00A70981"/>
    <w:rsid w:val="00A72B3C"/>
    <w:rsid w:val="00A76ADC"/>
    <w:rsid w:val="00A77A0A"/>
    <w:rsid w:val="00A80120"/>
    <w:rsid w:val="00A821A3"/>
    <w:rsid w:val="00A8236A"/>
    <w:rsid w:val="00A83BD9"/>
    <w:rsid w:val="00A86E4F"/>
    <w:rsid w:val="00A87DA0"/>
    <w:rsid w:val="00A924EF"/>
    <w:rsid w:val="00A92AF6"/>
    <w:rsid w:val="00A957D7"/>
    <w:rsid w:val="00A96E92"/>
    <w:rsid w:val="00A9714A"/>
    <w:rsid w:val="00A9721A"/>
    <w:rsid w:val="00AA0C5D"/>
    <w:rsid w:val="00AA133D"/>
    <w:rsid w:val="00AA29C1"/>
    <w:rsid w:val="00AA3A1B"/>
    <w:rsid w:val="00AA5CA5"/>
    <w:rsid w:val="00AA69CE"/>
    <w:rsid w:val="00AB09DC"/>
    <w:rsid w:val="00AB1690"/>
    <w:rsid w:val="00AB4154"/>
    <w:rsid w:val="00AB4966"/>
    <w:rsid w:val="00AB4AB4"/>
    <w:rsid w:val="00AB4DEE"/>
    <w:rsid w:val="00AB6EB8"/>
    <w:rsid w:val="00AB70D0"/>
    <w:rsid w:val="00AC3FC0"/>
    <w:rsid w:val="00AC5385"/>
    <w:rsid w:val="00AC5439"/>
    <w:rsid w:val="00AC5A9E"/>
    <w:rsid w:val="00AC5F55"/>
    <w:rsid w:val="00AC73DA"/>
    <w:rsid w:val="00AC78E6"/>
    <w:rsid w:val="00AD00A2"/>
    <w:rsid w:val="00AD03E9"/>
    <w:rsid w:val="00AD1049"/>
    <w:rsid w:val="00AD57DE"/>
    <w:rsid w:val="00AD5AF7"/>
    <w:rsid w:val="00AD7CDC"/>
    <w:rsid w:val="00AE29E9"/>
    <w:rsid w:val="00AE4002"/>
    <w:rsid w:val="00AE5F22"/>
    <w:rsid w:val="00AE6AD6"/>
    <w:rsid w:val="00AF0331"/>
    <w:rsid w:val="00AF3C44"/>
    <w:rsid w:val="00AF4A47"/>
    <w:rsid w:val="00AF50C3"/>
    <w:rsid w:val="00AF52EF"/>
    <w:rsid w:val="00AF6E84"/>
    <w:rsid w:val="00B0032D"/>
    <w:rsid w:val="00B034B6"/>
    <w:rsid w:val="00B06195"/>
    <w:rsid w:val="00B062F9"/>
    <w:rsid w:val="00B10F53"/>
    <w:rsid w:val="00B12063"/>
    <w:rsid w:val="00B1296B"/>
    <w:rsid w:val="00B15A66"/>
    <w:rsid w:val="00B16699"/>
    <w:rsid w:val="00B20611"/>
    <w:rsid w:val="00B211FC"/>
    <w:rsid w:val="00B22249"/>
    <w:rsid w:val="00B26784"/>
    <w:rsid w:val="00B270FE"/>
    <w:rsid w:val="00B31F72"/>
    <w:rsid w:val="00B32BB4"/>
    <w:rsid w:val="00B33190"/>
    <w:rsid w:val="00B33865"/>
    <w:rsid w:val="00B338A7"/>
    <w:rsid w:val="00B35049"/>
    <w:rsid w:val="00B3628F"/>
    <w:rsid w:val="00B36722"/>
    <w:rsid w:val="00B36A58"/>
    <w:rsid w:val="00B3755C"/>
    <w:rsid w:val="00B3757C"/>
    <w:rsid w:val="00B40688"/>
    <w:rsid w:val="00B419C9"/>
    <w:rsid w:val="00B42869"/>
    <w:rsid w:val="00B434F0"/>
    <w:rsid w:val="00B44060"/>
    <w:rsid w:val="00B44347"/>
    <w:rsid w:val="00B45115"/>
    <w:rsid w:val="00B4531B"/>
    <w:rsid w:val="00B468D5"/>
    <w:rsid w:val="00B4739B"/>
    <w:rsid w:val="00B51A4C"/>
    <w:rsid w:val="00B55E15"/>
    <w:rsid w:val="00B56440"/>
    <w:rsid w:val="00B568DE"/>
    <w:rsid w:val="00B5751D"/>
    <w:rsid w:val="00B5790B"/>
    <w:rsid w:val="00B6006E"/>
    <w:rsid w:val="00B60187"/>
    <w:rsid w:val="00B606FC"/>
    <w:rsid w:val="00B60F6D"/>
    <w:rsid w:val="00B6142E"/>
    <w:rsid w:val="00B61C3B"/>
    <w:rsid w:val="00B6285B"/>
    <w:rsid w:val="00B62FEA"/>
    <w:rsid w:val="00B65D46"/>
    <w:rsid w:val="00B7085A"/>
    <w:rsid w:val="00B73BB8"/>
    <w:rsid w:val="00B760B4"/>
    <w:rsid w:val="00B80A35"/>
    <w:rsid w:val="00B81941"/>
    <w:rsid w:val="00B83029"/>
    <w:rsid w:val="00B830E1"/>
    <w:rsid w:val="00B84553"/>
    <w:rsid w:val="00B85E03"/>
    <w:rsid w:val="00B86595"/>
    <w:rsid w:val="00B86A45"/>
    <w:rsid w:val="00B87B6D"/>
    <w:rsid w:val="00B87D64"/>
    <w:rsid w:val="00B91F35"/>
    <w:rsid w:val="00B933D7"/>
    <w:rsid w:val="00B946E2"/>
    <w:rsid w:val="00B947BC"/>
    <w:rsid w:val="00B94A1F"/>
    <w:rsid w:val="00B9581F"/>
    <w:rsid w:val="00B95D1A"/>
    <w:rsid w:val="00B9612F"/>
    <w:rsid w:val="00B96E69"/>
    <w:rsid w:val="00B97381"/>
    <w:rsid w:val="00B97DE0"/>
    <w:rsid w:val="00BA140E"/>
    <w:rsid w:val="00BA192F"/>
    <w:rsid w:val="00BA2750"/>
    <w:rsid w:val="00BA29FC"/>
    <w:rsid w:val="00BA42C7"/>
    <w:rsid w:val="00BA4724"/>
    <w:rsid w:val="00BA6347"/>
    <w:rsid w:val="00BA65BC"/>
    <w:rsid w:val="00BA79F7"/>
    <w:rsid w:val="00BA7C49"/>
    <w:rsid w:val="00BB027E"/>
    <w:rsid w:val="00BB077C"/>
    <w:rsid w:val="00BB0862"/>
    <w:rsid w:val="00BB0C6C"/>
    <w:rsid w:val="00BB182B"/>
    <w:rsid w:val="00BB2B59"/>
    <w:rsid w:val="00BB5387"/>
    <w:rsid w:val="00BC0593"/>
    <w:rsid w:val="00BC06A3"/>
    <w:rsid w:val="00BC166A"/>
    <w:rsid w:val="00BC27D2"/>
    <w:rsid w:val="00BC64E8"/>
    <w:rsid w:val="00BC6E35"/>
    <w:rsid w:val="00BD0FE1"/>
    <w:rsid w:val="00BD4651"/>
    <w:rsid w:val="00BD4A38"/>
    <w:rsid w:val="00BD4BDF"/>
    <w:rsid w:val="00BD5818"/>
    <w:rsid w:val="00BD5996"/>
    <w:rsid w:val="00BE0846"/>
    <w:rsid w:val="00BE130B"/>
    <w:rsid w:val="00BE146E"/>
    <w:rsid w:val="00BE1476"/>
    <w:rsid w:val="00BE179B"/>
    <w:rsid w:val="00BE673E"/>
    <w:rsid w:val="00BE6E83"/>
    <w:rsid w:val="00BE6F8E"/>
    <w:rsid w:val="00BE7057"/>
    <w:rsid w:val="00BE7520"/>
    <w:rsid w:val="00BF04C9"/>
    <w:rsid w:val="00BF2461"/>
    <w:rsid w:val="00BF34F4"/>
    <w:rsid w:val="00BF37B1"/>
    <w:rsid w:val="00BF7405"/>
    <w:rsid w:val="00BF7581"/>
    <w:rsid w:val="00BF7BA2"/>
    <w:rsid w:val="00C01652"/>
    <w:rsid w:val="00C05CD0"/>
    <w:rsid w:val="00C06294"/>
    <w:rsid w:val="00C06AF3"/>
    <w:rsid w:val="00C0710D"/>
    <w:rsid w:val="00C12780"/>
    <w:rsid w:val="00C131FC"/>
    <w:rsid w:val="00C1356D"/>
    <w:rsid w:val="00C13986"/>
    <w:rsid w:val="00C14FEB"/>
    <w:rsid w:val="00C154ED"/>
    <w:rsid w:val="00C20CCB"/>
    <w:rsid w:val="00C23595"/>
    <w:rsid w:val="00C25285"/>
    <w:rsid w:val="00C25AB4"/>
    <w:rsid w:val="00C2641B"/>
    <w:rsid w:val="00C2733C"/>
    <w:rsid w:val="00C278D2"/>
    <w:rsid w:val="00C31137"/>
    <w:rsid w:val="00C320AF"/>
    <w:rsid w:val="00C338C2"/>
    <w:rsid w:val="00C4063C"/>
    <w:rsid w:val="00C4381C"/>
    <w:rsid w:val="00C43871"/>
    <w:rsid w:val="00C438DE"/>
    <w:rsid w:val="00C43B2F"/>
    <w:rsid w:val="00C45522"/>
    <w:rsid w:val="00C4572D"/>
    <w:rsid w:val="00C45CF5"/>
    <w:rsid w:val="00C52BAC"/>
    <w:rsid w:val="00C53ACA"/>
    <w:rsid w:val="00C54FCA"/>
    <w:rsid w:val="00C61179"/>
    <w:rsid w:val="00C61591"/>
    <w:rsid w:val="00C61DB6"/>
    <w:rsid w:val="00C61FFB"/>
    <w:rsid w:val="00C62E41"/>
    <w:rsid w:val="00C666F9"/>
    <w:rsid w:val="00C730E9"/>
    <w:rsid w:val="00C772EA"/>
    <w:rsid w:val="00C8008A"/>
    <w:rsid w:val="00C824B2"/>
    <w:rsid w:val="00C82C48"/>
    <w:rsid w:val="00C82C88"/>
    <w:rsid w:val="00C839B5"/>
    <w:rsid w:val="00C8437C"/>
    <w:rsid w:val="00C849E8"/>
    <w:rsid w:val="00C84C40"/>
    <w:rsid w:val="00C872F3"/>
    <w:rsid w:val="00C906FD"/>
    <w:rsid w:val="00C9182E"/>
    <w:rsid w:val="00C91DBB"/>
    <w:rsid w:val="00C92FA3"/>
    <w:rsid w:val="00C93A0A"/>
    <w:rsid w:val="00C93EDA"/>
    <w:rsid w:val="00C93FA2"/>
    <w:rsid w:val="00C95491"/>
    <w:rsid w:val="00C96C0F"/>
    <w:rsid w:val="00C976AE"/>
    <w:rsid w:val="00CA0938"/>
    <w:rsid w:val="00CA5561"/>
    <w:rsid w:val="00CA64B9"/>
    <w:rsid w:val="00CA70A8"/>
    <w:rsid w:val="00CA75F3"/>
    <w:rsid w:val="00CB0FCA"/>
    <w:rsid w:val="00CB130E"/>
    <w:rsid w:val="00CB260B"/>
    <w:rsid w:val="00CB3090"/>
    <w:rsid w:val="00CB6CB4"/>
    <w:rsid w:val="00CC0855"/>
    <w:rsid w:val="00CC1211"/>
    <w:rsid w:val="00CC1FB8"/>
    <w:rsid w:val="00CC2F79"/>
    <w:rsid w:val="00CC33BC"/>
    <w:rsid w:val="00CC3541"/>
    <w:rsid w:val="00CC39A1"/>
    <w:rsid w:val="00CC4983"/>
    <w:rsid w:val="00CC7422"/>
    <w:rsid w:val="00CD07C5"/>
    <w:rsid w:val="00CD1E21"/>
    <w:rsid w:val="00CD20D1"/>
    <w:rsid w:val="00CD392A"/>
    <w:rsid w:val="00CD7E8A"/>
    <w:rsid w:val="00CE1377"/>
    <w:rsid w:val="00CE160E"/>
    <w:rsid w:val="00CE36F9"/>
    <w:rsid w:val="00CE386E"/>
    <w:rsid w:val="00CE3A53"/>
    <w:rsid w:val="00CE4F27"/>
    <w:rsid w:val="00CE4F8B"/>
    <w:rsid w:val="00CE7D22"/>
    <w:rsid w:val="00CF0D34"/>
    <w:rsid w:val="00CF1267"/>
    <w:rsid w:val="00CF3A67"/>
    <w:rsid w:val="00CF491C"/>
    <w:rsid w:val="00CF6B4C"/>
    <w:rsid w:val="00CF7934"/>
    <w:rsid w:val="00D03FFC"/>
    <w:rsid w:val="00D04063"/>
    <w:rsid w:val="00D04723"/>
    <w:rsid w:val="00D04A43"/>
    <w:rsid w:val="00D04AA2"/>
    <w:rsid w:val="00D05773"/>
    <w:rsid w:val="00D063E0"/>
    <w:rsid w:val="00D11221"/>
    <w:rsid w:val="00D12DC2"/>
    <w:rsid w:val="00D159AC"/>
    <w:rsid w:val="00D161F2"/>
    <w:rsid w:val="00D20483"/>
    <w:rsid w:val="00D220A2"/>
    <w:rsid w:val="00D22CA4"/>
    <w:rsid w:val="00D231BB"/>
    <w:rsid w:val="00D24CA7"/>
    <w:rsid w:val="00D25DE7"/>
    <w:rsid w:val="00D2753F"/>
    <w:rsid w:val="00D337C6"/>
    <w:rsid w:val="00D33B41"/>
    <w:rsid w:val="00D40593"/>
    <w:rsid w:val="00D431B1"/>
    <w:rsid w:val="00D43EEE"/>
    <w:rsid w:val="00D44FA2"/>
    <w:rsid w:val="00D46DCE"/>
    <w:rsid w:val="00D470FE"/>
    <w:rsid w:val="00D50687"/>
    <w:rsid w:val="00D5210D"/>
    <w:rsid w:val="00D52E6B"/>
    <w:rsid w:val="00D5623D"/>
    <w:rsid w:val="00D5748E"/>
    <w:rsid w:val="00D574C8"/>
    <w:rsid w:val="00D60B9C"/>
    <w:rsid w:val="00D61121"/>
    <w:rsid w:val="00D61537"/>
    <w:rsid w:val="00D61831"/>
    <w:rsid w:val="00D61EBF"/>
    <w:rsid w:val="00D62343"/>
    <w:rsid w:val="00D62A39"/>
    <w:rsid w:val="00D6534D"/>
    <w:rsid w:val="00D65EAD"/>
    <w:rsid w:val="00D66105"/>
    <w:rsid w:val="00D665B0"/>
    <w:rsid w:val="00D67217"/>
    <w:rsid w:val="00D710FF"/>
    <w:rsid w:val="00D713DF"/>
    <w:rsid w:val="00D72099"/>
    <w:rsid w:val="00D7377D"/>
    <w:rsid w:val="00D73C53"/>
    <w:rsid w:val="00D76DBA"/>
    <w:rsid w:val="00D8030D"/>
    <w:rsid w:val="00D8305F"/>
    <w:rsid w:val="00D8650A"/>
    <w:rsid w:val="00D865DE"/>
    <w:rsid w:val="00D87832"/>
    <w:rsid w:val="00D90725"/>
    <w:rsid w:val="00D9100A"/>
    <w:rsid w:val="00D917C7"/>
    <w:rsid w:val="00D96906"/>
    <w:rsid w:val="00D96AA0"/>
    <w:rsid w:val="00D972A0"/>
    <w:rsid w:val="00D97687"/>
    <w:rsid w:val="00DA59AB"/>
    <w:rsid w:val="00DA6C82"/>
    <w:rsid w:val="00DB01EA"/>
    <w:rsid w:val="00DB0BDA"/>
    <w:rsid w:val="00DB0FAB"/>
    <w:rsid w:val="00DB1248"/>
    <w:rsid w:val="00DB2450"/>
    <w:rsid w:val="00DB2CFF"/>
    <w:rsid w:val="00DB3826"/>
    <w:rsid w:val="00DB3949"/>
    <w:rsid w:val="00DB3B14"/>
    <w:rsid w:val="00DB50EF"/>
    <w:rsid w:val="00DB6533"/>
    <w:rsid w:val="00DB7108"/>
    <w:rsid w:val="00DB71BD"/>
    <w:rsid w:val="00DC3332"/>
    <w:rsid w:val="00DC66AF"/>
    <w:rsid w:val="00DD3335"/>
    <w:rsid w:val="00DD68A6"/>
    <w:rsid w:val="00DE0F00"/>
    <w:rsid w:val="00DE153A"/>
    <w:rsid w:val="00DE1E15"/>
    <w:rsid w:val="00DE2972"/>
    <w:rsid w:val="00DE3241"/>
    <w:rsid w:val="00DF0AF4"/>
    <w:rsid w:val="00DF0DCE"/>
    <w:rsid w:val="00DF171C"/>
    <w:rsid w:val="00DF31C7"/>
    <w:rsid w:val="00DF39B2"/>
    <w:rsid w:val="00DF57E8"/>
    <w:rsid w:val="00DF5E99"/>
    <w:rsid w:val="00DF6D51"/>
    <w:rsid w:val="00E01CA0"/>
    <w:rsid w:val="00E01D4D"/>
    <w:rsid w:val="00E0278C"/>
    <w:rsid w:val="00E02B99"/>
    <w:rsid w:val="00E02F78"/>
    <w:rsid w:val="00E02FE3"/>
    <w:rsid w:val="00E03CD2"/>
    <w:rsid w:val="00E0418B"/>
    <w:rsid w:val="00E0626E"/>
    <w:rsid w:val="00E07665"/>
    <w:rsid w:val="00E07E0C"/>
    <w:rsid w:val="00E10213"/>
    <w:rsid w:val="00E1207F"/>
    <w:rsid w:val="00E13012"/>
    <w:rsid w:val="00E14371"/>
    <w:rsid w:val="00E14678"/>
    <w:rsid w:val="00E152AE"/>
    <w:rsid w:val="00E1600A"/>
    <w:rsid w:val="00E16F7E"/>
    <w:rsid w:val="00E208E3"/>
    <w:rsid w:val="00E20E70"/>
    <w:rsid w:val="00E21E87"/>
    <w:rsid w:val="00E25AF1"/>
    <w:rsid w:val="00E269C8"/>
    <w:rsid w:val="00E3057C"/>
    <w:rsid w:val="00E30845"/>
    <w:rsid w:val="00E3094B"/>
    <w:rsid w:val="00E41650"/>
    <w:rsid w:val="00E43CD1"/>
    <w:rsid w:val="00E456E5"/>
    <w:rsid w:val="00E45BE3"/>
    <w:rsid w:val="00E46558"/>
    <w:rsid w:val="00E465D0"/>
    <w:rsid w:val="00E47C06"/>
    <w:rsid w:val="00E47C26"/>
    <w:rsid w:val="00E53682"/>
    <w:rsid w:val="00E539DC"/>
    <w:rsid w:val="00E55A69"/>
    <w:rsid w:val="00E57ABB"/>
    <w:rsid w:val="00E57B63"/>
    <w:rsid w:val="00E62621"/>
    <w:rsid w:val="00E62E08"/>
    <w:rsid w:val="00E62F7C"/>
    <w:rsid w:val="00E63ADD"/>
    <w:rsid w:val="00E657B5"/>
    <w:rsid w:val="00E66C8D"/>
    <w:rsid w:val="00E671C9"/>
    <w:rsid w:val="00E671F9"/>
    <w:rsid w:val="00E71C3B"/>
    <w:rsid w:val="00E723AA"/>
    <w:rsid w:val="00E72631"/>
    <w:rsid w:val="00E72D2A"/>
    <w:rsid w:val="00E73279"/>
    <w:rsid w:val="00E73AB8"/>
    <w:rsid w:val="00E74107"/>
    <w:rsid w:val="00E763E7"/>
    <w:rsid w:val="00E76C94"/>
    <w:rsid w:val="00E7755F"/>
    <w:rsid w:val="00E775C7"/>
    <w:rsid w:val="00E805A1"/>
    <w:rsid w:val="00E80D36"/>
    <w:rsid w:val="00E81C02"/>
    <w:rsid w:val="00E82693"/>
    <w:rsid w:val="00E83EA4"/>
    <w:rsid w:val="00E84DDD"/>
    <w:rsid w:val="00E86054"/>
    <w:rsid w:val="00E86C9B"/>
    <w:rsid w:val="00E91160"/>
    <w:rsid w:val="00E927C1"/>
    <w:rsid w:val="00E931C6"/>
    <w:rsid w:val="00E936D5"/>
    <w:rsid w:val="00E93F97"/>
    <w:rsid w:val="00E95D6A"/>
    <w:rsid w:val="00EA2D9B"/>
    <w:rsid w:val="00EA5EF8"/>
    <w:rsid w:val="00EA67AA"/>
    <w:rsid w:val="00EB1393"/>
    <w:rsid w:val="00EB2F29"/>
    <w:rsid w:val="00EB722F"/>
    <w:rsid w:val="00EC141E"/>
    <w:rsid w:val="00EC1719"/>
    <w:rsid w:val="00EC23D3"/>
    <w:rsid w:val="00EC261C"/>
    <w:rsid w:val="00EC2A72"/>
    <w:rsid w:val="00EC37B6"/>
    <w:rsid w:val="00EC514A"/>
    <w:rsid w:val="00EC570E"/>
    <w:rsid w:val="00EC5D1B"/>
    <w:rsid w:val="00ED1B71"/>
    <w:rsid w:val="00ED2756"/>
    <w:rsid w:val="00ED45E1"/>
    <w:rsid w:val="00ED64A6"/>
    <w:rsid w:val="00ED779D"/>
    <w:rsid w:val="00EE03C9"/>
    <w:rsid w:val="00EE0441"/>
    <w:rsid w:val="00EE1701"/>
    <w:rsid w:val="00EE29A9"/>
    <w:rsid w:val="00EE3433"/>
    <w:rsid w:val="00EE5678"/>
    <w:rsid w:val="00EE586B"/>
    <w:rsid w:val="00EE6916"/>
    <w:rsid w:val="00EE6E63"/>
    <w:rsid w:val="00EF02C0"/>
    <w:rsid w:val="00EF1BB3"/>
    <w:rsid w:val="00EF1F43"/>
    <w:rsid w:val="00EF4602"/>
    <w:rsid w:val="00EF4848"/>
    <w:rsid w:val="00EF52BE"/>
    <w:rsid w:val="00EF635F"/>
    <w:rsid w:val="00EF69CD"/>
    <w:rsid w:val="00F009BD"/>
    <w:rsid w:val="00F00C62"/>
    <w:rsid w:val="00F00CEB"/>
    <w:rsid w:val="00F01D71"/>
    <w:rsid w:val="00F0302A"/>
    <w:rsid w:val="00F03E41"/>
    <w:rsid w:val="00F05E28"/>
    <w:rsid w:val="00F06507"/>
    <w:rsid w:val="00F124F3"/>
    <w:rsid w:val="00F14EB9"/>
    <w:rsid w:val="00F16B9C"/>
    <w:rsid w:val="00F17F7B"/>
    <w:rsid w:val="00F20263"/>
    <w:rsid w:val="00F2175D"/>
    <w:rsid w:val="00F23C86"/>
    <w:rsid w:val="00F24C02"/>
    <w:rsid w:val="00F26C27"/>
    <w:rsid w:val="00F277DB"/>
    <w:rsid w:val="00F278D4"/>
    <w:rsid w:val="00F30470"/>
    <w:rsid w:val="00F3068B"/>
    <w:rsid w:val="00F30904"/>
    <w:rsid w:val="00F329F9"/>
    <w:rsid w:val="00F32C78"/>
    <w:rsid w:val="00F32E08"/>
    <w:rsid w:val="00F32F0F"/>
    <w:rsid w:val="00F35424"/>
    <w:rsid w:val="00F35B89"/>
    <w:rsid w:val="00F35C53"/>
    <w:rsid w:val="00F366F8"/>
    <w:rsid w:val="00F367A1"/>
    <w:rsid w:val="00F36B31"/>
    <w:rsid w:val="00F36F24"/>
    <w:rsid w:val="00F416DE"/>
    <w:rsid w:val="00F41C84"/>
    <w:rsid w:val="00F41EE9"/>
    <w:rsid w:val="00F433CF"/>
    <w:rsid w:val="00F4442E"/>
    <w:rsid w:val="00F44A23"/>
    <w:rsid w:val="00F45CE8"/>
    <w:rsid w:val="00F475C9"/>
    <w:rsid w:val="00F51FA0"/>
    <w:rsid w:val="00F533D8"/>
    <w:rsid w:val="00F5378C"/>
    <w:rsid w:val="00F544BF"/>
    <w:rsid w:val="00F54D6C"/>
    <w:rsid w:val="00F54E0B"/>
    <w:rsid w:val="00F5579F"/>
    <w:rsid w:val="00F55EC2"/>
    <w:rsid w:val="00F56DB0"/>
    <w:rsid w:val="00F570B7"/>
    <w:rsid w:val="00F57157"/>
    <w:rsid w:val="00F57DC9"/>
    <w:rsid w:val="00F61570"/>
    <w:rsid w:val="00F61C47"/>
    <w:rsid w:val="00F63B8D"/>
    <w:rsid w:val="00F6431C"/>
    <w:rsid w:val="00F64416"/>
    <w:rsid w:val="00F65AA9"/>
    <w:rsid w:val="00F67962"/>
    <w:rsid w:val="00F67AAF"/>
    <w:rsid w:val="00F71571"/>
    <w:rsid w:val="00F7179D"/>
    <w:rsid w:val="00F74D25"/>
    <w:rsid w:val="00F77A5B"/>
    <w:rsid w:val="00F85051"/>
    <w:rsid w:val="00F8582D"/>
    <w:rsid w:val="00F8646C"/>
    <w:rsid w:val="00F86A19"/>
    <w:rsid w:val="00F87974"/>
    <w:rsid w:val="00F900D3"/>
    <w:rsid w:val="00F91A29"/>
    <w:rsid w:val="00F92801"/>
    <w:rsid w:val="00F93C5C"/>
    <w:rsid w:val="00F94326"/>
    <w:rsid w:val="00F9487F"/>
    <w:rsid w:val="00F95672"/>
    <w:rsid w:val="00F95DEB"/>
    <w:rsid w:val="00F95EED"/>
    <w:rsid w:val="00F96456"/>
    <w:rsid w:val="00F96DCB"/>
    <w:rsid w:val="00F97EB6"/>
    <w:rsid w:val="00FA0016"/>
    <w:rsid w:val="00FA0992"/>
    <w:rsid w:val="00FA1F6F"/>
    <w:rsid w:val="00FA7164"/>
    <w:rsid w:val="00FA7B0E"/>
    <w:rsid w:val="00FB0AE4"/>
    <w:rsid w:val="00FB2A78"/>
    <w:rsid w:val="00FB3E0B"/>
    <w:rsid w:val="00FB5FB6"/>
    <w:rsid w:val="00FB6DF4"/>
    <w:rsid w:val="00FB784B"/>
    <w:rsid w:val="00FC14E2"/>
    <w:rsid w:val="00FC151D"/>
    <w:rsid w:val="00FC1F39"/>
    <w:rsid w:val="00FC324B"/>
    <w:rsid w:val="00FC53EA"/>
    <w:rsid w:val="00FC5974"/>
    <w:rsid w:val="00FD0615"/>
    <w:rsid w:val="00FD55C2"/>
    <w:rsid w:val="00FD562A"/>
    <w:rsid w:val="00FD6CD1"/>
    <w:rsid w:val="00FE132F"/>
    <w:rsid w:val="00FE1DE2"/>
    <w:rsid w:val="00FE1EEA"/>
    <w:rsid w:val="00FE2D80"/>
    <w:rsid w:val="00FE4994"/>
    <w:rsid w:val="00FE4A5E"/>
    <w:rsid w:val="00FF1BD8"/>
    <w:rsid w:val="00FF31EA"/>
    <w:rsid w:val="00FF37F9"/>
    <w:rsid w:val="00FF4B63"/>
    <w:rsid w:val="00FF595E"/>
    <w:rsid w:val="00FF7C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87BB2"/>
  <w15:chartTrackingRefBased/>
  <w15:docId w15:val="{DE2D718C-5CC4-E844-9E1C-2155ACBF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D30"/>
    <w:pPr>
      <w:jc w:val="both"/>
    </w:pPr>
    <w:rPr>
      <w:rFonts w:ascii="Garamond" w:hAnsi="Garamond"/>
      <w:color w:val="000000" w:themeColor="text1"/>
      <w:sz w:val="22"/>
    </w:rPr>
  </w:style>
  <w:style w:type="paragraph" w:styleId="Balk3">
    <w:name w:val="heading 3"/>
    <w:basedOn w:val="Normal"/>
    <w:next w:val="Normal"/>
    <w:link w:val="Balk3Char"/>
    <w:uiPriority w:val="9"/>
    <w:semiHidden/>
    <w:unhideWhenUsed/>
    <w:qFormat/>
    <w:rsid w:val="001C4629"/>
    <w:pPr>
      <w:keepNext/>
      <w:keepLines/>
      <w:spacing w:before="40"/>
      <w:outlineLvl w:val="2"/>
    </w:pPr>
    <w:rPr>
      <w:rFonts w:asciiTheme="majorHAnsi" w:eastAsiaTheme="majorEastAsia" w:hAnsiTheme="majorHAnsi" w:cstheme="majorBidi"/>
      <w:color w:val="1F3763" w:themeColor="accent1" w:themeShade="7F"/>
      <w:sz w:val="24"/>
    </w:rPr>
  </w:style>
  <w:style w:type="paragraph" w:styleId="Balk4">
    <w:name w:val="heading 4"/>
    <w:basedOn w:val="Normal"/>
    <w:next w:val="Normal"/>
    <w:link w:val="Balk4Char"/>
    <w:uiPriority w:val="9"/>
    <w:semiHidden/>
    <w:unhideWhenUsed/>
    <w:qFormat/>
    <w:rsid w:val="00820193"/>
    <w:pPr>
      <w:keepNext/>
      <w:keepLines/>
      <w:spacing w:before="40"/>
      <w:outlineLvl w:val="3"/>
    </w:pPr>
    <w:rPr>
      <w:rFonts w:asciiTheme="majorHAnsi" w:eastAsiaTheme="majorEastAsia" w:hAnsiTheme="majorHAnsi" w:cstheme="majorBidi"/>
      <w:i/>
      <w:iCs/>
      <w:color w:val="2F5496" w:themeColor="accent1" w:themeShade="BF"/>
    </w:rPr>
  </w:style>
  <w:style w:type="paragraph" w:styleId="Balk6">
    <w:name w:val="heading 6"/>
    <w:aliases w:val="Çalışmanın Başlığı"/>
    <w:basedOn w:val="Normal"/>
    <w:next w:val="Normal"/>
    <w:link w:val="Balk6Char"/>
    <w:qFormat/>
    <w:rsid w:val="00832BDA"/>
    <w:pPr>
      <w:spacing w:line="360" w:lineRule="auto"/>
      <w:jc w:val="center"/>
      <w:outlineLvl w:val="5"/>
    </w:pPr>
    <w:rPr>
      <w:rFonts w:eastAsia="Times New Roman" w:cs="Times New Roman"/>
      <w:b/>
      <w:bCs/>
      <w:szCs w:val="22"/>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A62BE"/>
    <w:rPr>
      <w:color w:val="0563C1" w:themeColor="hyperlink"/>
      <w:u w:val="single"/>
    </w:rPr>
  </w:style>
  <w:style w:type="character" w:customStyle="1" w:styleId="zmlenmeyenBahsetme1">
    <w:name w:val="Çözümlenmeyen Bahsetme1"/>
    <w:basedOn w:val="VarsaylanParagrafYazTipi"/>
    <w:uiPriority w:val="99"/>
    <w:semiHidden/>
    <w:unhideWhenUsed/>
    <w:rsid w:val="003A62BE"/>
    <w:rPr>
      <w:color w:val="605E5C"/>
      <w:shd w:val="clear" w:color="auto" w:fill="E1DFDD"/>
    </w:rPr>
  </w:style>
  <w:style w:type="character" w:customStyle="1" w:styleId="Balk6Char">
    <w:name w:val="Başlık 6 Char"/>
    <w:aliases w:val="Çalışmanın Başlığı Char"/>
    <w:basedOn w:val="VarsaylanParagrafYazTipi"/>
    <w:link w:val="Balk6"/>
    <w:rsid w:val="00832BDA"/>
    <w:rPr>
      <w:rFonts w:ascii="Garamond" w:eastAsia="Times New Roman" w:hAnsi="Garamond" w:cs="Times New Roman"/>
      <w:b/>
      <w:bCs/>
      <w:sz w:val="22"/>
      <w:szCs w:val="22"/>
      <w:lang w:eastAsia="tr-TR"/>
    </w:rPr>
  </w:style>
  <w:style w:type="character" w:styleId="zlenenKpr">
    <w:name w:val="FollowedHyperlink"/>
    <w:basedOn w:val="VarsaylanParagrafYazTipi"/>
    <w:uiPriority w:val="99"/>
    <w:semiHidden/>
    <w:unhideWhenUsed/>
    <w:rsid w:val="006A4BE9"/>
    <w:rPr>
      <w:color w:val="954F72" w:themeColor="followedHyperlink"/>
      <w:u w:val="single"/>
    </w:rPr>
  </w:style>
  <w:style w:type="paragraph" w:styleId="ListeParagraf">
    <w:name w:val="List Paragraph"/>
    <w:basedOn w:val="Normal"/>
    <w:uiPriority w:val="34"/>
    <w:rsid w:val="00E72D2A"/>
    <w:pPr>
      <w:ind w:left="720"/>
      <w:contextualSpacing/>
    </w:pPr>
  </w:style>
  <w:style w:type="paragraph" w:styleId="stBilgi">
    <w:name w:val="header"/>
    <w:basedOn w:val="Normal"/>
    <w:link w:val="stBilgiChar"/>
    <w:uiPriority w:val="99"/>
    <w:unhideWhenUsed/>
    <w:rsid w:val="002D526B"/>
    <w:pPr>
      <w:tabs>
        <w:tab w:val="center" w:pos="4680"/>
        <w:tab w:val="right" w:pos="9360"/>
      </w:tabs>
    </w:pPr>
  </w:style>
  <w:style w:type="character" w:customStyle="1" w:styleId="stBilgiChar">
    <w:name w:val="Üst Bilgi Char"/>
    <w:basedOn w:val="VarsaylanParagrafYazTipi"/>
    <w:link w:val="stBilgi"/>
    <w:uiPriority w:val="99"/>
    <w:rsid w:val="002D526B"/>
  </w:style>
  <w:style w:type="paragraph" w:styleId="AltBilgi">
    <w:name w:val="footer"/>
    <w:basedOn w:val="Normal"/>
    <w:link w:val="AltBilgiChar"/>
    <w:uiPriority w:val="99"/>
    <w:unhideWhenUsed/>
    <w:rsid w:val="002D526B"/>
    <w:pPr>
      <w:tabs>
        <w:tab w:val="center" w:pos="4680"/>
        <w:tab w:val="right" w:pos="9360"/>
      </w:tabs>
    </w:pPr>
  </w:style>
  <w:style w:type="character" w:customStyle="1" w:styleId="AltBilgiChar">
    <w:name w:val="Alt Bilgi Char"/>
    <w:basedOn w:val="VarsaylanParagrafYazTipi"/>
    <w:link w:val="AltBilgi"/>
    <w:uiPriority w:val="99"/>
    <w:rsid w:val="002D526B"/>
  </w:style>
  <w:style w:type="table" w:customStyle="1" w:styleId="TabloKlavuzu1">
    <w:name w:val="Tablo Kılavuzu1"/>
    <w:basedOn w:val="NormalTablo"/>
    <w:next w:val="TabloKlavuzu"/>
    <w:uiPriority w:val="39"/>
    <w:rsid w:val="00F63B8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59"/>
    <w:rsid w:val="00F63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rsid w:val="001F1979"/>
    <w:pPr>
      <w:spacing w:after="200"/>
    </w:pPr>
    <w:rPr>
      <w:i/>
      <w:iCs/>
      <w:color w:val="44546A" w:themeColor="text2"/>
      <w:sz w:val="18"/>
      <w:szCs w:val="18"/>
    </w:rPr>
  </w:style>
  <w:style w:type="character" w:styleId="Vurgu">
    <w:name w:val="Emphasis"/>
    <w:basedOn w:val="VarsaylanParagrafYazTipi"/>
    <w:uiPriority w:val="20"/>
    <w:rsid w:val="00820193"/>
    <w:rPr>
      <w:i/>
      <w:iCs/>
    </w:rPr>
  </w:style>
  <w:style w:type="character" w:customStyle="1" w:styleId="Balk4Char">
    <w:name w:val="Başlık 4 Char"/>
    <w:basedOn w:val="VarsaylanParagrafYazTipi"/>
    <w:link w:val="Balk4"/>
    <w:uiPriority w:val="9"/>
    <w:semiHidden/>
    <w:rsid w:val="00820193"/>
    <w:rPr>
      <w:rFonts w:asciiTheme="majorHAnsi" w:eastAsiaTheme="majorEastAsia" w:hAnsiTheme="majorHAnsi" w:cstheme="majorBidi"/>
      <w:i/>
      <w:iCs/>
      <w:color w:val="2F5496" w:themeColor="accent1" w:themeShade="BF"/>
    </w:rPr>
  </w:style>
  <w:style w:type="paragraph" w:customStyle="1" w:styleId="zet">
    <w:name w:val="Özet"/>
    <w:basedOn w:val="Normal"/>
    <w:qFormat/>
    <w:rsid w:val="001B6C8F"/>
    <w:pPr>
      <w:ind w:left="-113" w:right="-113"/>
    </w:pPr>
    <w:rPr>
      <w:rFonts w:cs="Times New Roman"/>
      <w:sz w:val="20"/>
      <w:szCs w:val="20"/>
      <w:shd w:val="clear" w:color="auto" w:fill="FFFFFF"/>
    </w:rPr>
  </w:style>
  <w:style w:type="paragraph" w:customStyle="1" w:styleId="solstun">
    <w:name w:val="sol sütun"/>
    <w:basedOn w:val="Normal"/>
    <w:link w:val="solstunChar"/>
    <w:rsid w:val="00611617"/>
    <w:pPr>
      <w:autoSpaceDE w:val="0"/>
      <w:autoSpaceDN w:val="0"/>
      <w:adjustRightInd w:val="0"/>
      <w:spacing w:before="60" w:after="60"/>
      <w:jc w:val="left"/>
    </w:pPr>
    <w:rPr>
      <w:rFonts w:eastAsia="Calibri" w:cs="Times New Roman"/>
      <w:bCs/>
      <w:sz w:val="18"/>
      <w:szCs w:val="20"/>
    </w:rPr>
  </w:style>
  <w:style w:type="paragraph" w:customStyle="1" w:styleId="adsoyad">
    <w:name w:val="ad soyad"/>
    <w:basedOn w:val="Normal"/>
    <w:qFormat/>
    <w:rsid w:val="00BF04C9"/>
    <w:rPr>
      <w:b/>
      <w:bCs/>
      <w:sz w:val="20"/>
      <w:szCs w:val="21"/>
    </w:rPr>
  </w:style>
  <w:style w:type="paragraph" w:customStyle="1" w:styleId="birincidzeybalk">
    <w:name w:val="birinci düzey başlık"/>
    <w:basedOn w:val="Normal"/>
    <w:qFormat/>
    <w:rsid w:val="00CD392A"/>
    <w:pPr>
      <w:spacing w:before="120" w:after="120"/>
      <w:jc w:val="left"/>
    </w:pPr>
    <w:rPr>
      <w:rFonts w:cs="Times New Roman"/>
      <w:b/>
      <w:bCs/>
      <w:color w:val="auto"/>
    </w:rPr>
  </w:style>
  <w:style w:type="paragraph" w:customStyle="1" w:styleId="ikincidzeybalk">
    <w:name w:val="ikinci düzey başlık"/>
    <w:basedOn w:val="Normal"/>
    <w:link w:val="ikincidzeybalkChar"/>
    <w:qFormat/>
    <w:rsid w:val="009A058A"/>
    <w:pPr>
      <w:spacing w:before="240" w:after="60"/>
    </w:pPr>
    <w:rPr>
      <w:rFonts w:cs="Times New Roman"/>
      <w:b/>
      <w:bCs/>
      <w:color w:val="auto"/>
    </w:rPr>
  </w:style>
  <w:style w:type="paragraph" w:customStyle="1" w:styleId="ncdzeybalk">
    <w:name w:val="üçüncü düzey başlık"/>
    <w:basedOn w:val="Normal"/>
    <w:qFormat/>
    <w:rsid w:val="00800B6F"/>
    <w:pPr>
      <w:spacing w:before="120" w:after="120"/>
    </w:pPr>
    <w:rPr>
      <w:rFonts w:cs="Times New Roman"/>
      <w:b/>
      <w:bCs/>
      <w:color w:val="auto"/>
    </w:rPr>
  </w:style>
  <w:style w:type="paragraph" w:customStyle="1" w:styleId="drdncdzeybalk">
    <w:name w:val="dördüncü düzey başlık"/>
    <w:basedOn w:val="Normal"/>
    <w:qFormat/>
    <w:rsid w:val="00800B6F"/>
    <w:pPr>
      <w:spacing w:before="120" w:after="120"/>
    </w:pPr>
    <w:rPr>
      <w:rFonts w:cs="Times New Roman"/>
      <w:b/>
      <w:bCs/>
      <w:color w:val="auto"/>
    </w:rPr>
  </w:style>
  <w:style w:type="paragraph" w:customStyle="1" w:styleId="beincidzeybalk">
    <w:name w:val="beşinci düzey başlık"/>
    <w:basedOn w:val="Normal"/>
    <w:qFormat/>
    <w:rsid w:val="009A058A"/>
    <w:pPr>
      <w:spacing w:before="60" w:after="60"/>
      <w:ind w:firstLine="720"/>
    </w:pPr>
    <w:rPr>
      <w:rFonts w:ascii="Times New Roman" w:hAnsi="Times New Roman" w:cs="Times New Roman"/>
      <w:b/>
      <w:bCs/>
      <w:i/>
      <w:color w:val="auto"/>
    </w:rPr>
  </w:style>
  <w:style w:type="paragraph" w:customStyle="1" w:styleId="1cilbalk">
    <w:name w:val="1.cil başlık"/>
    <w:basedOn w:val="Normal"/>
    <w:link w:val="1cilbalkChar"/>
    <w:qFormat/>
    <w:rsid w:val="000A78F8"/>
    <w:pPr>
      <w:spacing w:before="120" w:line="276" w:lineRule="auto"/>
      <w:jc w:val="center"/>
    </w:pPr>
    <w:rPr>
      <w:rFonts w:cs="Times New Roman"/>
      <w:b/>
      <w:bCs/>
      <w:color w:val="auto"/>
    </w:rPr>
  </w:style>
  <w:style w:type="paragraph" w:customStyle="1" w:styleId="bulgulartartma">
    <w:name w:val="bulgular tartışma"/>
    <w:basedOn w:val="Normal"/>
    <w:qFormat/>
    <w:rsid w:val="009A058A"/>
    <w:pPr>
      <w:spacing w:before="240" w:after="60"/>
      <w:jc w:val="center"/>
    </w:pPr>
    <w:rPr>
      <w:rFonts w:cs="Times New Roman"/>
      <w:b/>
      <w:bCs/>
      <w:color w:val="auto"/>
    </w:rPr>
  </w:style>
  <w:style w:type="character" w:styleId="YerTutucuMetni">
    <w:name w:val="Placeholder Text"/>
    <w:basedOn w:val="VarsaylanParagrafYazTipi"/>
    <w:uiPriority w:val="99"/>
    <w:semiHidden/>
    <w:rsid w:val="000A16F1"/>
    <w:rPr>
      <w:color w:val="666666"/>
    </w:rPr>
  </w:style>
  <w:style w:type="character" w:customStyle="1" w:styleId="Stil1">
    <w:name w:val="Stil1"/>
    <w:basedOn w:val="VarsaylanParagrafYazTipi"/>
    <w:uiPriority w:val="1"/>
    <w:rsid w:val="00B33865"/>
    <w:rPr>
      <w:rFonts w:ascii="Times New Roman" w:hAnsi="Times New Roman"/>
      <w:b/>
      <w:color w:val="C00000"/>
      <w:sz w:val="20"/>
    </w:rPr>
  </w:style>
  <w:style w:type="character" w:customStyle="1" w:styleId="Stil2">
    <w:name w:val="Stil2"/>
    <w:basedOn w:val="VarsaylanParagrafYazTipi"/>
    <w:uiPriority w:val="1"/>
    <w:rsid w:val="009E54BA"/>
    <w:rPr>
      <w:rFonts w:ascii="Times New Roman" w:hAnsi="Times New Roman"/>
      <w:b/>
      <w:color w:val="C00000"/>
      <w:sz w:val="20"/>
    </w:rPr>
  </w:style>
  <w:style w:type="paragraph" w:styleId="DipnotMetni">
    <w:name w:val="footnote text"/>
    <w:basedOn w:val="Normal"/>
    <w:link w:val="DipnotMetniChar"/>
    <w:uiPriority w:val="99"/>
    <w:unhideWhenUsed/>
    <w:rsid w:val="00373AB6"/>
    <w:rPr>
      <w:sz w:val="20"/>
      <w:szCs w:val="20"/>
    </w:rPr>
  </w:style>
  <w:style w:type="character" w:customStyle="1" w:styleId="DipnotMetniChar">
    <w:name w:val="Dipnot Metni Char"/>
    <w:basedOn w:val="VarsaylanParagrafYazTipi"/>
    <w:link w:val="DipnotMetni"/>
    <w:uiPriority w:val="99"/>
    <w:rsid w:val="00C06AF3"/>
    <w:rPr>
      <w:rFonts w:ascii="Garamond" w:hAnsi="Garamond"/>
      <w:color w:val="000000" w:themeColor="text1"/>
      <w:sz w:val="20"/>
      <w:szCs w:val="20"/>
    </w:rPr>
  </w:style>
  <w:style w:type="character" w:styleId="DipnotBavurusu">
    <w:name w:val="footnote reference"/>
    <w:basedOn w:val="VarsaylanParagrafYazTipi"/>
    <w:uiPriority w:val="99"/>
    <w:semiHidden/>
    <w:unhideWhenUsed/>
    <w:rsid w:val="00C06AF3"/>
    <w:rPr>
      <w:vertAlign w:val="superscript"/>
    </w:rPr>
  </w:style>
  <w:style w:type="table" w:customStyle="1" w:styleId="TabloKlavuzu2">
    <w:name w:val="Tablo Kılavuzu2"/>
    <w:basedOn w:val="NormalTablo"/>
    <w:next w:val="TabloKlavuzu"/>
    <w:uiPriority w:val="59"/>
    <w:rsid w:val="00FA0016"/>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59"/>
    <w:rsid w:val="004B1A1C"/>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mlenmeyenBahsetme2">
    <w:name w:val="Çözümlenmeyen Bahsetme2"/>
    <w:basedOn w:val="VarsaylanParagrafYazTipi"/>
    <w:uiPriority w:val="99"/>
    <w:semiHidden/>
    <w:unhideWhenUsed/>
    <w:rsid w:val="00072DE2"/>
    <w:rPr>
      <w:color w:val="605E5C"/>
      <w:shd w:val="clear" w:color="auto" w:fill="E1DFDD"/>
    </w:rPr>
  </w:style>
  <w:style w:type="character" w:customStyle="1" w:styleId="Balk3Char">
    <w:name w:val="Başlık 3 Char"/>
    <w:basedOn w:val="VarsaylanParagrafYazTipi"/>
    <w:link w:val="Balk3"/>
    <w:uiPriority w:val="9"/>
    <w:semiHidden/>
    <w:rsid w:val="001C4629"/>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04F39"/>
    <w:rPr>
      <w:rFonts w:ascii="Times New Roman" w:hAnsi="Times New Roman" w:cs="Times New Roman"/>
      <w:sz w:val="24"/>
    </w:rPr>
  </w:style>
  <w:style w:type="paragraph" w:customStyle="1" w:styleId="2cilbalk">
    <w:name w:val="2.cil başlık"/>
    <w:basedOn w:val="1cilbalk"/>
    <w:link w:val="2cilbalkChar"/>
    <w:qFormat/>
    <w:rsid w:val="000A78F8"/>
    <w:pPr>
      <w:spacing w:before="240"/>
    </w:pPr>
    <w:rPr>
      <w:lang w:eastAsia="tr-TR"/>
    </w:rPr>
  </w:style>
  <w:style w:type="character" w:customStyle="1" w:styleId="1cilbalkChar">
    <w:name w:val="1.cil başlık Char"/>
    <w:basedOn w:val="VarsaylanParagrafYazTipi"/>
    <w:link w:val="1cilbalk"/>
    <w:rsid w:val="000A78F8"/>
    <w:rPr>
      <w:rFonts w:ascii="Garamond" w:hAnsi="Garamond" w:cs="Times New Roman"/>
      <w:b/>
      <w:bCs/>
      <w:sz w:val="22"/>
    </w:rPr>
  </w:style>
  <w:style w:type="character" w:customStyle="1" w:styleId="2cilbalkChar">
    <w:name w:val="2.cil başlık Char"/>
    <w:basedOn w:val="1cilbalkChar"/>
    <w:link w:val="2cilbalk"/>
    <w:rsid w:val="000A78F8"/>
    <w:rPr>
      <w:rFonts w:ascii="Garamond" w:hAnsi="Garamond" w:cs="Times New Roman"/>
      <w:b/>
      <w:bCs/>
      <w:sz w:val="22"/>
      <w:lang w:eastAsia="tr-TR"/>
    </w:rPr>
  </w:style>
  <w:style w:type="paragraph" w:customStyle="1" w:styleId="Yazaraltbilgi">
    <w:name w:val="Yazar alt bilgi"/>
    <w:basedOn w:val="DipnotMetni"/>
    <w:link w:val="YazaraltbilgiChar"/>
    <w:qFormat/>
    <w:rsid w:val="006D49C5"/>
    <w:pPr>
      <w:spacing w:after="20"/>
    </w:pPr>
    <w:rPr>
      <w:sz w:val="18"/>
      <w:szCs w:val="18"/>
      <w:lang w:val="en-US"/>
    </w:rPr>
  </w:style>
  <w:style w:type="character" w:customStyle="1" w:styleId="YazaraltbilgiChar">
    <w:name w:val="Yazar alt bilgi Char"/>
    <w:basedOn w:val="DipnotMetniChar"/>
    <w:link w:val="Yazaraltbilgi"/>
    <w:rsid w:val="006D49C5"/>
    <w:rPr>
      <w:rFonts w:ascii="Garamond" w:hAnsi="Garamond"/>
      <w:color w:val="000000" w:themeColor="text1"/>
      <w:sz w:val="18"/>
      <w:szCs w:val="18"/>
      <w:lang w:val="en-US"/>
    </w:rPr>
  </w:style>
  <w:style w:type="paragraph" w:customStyle="1" w:styleId="Makalehakkndaekbilgi">
    <w:name w:val="Makale hakkında ek bilgi"/>
    <w:basedOn w:val="DipnotMetni"/>
    <w:link w:val="MakalehakkndaekbilgiChar"/>
    <w:qFormat/>
    <w:rsid w:val="006B61D0"/>
    <w:pPr>
      <w:spacing w:after="20"/>
      <w:ind w:left="142" w:hanging="142"/>
    </w:pPr>
    <w:rPr>
      <w:sz w:val="18"/>
      <w:szCs w:val="18"/>
      <w:lang w:val="en-US"/>
    </w:rPr>
  </w:style>
  <w:style w:type="character" w:customStyle="1" w:styleId="MakalehakkndaekbilgiChar">
    <w:name w:val="Makale hakkında ek bilgi Char"/>
    <w:basedOn w:val="DipnotMetniChar"/>
    <w:link w:val="Makalehakkndaekbilgi"/>
    <w:rsid w:val="006B61D0"/>
    <w:rPr>
      <w:rFonts w:ascii="Garamond" w:hAnsi="Garamond"/>
      <w:color w:val="000000" w:themeColor="text1"/>
      <w:sz w:val="18"/>
      <w:szCs w:val="18"/>
      <w:lang w:val="en-US"/>
    </w:rPr>
  </w:style>
  <w:style w:type="paragraph" w:customStyle="1" w:styleId="Gelitarihi">
    <w:name w:val="Geliş tarihi"/>
    <w:basedOn w:val="solstun"/>
    <w:link w:val="GelitarihiChar"/>
    <w:qFormat/>
    <w:rsid w:val="00812ED2"/>
    <w:pPr>
      <w:spacing w:before="0" w:after="120"/>
      <w:ind w:left="-108" w:right="36"/>
    </w:pPr>
  </w:style>
  <w:style w:type="character" w:customStyle="1" w:styleId="solstunChar">
    <w:name w:val="sol sütun Char"/>
    <w:basedOn w:val="VarsaylanParagrafYazTipi"/>
    <w:link w:val="solstun"/>
    <w:rsid w:val="00812ED2"/>
    <w:rPr>
      <w:rFonts w:ascii="Garamond" w:eastAsia="Calibri" w:hAnsi="Garamond" w:cs="Times New Roman"/>
      <w:bCs/>
      <w:color w:val="000000" w:themeColor="text1"/>
      <w:sz w:val="18"/>
      <w:szCs w:val="20"/>
    </w:rPr>
  </w:style>
  <w:style w:type="character" w:customStyle="1" w:styleId="GelitarihiChar">
    <w:name w:val="Geliş tarihi Char"/>
    <w:basedOn w:val="solstunChar"/>
    <w:link w:val="Gelitarihi"/>
    <w:rsid w:val="00812ED2"/>
    <w:rPr>
      <w:rFonts w:ascii="Garamond" w:eastAsia="Calibri" w:hAnsi="Garamond" w:cs="Times New Roman"/>
      <w:bCs/>
      <w:color w:val="000000" w:themeColor="text1"/>
      <w:sz w:val="18"/>
      <w:szCs w:val="20"/>
    </w:rPr>
  </w:style>
  <w:style w:type="paragraph" w:customStyle="1" w:styleId="Gvdemetin">
    <w:name w:val="Gövde metin"/>
    <w:basedOn w:val="Normal"/>
    <w:link w:val="GvdemetinChar"/>
    <w:qFormat/>
    <w:rsid w:val="00222017"/>
    <w:pPr>
      <w:spacing w:before="120" w:after="120"/>
    </w:pPr>
  </w:style>
  <w:style w:type="character" w:customStyle="1" w:styleId="GvdemetinChar">
    <w:name w:val="Gövde metin Char"/>
    <w:basedOn w:val="VarsaylanParagrafYazTipi"/>
    <w:link w:val="Gvdemetin"/>
    <w:rsid w:val="00222017"/>
    <w:rPr>
      <w:rFonts w:ascii="Garamond" w:hAnsi="Garamond"/>
      <w:color w:val="000000" w:themeColor="text1"/>
      <w:sz w:val="22"/>
    </w:rPr>
  </w:style>
  <w:style w:type="paragraph" w:customStyle="1" w:styleId="Maddelendirme">
    <w:name w:val="Maddelendirme"/>
    <w:basedOn w:val="ikincidzeybalk"/>
    <w:link w:val="MaddelendirmeChar"/>
    <w:qFormat/>
    <w:rsid w:val="003D0FEC"/>
    <w:pPr>
      <w:numPr>
        <w:numId w:val="6"/>
      </w:numPr>
      <w:spacing w:before="0"/>
      <w:ind w:left="284" w:hanging="284"/>
    </w:pPr>
    <w:rPr>
      <w:b w:val="0"/>
      <w:bCs w:val="0"/>
      <w:color w:val="000000" w:themeColor="text1"/>
    </w:rPr>
  </w:style>
  <w:style w:type="character" w:customStyle="1" w:styleId="ikincidzeybalkChar">
    <w:name w:val="ikinci düzey başlık Char"/>
    <w:basedOn w:val="VarsaylanParagrafYazTipi"/>
    <w:link w:val="ikincidzeybalk"/>
    <w:rsid w:val="003D0FEC"/>
    <w:rPr>
      <w:rFonts w:ascii="Garamond" w:hAnsi="Garamond" w:cs="Times New Roman"/>
      <w:b/>
      <w:bCs/>
      <w:sz w:val="22"/>
    </w:rPr>
  </w:style>
  <w:style w:type="character" w:customStyle="1" w:styleId="MaddelendirmeChar">
    <w:name w:val="Maddelendirme Char"/>
    <w:basedOn w:val="ikincidzeybalkChar"/>
    <w:link w:val="Maddelendirme"/>
    <w:rsid w:val="003D0FEC"/>
    <w:rPr>
      <w:rFonts w:ascii="Garamond" w:hAnsi="Garamond" w:cs="Times New Roman"/>
      <w:b w:val="0"/>
      <w:bCs w:val="0"/>
      <w:color w:val="000000" w:themeColor="text1"/>
      <w:sz w:val="22"/>
    </w:rPr>
  </w:style>
  <w:style w:type="paragraph" w:customStyle="1" w:styleId="Dipnot">
    <w:name w:val="Dipnot"/>
    <w:basedOn w:val="DipnotMetni"/>
    <w:link w:val="DipnotChar"/>
    <w:qFormat/>
    <w:rsid w:val="007002AC"/>
    <w:pPr>
      <w:spacing w:after="60"/>
      <w:ind w:left="113" w:hanging="113"/>
    </w:pPr>
    <w:rPr>
      <w:sz w:val="18"/>
      <w:szCs w:val="18"/>
    </w:rPr>
  </w:style>
  <w:style w:type="character" w:customStyle="1" w:styleId="DipnotChar">
    <w:name w:val="Dipnot Char"/>
    <w:basedOn w:val="DipnotMetniChar"/>
    <w:link w:val="Dipnot"/>
    <w:rsid w:val="007002AC"/>
    <w:rPr>
      <w:rFonts w:ascii="Garamond" w:hAnsi="Garamond"/>
      <w:color w:val="000000" w:themeColor="text1"/>
      <w:sz w:val="18"/>
      <w:szCs w:val="18"/>
    </w:rPr>
  </w:style>
  <w:style w:type="character" w:styleId="Gl">
    <w:name w:val="Strong"/>
    <w:basedOn w:val="VarsaylanParagrafYazTipi"/>
    <w:uiPriority w:val="22"/>
    <w:qFormat/>
    <w:rsid w:val="000651EB"/>
    <w:rPr>
      <w:b/>
      <w:bCs/>
    </w:rPr>
  </w:style>
  <w:style w:type="character" w:styleId="zmlenmeyenBahsetme">
    <w:name w:val="Unresolved Mention"/>
    <w:basedOn w:val="VarsaylanParagrafYazTipi"/>
    <w:uiPriority w:val="99"/>
    <w:semiHidden/>
    <w:unhideWhenUsed/>
    <w:rsid w:val="00065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692">
      <w:bodyDiv w:val="1"/>
      <w:marLeft w:val="0"/>
      <w:marRight w:val="0"/>
      <w:marTop w:val="0"/>
      <w:marBottom w:val="0"/>
      <w:divBdr>
        <w:top w:val="none" w:sz="0" w:space="0" w:color="auto"/>
        <w:left w:val="none" w:sz="0" w:space="0" w:color="auto"/>
        <w:bottom w:val="none" w:sz="0" w:space="0" w:color="auto"/>
        <w:right w:val="none" w:sz="0" w:space="0" w:color="auto"/>
      </w:divBdr>
      <w:divsChild>
        <w:div w:id="719015004">
          <w:marLeft w:val="0"/>
          <w:marRight w:val="0"/>
          <w:marTop w:val="0"/>
          <w:marBottom w:val="0"/>
          <w:divBdr>
            <w:top w:val="none" w:sz="0" w:space="0" w:color="auto"/>
            <w:left w:val="none" w:sz="0" w:space="0" w:color="auto"/>
            <w:bottom w:val="none" w:sz="0" w:space="0" w:color="auto"/>
            <w:right w:val="none" w:sz="0" w:space="0" w:color="auto"/>
          </w:divBdr>
          <w:divsChild>
            <w:div w:id="1130905048">
              <w:marLeft w:val="0"/>
              <w:marRight w:val="0"/>
              <w:marTop w:val="0"/>
              <w:marBottom w:val="0"/>
              <w:divBdr>
                <w:top w:val="none" w:sz="0" w:space="0" w:color="auto"/>
                <w:left w:val="none" w:sz="0" w:space="0" w:color="auto"/>
                <w:bottom w:val="none" w:sz="0" w:space="0" w:color="auto"/>
                <w:right w:val="none" w:sz="0" w:space="0" w:color="auto"/>
              </w:divBdr>
              <w:divsChild>
                <w:div w:id="145320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149">
      <w:bodyDiv w:val="1"/>
      <w:marLeft w:val="0"/>
      <w:marRight w:val="0"/>
      <w:marTop w:val="0"/>
      <w:marBottom w:val="0"/>
      <w:divBdr>
        <w:top w:val="none" w:sz="0" w:space="0" w:color="auto"/>
        <w:left w:val="none" w:sz="0" w:space="0" w:color="auto"/>
        <w:bottom w:val="none" w:sz="0" w:space="0" w:color="auto"/>
        <w:right w:val="none" w:sz="0" w:space="0" w:color="auto"/>
      </w:divBdr>
    </w:div>
    <w:div w:id="70471780">
      <w:bodyDiv w:val="1"/>
      <w:marLeft w:val="0"/>
      <w:marRight w:val="0"/>
      <w:marTop w:val="0"/>
      <w:marBottom w:val="0"/>
      <w:divBdr>
        <w:top w:val="none" w:sz="0" w:space="0" w:color="auto"/>
        <w:left w:val="none" w:sz="0" w:space="0" w:color="auto"/>
        <w:bottom w:val="none" w:sz="0" w:space="0" w:color="auto"/>
        <w:right w:val="none" w:sz="0" w:space="0" w:color="auto"/>
      </w:divBdr>
    </w:div>
    <w:div w:id="90509743">
      <w:bodyDiv w:val="1"/>
      <w:marLeft w:val="0"/>
      <w:marRight w:val="0"/>
      <w:marTop w:val="0"/>
      <w:marBottom w:val="0"/>
      <w:divBdr>
        <w:top w:val="none" w:sz="0" w:space="0" w:color="auto"/>
        <w:left w:val="none" w:sz="0" w:space="0" w:color="auto"/>
        <w:bottom w:val="none" w:sz="0" w:space="0" w:color="auto"/>
        <w:right w:val="none" w:sz="0" w:space="0" w:color="auto"/>
      </w:divBdr>
    </w:div>
    <w:div w:id="141851540">
      <w:bodyDiv w:val="1"/>
      <w:marLeft w:val="0"/>
      <w:marRight w:val="0"/>
      <w:marTop w:val="0"/>
      <w:marBottom w:val="0"/>
      <w:divBdr>
        <w:top w:val="none" w:sz="0" w:space="0" w:color="auto"/>
        <w:left w:val="none" w:sz="0" w:space="0" w:color="auto"/>
        <w:bottom w:val="none" w:sz="0" w:space="0" w:color="auto"/>
        <w:right w:val="none" w:sz="0" w:space="0" w:color="auto"/>
      </w:divBdr>
    </w:div>
    <w:div w:id="168450209">
      <w:bodyDiv w:val="1"/>
      <w:marLeft w:val="0"/>
      <w:marRight w:val="0"/>
      <w:marTop w:val="0"/>
      <w:marBottom w:val="0"/>
      <w:divBdr>
        <w:top w:val="none" w:sz="0" w:space="0" w:color="auto"/>
        <w:left w:val="none" w:sz="0" w:space="0" w:color="auto"/>
        <w:bottom w:val="none" w:sz="0" w:space="0" w:color="auto"/>
        <w:right w:val="none" w:sz="0" w:space="0" w:color="auto"/>
      </w:divBdr>
    </w:div>
    <w:div w:id="180628233">
      <w:bodyDiv w:val="1"/>
      <w:marLeft w:val="0"/>
      <w:marRight w:val="0"/>
      <w:marTop w:val="0"/>
      <w:marBottom w:val="0"/>
      <w:divBdr>
        <w:top w:val="none" w:sz="0" w:space="0" w:color="auto"/>
        <w:left w:val="none" w:sz="0" w:space="0" w:color="auto"/>
        <w:bottom w:val="none" w:sz="0" w:space="0" w:color="auto"/>
        <w:right w:val="none" w:sz="0" w:space="0" w:color="auto"/>
      </w:divBdr>
    </w:div>
    <w:div w:id="215244920">
      <w:bodyDiv w:val="1"/>
      <w:marLeft w:val="0"/>
      <w:marRight w:val="0"/>
      <w:marTop w:val="0"/>
      <w:marBottom w:val="0"/>
      <w:divBdr>
        <w:top w:val="none" w:sz="0" w:space="0" w:color="auto"/>
        <w:left w:val="none" w:sz="0" w:space="0" w:color="auto"/>
        <w:bottom w:val="none" w:sz="0" w:space="0" w:color="auto"/>
        <w:right w:val="none" w:sz="0" w:space="0" w:color="auto"/>
      </w:divBdr>
    </w:div>
    <w:div w:id="241960558">
      <w:bodyDiv w:val="1"/>
      <w:marLeft w:val="0"/>
      <w:marRight w:val="0"/>
      <w:marTop w:val="0"/>
      <w:marBottom w:val="0"/>
      <w:divBdr>
        <w:top w:val="none" w:sz="0" w:space="0" w:color="auto"/>
        <w:left w:val="none" w:sz="0" w:space="0" w:color="auto"/>
        <w:bottom w:val="none" w:sz="0" w:space="0" w:color="auto"/>
        <w:right w:val="none" w:sz="0" w:space="0" w:color="auto"/>
      </w:divBdr>
    </w:div>
    <w:div w:id="249508898">
      <w:bodyDiv w:val="1"/>
      <w:marLeft w:val="0"/>
      <w:marRight w:val="0"/>
      <w:marTop w:val="0"/>
      <w:marBottom w:val="0"/>
      <w:divBdr>
        <w:top w:val="none" w:sz="0" w:space="0" w:color="auto"/>
        <w:left w:val="none" w:sz="0" w:space="0" w:color="auto"/>
        <w:bottom w:val="none" w:sz="0" w:space="0" w:color="auto"/>
        <w:right w:val="none" w:sz="0" w:space="0" w:color="auto"/>
      </w:divBdr>
    </w:div>
    <w:div w:id="270866617">
      <w:bodyDiv w:val="1"/>
      <w:marLeft w:val="0"/>
      <w:marRight w:val="0"/>
      <w:marTop w:val="0"/>
      <w:marBottom w:val="0"/>
      <w:divBdr>
        <w:top w:val="none" w:sz="0" w:space="0" w:color="auto"/>
        <w:left w:val="none" w:sz="0" w:space="0" w:color="auto"/>
        <w:bottom w:val="none" w:sz="0" w:space="0" w:color="auto"/>
        <w:right w:val="none" w:sz="0" w:space="0" w:color="auto"/>
      </w:divBdr>
    </w:div>
    <w:div w:id="279187827">
      <w:bodyDiv w:val="1"/>
      <w:marLeft w:val="0"/>
      <w:marRight w:val="0"/>
      <w:marTop w:val="0"/>
      <w:marBottom w:val="0"/>
      <w:divBdr>
        <w:top w:val="none" w:sz="0" w:space="0" w:color="auto"/>
        <w:left w:val="none" w:sz="0" w:space="0" w:color="auto"/>
        <w:bottom w:val="none" w:sz="0" w:space="0" w:color="auto"/>
        <w:right w:val="none" w:sz="0" w:space="0" w:color="auto"/>
      </w:divBdr>
    </w:div>
    <w:div w:id="301008489">
      <w:bodyDiv w:val="1"/>
      <w:marLeft w:val="0"/>
      <w:marRight w:val="0"/>
      <w:marTop w:val="0"/>
      <w:marBottom w:val="0"/>
      <w:divBdr>
        <w:top w:val="none" w:sz="0" w:space="0" w:color="auto"/>
        <w:left w:val="none" w:sz="0" w:space="0" w:color="auto"/>
        <w:bottom w:val="none" w:sz="0" w:space="0" w:color="auto"/>
        <w:right w:val="none" w:sz="0" w:space="0" w:color="auto"/>
      </w:divBdr>
    </w:div>
    <w:div w:id="308444525">
      <w:bodyDiv w:val="1"/>
      <w:marLeft w:val="0"/>
      <w:marRight w:val="0"/>
      <w:marTop w:val="0"/>
      <w:marBottom w:val="0"/>
      <w:divBdr>
        <w:top w:val="none" w:sz="0" w:space="0" w:color="auto"/>
        <w:left w:val="none" w:sz="0" w:space="0" w:color="auto"/>
        <w:bottom w:val="none" w:sz="0" w:space="0" w:color="auto"/>
        <w:right w:val="none" w:sz="0" w:space="0" w:color="auto"/>
      </w:divBdr>
    </w:div>
    <w:div w:id="317804761">
      <w:bodyDiv w:val="1"/>
      <w:marLeft w:val="0"/>
      <w:marRight w:val="0"/>
      <w:marTop w:val="0"/>
      <w:marBottom w:val="0"/>
      <w:divBdr>
        <w:top w:val="none" w:sz="0" w:space="0" w:color="auto"/>
        <w:left w:val="none" w:sz="0" w:space="0" w:color="auto"/>
        <w:bottom w:val="none" w:sz="0" w:space="0" w:color="auto"/>
        <w:right w:val="none" w:sz="0" w:space="0" w:color="auto"/>
      </w:divBdr>
    </w:div>
    <w:div w:id="321736351">
      <w:bodyDiv w:val="1"/>
      <w:marLeft w:val="0"/>
      <w:marRight w:val="0"/>
      <w:marTop w:val="0"/>
      <w:marBottom w:val="0"/>
      <w:divBdr>
        <w:top w:val="none" w:sz="0" w:space="0" w:color="auto"/>
        <w:left w:val="none" w:sz="0" w:space="0" w:color="auto"/>
        <w:bottom w:val="none" w:sz="0" w:space="0" w:color="auto"/>
        <w:right w:val="none" w:sz="0" w:space="0" w:color="auto"/>
      </w:divBdr>
    </w:div>
    <w:div w:id="373891143">
      <w:bodyDiv w:val="1"/>
      <w:marLeft w:val="0"/>
      <w:marRight w:val="0"/>
      <w:marTop w:val="0"/>
      <w:marBottom w:val="0"/>
      <w:divBdr>
        <w:top w:val="none" w:sz="0" w:space="0" w:color="auto"/>
        <w:left w:val="none" w:sz="0" w:space="0" w:color="auto"/>
        <w:bottom w:val="none" w:sz="0" w:space="0" w:color="auto"/>
        <w:right w:val="none" w:sz="0" w:space="0" w:color="auto"/>
      </w:divBdr>
      <w:divsChild>
        <w:div w:id="1813478516">
          <w:marLeft w:val="0"/>
          <w:marRight w:val="0"/>
          <w:marTop w:val="0"/>
          <w:marBottom w:val="0"/>
          <w:divBdr>
            <w:top w:val="none" w:sz="0" w:space="0" w:color="auto"/>
            <w:left w:val="none" w:sz="0" w:space="0" w:color="auto"/>
            <w:bottom w:val="none" w:sz="0" w:space="0" w:color="auto"/>
            <w:right w:val="none" w:sz="0" w:space="0" w:color="auto"/>
          </w:divBdr>
          <w:divsChild>
            <w:div w:id="1920485634">
              <w:marLeft w:val="0"/>
              <w:marRight w:val="0"/>
              <w:marTop w:val="0"/>
              <w:marBottom w:val="0"/>
              <w:divBdr>
                <w:top w:val="none" w:sz="0" w:space="0" w:color="auto"/>
                <w:left w:val="none" w:sz="0" w:space="0" w:color="auto"/>
                <w:bottom w:val="none" w:sz="0" w:space="0" w:color="auto"/>
                <w:right w:val="none" w:sz="0" w:space="0" w:color="auto"/>
              </w:divBdr>
              <w:divsChild>
                <w:div w:id="12641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92930">
      <w:bodyDiv w:val="1"/>
      <w:marLeft w:val="0"/>
      <w:marRight w:val="0"/>
      <w:marTop w:val="0"/>
      <w:marBottom w:val="0"/>
      <w:divBdr>
        <w:top w:val="none" w:sz="0" w:space="0" w:color="auto"/>
        <w:left w:val="none" w:sz="0" w:space="0" w:color="auto"/>
        <w:bottom w:val="none" w:sz="0" w:space="0" w:color="auto"/>
        <w:right w:val="none" w:sz="0" w:space="0" w:color="auto"/>
      </w:divBdr>
      <w:divsChild>
        <w:div w:id="2002392326">
          <w:marLeft w:val="0"/>
          <w:marRight w:val="0"/>
          <w:marTop w:val="0"/>
          <w:marBottom w:val="0"/>
          <w:divBdr>
            <w:top w:val="none" w:sz="0" w:space="0" w:color="auto"/>
            <w:left w:val="none" w:sz="0" w:space="0" w:color="auto"/>
            <w:bottom w:val="none" w:sz="0" w:space="0" w:color="auto"/>
            <w:right w:val="none" w:sz="0" w:space="0" w:color="auto"/>
          </w:divBdr>
          <w:divsChild>
            <w:div w:id="270211747">
              <w:marLeft w:val="0"/>
              <w:marRight w:val="0"/>
              <w:marTop w:val="0"/>
              <w:marBottom w:val="0"/>
              <w:divBdr>
                <w:top w:val="none" w:sz="0" w:space="0" w:color="auto"/>
                <w:left w:val="none" w:sz="0" w:space="0" w:color="auto"/>
                <w:bottom w:val="none" w:sz="0" w:space="0" w:color="auto"/>
                <w:right w:val="none" w:sz="0" w:space="0" w:color="auto"/>
              </w:divBdr>
              <w:divsChild>
                <w:div w:id="18641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345960">
      <w:bodyDiv w:val="1"/>
      <w:marLeft w:val="0"/>
      <w:marRight w:val="0"/>
      <w:marTop w:val="0"/>
      <w:marBottom w:val="0"/>
      <w:divBdr>
        <w:top w:val="none" w:sz="0" w:space="0" w:color="auto"/>
        <w:left w:val="none" w:sz="0" w:space="0" w:color="auto"/>
        <w:bottom w:val="none" w:sz="0" w:space="0" w:color="auto"/>
        <w:right w:val="none" w:sz="0" w:space="0" w:color="auto"/>
      </w:divBdr>
    </w:div>
    <w:div w:id="551426008">
      <w:bodyDiv w:val="1"/>
      <w:marLeft w:val="0"/>
      <w:marRight w:val="0"/>
      <w:marTop w:val="0"/>
      <w:marBottom w:val="0"/>
      <w:divBdr>
        <w:top w:val="none" w:sz="0" w:space="0" w:color="auto"/>
        <w:left w:val="none" w:sz="0" w:space="0" w:color="auto"/>
        <w:bottom w:val="none" w:sz="0" w:space="0" w:color="auto"/>
        <w:right w:val="none" w:sz="0" w:space="0" w:color="auto"/>
      </w:divBdr>
      <w:divsChild>
        <w:div w:id="1637640517">
          <w:marLeft w:val="0"/>
          <w:marRight w:val="0"/>
          <w:marTop w:val="0"/>
          <w:marBottom w:val="0"/>
          <w:divBdr>
            <w:top w:val="none" w:sz="0" w:space="0" w:color="auto"/>
            <w:left w:val="none" w:sz="0" w:space="0" w:color="auto"/>
            <w:bottom w:val="none" w:sz="0" w:space="0" w:color="auto"/>
            <w:right w:val="none" w:sz="0" w:space="0" w:color="auto"/>
          </w:divBdr>
          <w:divsChild>
            <w:div w:id="30611423">
              <w:marLeft w:val="0"/>
              <w:marRight w:val="0"/>
              <w:marTop w:val="0"/>
              <w:marBottom w:val="0"/>
              <w:divBdr>
                <w:top w:val="none" w:sz="0" w:space="0" w:color="auto"/>
                <w:left w:val="none" w:sz="0" w:space="0" w:color="auto"/>
                <w:bottom w:val="none" w:sz="0" w:space="0" w:color="auto"/>
                <w:right w:val="none" w:sz="0" w:space="0" w:color="auto"/>
              </w:divBdr>
              <w:divsChild>
                <w:div w:id="8483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5610">
      <w:bodyDiv w:val="1"/>
      <w:marLeft w:val="0"/>
      <w:marRight w:val="0"/>
      <w:marTop w:val="0"/>
      <w:marBottom w:val="0"/>
      <w:divBdr>
        <w:top w:val="none" w:sz="0" w:space="0" w:color="auto"/>
        <w:left w:val="none" w:sz="0" w:space="0" w:color="auto"/>
        <w:bottom w:val="none" w:sz="0" w:space="0" w:color="auto"/>
        <w:right w:val="none" w:sz="0" w:space="0" w:color="auto"/>
      </w:divBdr>
    </w:div>
    <w:div w:id="593704779">
      <w:bodyDiv w:val="1"/>
      <w:marLeft w:val="0"/>
      <w:marRight w:val="0"/>
      <w:marTop w:val="0"/>
      <w:marBottom w:val="0"/>
      <w:divBdr>
        <w:top w:val="none" w:sz="0" w:space="0" w:color="auto"/>
        <w:left w:val="none" w:sz="0" w:space="0" w:color="auto"/>
        <w:bottom w:val="none" w:sz="0" w:space="0" w:color="auto"/>
        <w:right w:val="none" w:sz="0" w:space="0" w:color="auto"/>
      </w:divBdr>
    </w:div>
    <w:div w:id="603613442">
      <w:bodyDiv w:val="1"/>
      <w:marLeft w:val="0"/>
      <w:marRight w:val="0"/>
      <w:marTop w:val="0"/>
      <w:marBottom w:val="0"/>
      <w:divBdr>
        <w:top w:val="none" w:sz="0" w:space="0" w:color="auto"/>
        <w:left w:val="none" w:sz="0" w:space="0" w:color="auto"/>
        <w:bottom w:val="none" w:sz="0" w:space="0" w:color="auto"/>
        <w:right w:val="none" w:sz="0" w:space="0" w:color="auto"/>
      </w:divBdr>
      <w:divsChild>
        <w:div w:id="265357453">
          <w:marLeft w:val="0"/>
          <w:marRight w:val="0"/>
          <w:marTop w:val="0"/>
          <w:marBottom w:val="0"/>
          <w:divBdr>
            <w:top w:val="none" w:sz="0" w:space="0" w:color="auto"/>
            <w:left w:val="none" w:sz="0" w:space="0" w:color="auto"/>
            <w:bottom w:val="none" w:sz="0" w:space="0" w:color="auto"/>
            <w:right w:val="none" w:sz="0" w:space="0" w:color="auto"/>
          </w:divBdr>
          <w:divsChild>
            <w:div w:id="1369331578">
              <w:marLeft w:val="0"/>
              <w:marRight w:val="0"/>
              <w:marTop w:val="0"/>
              <w:marBottom w:val="0"/>
              <w:divBdr>
                <w:top w:val="none" w:sz="0" w:space="0" w:color="auto"/>
                <w:left w:val="none" w:sz="0" w:space="0" w:color="auto"/>
                <w:bottom w:val="none" w:sz="0" w:space="0" w:color="auto"/>
                <w:right w:val="none" w:sz="0" w:space="0" w:color="auto"/>
              </w:divBdr>
              <w:divsChild>
                <w:div w:id="8097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731350">
      <w:bodyDiv w:val="1"/>
      <w:marLeft w:val="0"/>
      <w:marRight w:val="0"/>
      <w:marTop w:val="0"/>
      <w:marBottom w:val="0"/>
      <w:divBdr>
        <w:top w:val="none" w:sz="0" w:space="0" w:color="auto"/>
        <w:left w:val="none" w:sz="0" w:space="0" w:color="auto"/>
        <w:bottom w:val="none" w:sz="0" w:space="0" w:color="auto"/>
        <w:right w:val="none" w:sz="0" w:space="0" w:color="auto"/>
      </w:divBdr>
    </w:div>
    <w:div w:id="661810149">
      <w:bodyDiv w:val="1"/>
      <w:marLeft w:val="0"/>
      <w:marRight w:val="0"/>
      <w:marTop w:val="0"/>
      <w:marBottom w:val="0"/>
      <w:divBdr>
        <w:top w:val="none" w:sz="0" w:space="0" w:color="auto"/>
        <w:left w:val="none" w:sz="0" w:space="0" w:color="auto"/>
        <w:bottom w:val="none" w:sz="0" w:space="0" w:color="auto"/>
        <w:right w:val="none" w:sz="0" w:space="0" w:color="auto"/>
      </w:divBdr>
    </w:div>
    <w:div w:id="703286667">
      <w:bodyDiv w:val="1"/>
      <w:marLeft w:val="0"/>
      <w:marRight w:val="0"/>
      <w:marTop w:val="0"/>
      <w:marBottom w:val="0"/>
      <w:divBdr>
        <w:top w:val="none" w:sz="0" w:space="0" w:color="auto"/>
        <w:left w:val="none" w:sz="0" w:space="0" w:color="auto"/>
        <w:bottom w:val="none" w:sz="0" w:space="0" w:color="auto"/>
        <w:right w:val="none" w:sz="0" w:space="0" w:color="auto"/>
      </w:divBdr>
    </w:div>
    <w:div w:id="717627990">
      <w:bodyDiv w:val="1"/>
      <w:marLeft w:val="0"/>
      <w:marRight w:val="0"/>
      <w:marTop w:val="0"/>
      <w:marBottom w:val="0"/>
      <w:divBdr>
        <w:top w:val="none" w:sz="0" w:space="0" w:color="auto"/>
        <w:left w:val="none" w:sz="0" w:space="0" w:color="auto"/>
        <w:bottom w:val="none" w:sz="0" w:space="0" w:color="auto"/>
        <w:right w:val="none" w:sz="0" w:space="0" w:color="auto"/>
      </w:divBdr>
    </w:div>
    <w:div w:id="740517941">
      <w:bodyDiv w:val="1"/>
      <w:marLeft w:val="0"/>
      <w:marRight w:val="0"/>
      <w:marTop w:val="0"/>
      <w:marBottom w:val="0"/>
      <w:divBdr>
        <w:top w:val="none" w:sz="0" w:space="0" w:color="auto"/>
        <w:left w:val="none" w:sz="0" w:space="0" w:color="auto"/>
        <w:bottom w:val="none" w:sz="0" w:space="0" w:color="auto"/>
        <w:right w:val="none" w:sz="0" w:space="0" w:color="auto"/>
      </w:divBdr>
      <w:divsChild>
        <w:div w:id="579289697">
          <w:marLeft w:val="0"/>
          <w:marRight w:val="0"/>
          <w:marTop w:val="0"/>
          <w:marBottom w:val="0"/>
          <w:divBdr>
            <w:top w:val="none" w:sz="0" w:space="0" w:color="auto"/>
            <w:left w:val="none" w:sz="0" w:space="0" w:color="auto"/>
            <w:bottom w:val="none" w:sz="0" w:space="0" w:color="auto"/>
            <w:right w:val="none" w:sz="0" w:space="0" w:color="auto"/>
          </w:divBdr>
          <w:divsChild>
            <w:div w:id="830171518">
              <w:marLeft w:val="0"/>
              <w:marRight w:val="0"/>
              <w:marTop w:val="0"/>
              <w:marBottom w:val="0"/>
              <w:divBdr>
                <w:top w:val="none" w:sz="0" w:space="0" w:color="auto"/>
                <w:left w:val="none" w:sz="0" w:space="0" w:color="auto"/>
                <w:bottom w:val="none" w:sz="0" w:space="0" w:color="auto"/>
                <w:right w:val="none" w:sz="0" w:space="0" w:color="auto"/>
              </w:divBdr>
              <w:divsChild>
                <w:div w:id="9529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60761">
      <w:bodyDiv w:val="1"/>
      <w:marLeft w:val="0"/>
      <w:marRight w:val="0"/>
      <w:marTop w:val="0"/>
      <w:marBottom w:val="0"/>
      <w:divBdr>
        <w:top w:val="none" w:sz="0" w:space="0" w:color="auto"/>
        <w:left w:val="none" w:sz="0" w:space="0" w:color="auto"/>
        <w:bottom w:val="none" w:sz="0" w:space="0" w:color="auto"/>
        <w:right w:val="none" w:sz="0" w:space="0" w:color="auto"/>
      </w:divBdr>
    </w:div>
    <w:div w:id="838733985">
      <w:bodyDiv w:val="1"/>
      <w:marLeft w:val="0"/>
      <w:marRight w:val="0"/>
      <w:marTop w:val="0"/>
      <w:marBottom w:val="0"/>
      <w:divBdr>
        <w:top w:val="none" w:sz="0" w:space="0" w:color="auto"/>
        <w:left w:val="none" w:sz="0" w:space="0" w:color="auto"/>
        <w:bottom w:val="none" w:sz="0" w:space="0" w:color="auto"/>
        <w:right w:val="none" w:sz="0" w:space="0" w:color="auto"/>
      </w:divBdr>
    </w:div>
    <w:div w:id="925311141">
      <w:bodyDiv w:val="1"/>
      <w:marLeft w:val="0"/>
      <w:marRight w:val="0"/>
      <w:marTop w:val="0"/>
      <w:marBottom w:val="0"/>
      <w:divBdr>
        <w:top w:val="none" w:sz="0" w:space="0" w:color="auto"/>
        <w:left w:val="none" w:sz="0" w:space="0" w:color="auto"/>
        <w:bottom w:val="none" w:sz="0" w:space="0" w:color="auto"/>
        <w:right w:val="none" w:sz="0" w:space="0" w:color="auto"/>
      </w:divBdr>
    </w:div>
    <w:div w:id="928272951">
      <w:bodyDiv w:val="1"/>
      <w:marLeft w:val="0"/>
      <w:marRight w:val="0"/>
      <w:marTop w:val="0"/>
      <w:marBottom w:val="0"/>
      <w:divBdr>
        <w:top w:val="none" w:sz="0" w:space="0" w:color="auto"/>
        <w:left w:val="none" w:sz="0" w:space="0" w:color="auto"/>
        <w:bottom w:val="none" w:sz="0" w:space="0" w:color="auto"/>
        <w:right w:val="none" w:sz="0" w:space="0" w:color="auto"/>
      </w:divBdr>
      <w:divsChild>
        <w:div w:id="1788305006">
          <w:marLeft w:val="0"/>
          <w:marRight w:val="0"/>
          <w:marTop w:val="0"/>
          <w:marBottom w:val="0"/>
          <w:divBdr>
            <w:top w:val="none" w:sz="0" w:space="0" w:color="auto"/>
            <w:left w:val="none" w:sz="0" w:space="0" w:color="auto"/>
            <w:bottom w:val="none" w:sz="0" w:space="0" w:color="auto"/>
            <w:right w:val="none" w:sz="0" w:space="0" w:color="auto"/>
          </w:divBdr>
          <w:divsChild>
            <w:div w:id="992952714">
              <w:marLeft w:val="0"/>
              <w:marRight w:val="0"/>
              <w:marTop w:val="0"/>
              <w:marBottom w:val="0"/>
              <w:divBdr>
                <w:top w:val="none" w:sz="0" w:space="0" w:color="auto"/>
                <w:left w:val="none" w:sz="0" w:space="0" w:color="auto"/>
                <w:bottom w:val="none" w:sz="0" w:space="0" w:color="auto"/>
                <w:right w:val="none" w:sz="0" w:space="0" w:color="auto"/>
              </w:divBdr>
              <w:divsChild>
                <w:div w:id="928663765">
                  <w:marLeft w:val="0"/>
                  <w:marRight w:val="0"/>
                  <w:marTop w:val="0"/>
                  <w:marBottom w:val="0"/>
                  <w:divBdr>
                    <w:top w:val="none" w:sz="0" w:space="0" w:color="auto"/>
                    <w:left w:val="none" w:sz="0" w:space="0" w:color="auto"/>
                    <w:bottom w:val="none" w:sz="0" w:space="0" w:color="auto"/>
                    <w:right w:val="none" w:sz="0" w:space="0" w:color="auto"/>
                  </w:divBdr>
                  <w:divsChild>
                    <w:div w:id="6910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546504">
      <w:bodyDiv w:val="1"/>
      <w:marLeft w:val="0"/>
      <w:marRight w:val="0"/>
      <w:marTop w:val="0"/>
      <w:marBottom w:val="0"/>
      <w:divBdr>
        <w:top w:val="none" w:sz="0" w:space="0" w:color="auto"/>
        <w:left w:val="none" w:sz="0" w:space="0" w:color="auto"/>
        <w:bottom w:val="none" w:sz="0" w:space="0" w:color="auto"/>
        <w:right w:val="none" w:sz="0" w:space="0" w:color="auto"/>
      </w:divBdr>
    </w:div>
    <w:div w:id="955328357">
      <w:bodyDiv w:val="1"/>
      <w:marLeft w:val="0"/>
      <w:marRight w:val="0"/>
      <w:marTop w:val="0"/>
      <w:marBottom w:val="0"/>
      <w:divBdr>
        <w:top w:val="none" w:sz="0" w:space="0" w:color="auto"/>
        <w:left w:val="none" w:sz="0" w:space="0" w:color="auto"/>
        <w:bottom w:val="none" w:sz="0" w:space="0" w:color="auto"/>
        <w:right w:val="none" w:sz="0" w:space="0" w:color="auto"/>
      </w:divBdr>
    </w:div>
    <w:div w:id="976297348">
      <w:bodyDiv w:val="1"/>
      <w:marLeft w:val="0"/>
      <w:marRight w:val="0"/>
      <w:marTop w:val="0"/>
      <w:marBottom w:val="0"/>
      <w:divBdr>
        <w:top w:val="none" w:sz="0" w:space="0" w:color="auto"/>
        <w:left w:val="none" w:sz="0" w:space="0" w:color="auto"/>
        <w:bottom w:val="none" w:sz="0" w:space="0" w:color="auto"/>
        <w:right w:val="none" w:sz="0" w:space="0" w:color="auto"/>
      </w:divBdr>
    </w:div>
    <w:div w:id="1036394782">
      <w:bodyDiv w:val="1"/>
      <w:marLeft w:val="0"/>
      <w:marRight w:val="0"/>
      <w:marTop w:val="0"/>
      <w:marBottom w:val="0"/>
      <w:divBdr>
        <w:top w:val="none" w:sz="0" w:space="0" w:color="auto"/>
        <w:left w:val="none" w:sz="0" w:space="0" w:color="auto"/>
        <w:bottom w:val="none" w:sz="0" w:space="0" w:color="auto"/>
        <w:right w:val="none" w:sz="0" w:space="0" w:color="auto"/>
      </w:divBdr>
      <w:divsChild>
        <w:div w:id="1015960834">
          <w:marLeft w:val="0"/>
          <w:marRight w:val="0"/>
          <w:marTop w:val="0"/>
          <w:marBottom w:val="0"/>
          <w:divBdr>
            <w:top w:val="none" w:sz="0" w:space="0" w:color="auto"/>
            <w:left w:val="none" w:sz="0" w:space="0" w:color="auto"/>
            <w:bottom w:val="none" w:sz="0" w:space="0" w:color="auto"/>
            <w:right w:val="none" w:sz="0" w:space="0" w:color="auto"/>
          </w:divBdr>
          <w:divsChild>
            <w:div w:id="2016689628">
              <w:marLeft w:val="0"/>
              <w:marRight w:val="0"/>
              <w:marTop w:val="0"/>
              <w:marBottom w:val="0"/>
              <w:divBdr>
                <w:top w:val="none" w:sz="0" w:space="0" w:color="auto"/>
                <w:left w:val="none" w:sz="0" w:space="0" w:color="auto"/>
                <w:bottom w:val="none" w:sz="0" w:space="0" w:color="auto"/>
                <w:right w:val="none" w:sz="0" w:space="0" w:color="auto"/>
              </w:divBdr>
              <w:divsChild>
                <w:div w:id="2114282810">
                  <w:marLeft w:val="0"/>
                  <w:marRight w:val="0"/>
                  <w:marTop w:val="0"/>
                  <w:marBottom w:val="0"/>
                  <w:divBdr>
                    <w:top w:val="none" w:sz="0" w:space="0" w:color="auto"/>
                    <w:left w:val="none" w:sz="0" w:space="0" w:color="auto"/>
                    <w:bottom w:val="none" w:sz="0" w:space="0" w:color="auto"/>
                    <w:right w:val="none" w:sz="0" w:space="0" w:color="auto"/>
                  </w:divBdr>
                  <w:divsChild>
                    <w:div w:id="18915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08894">
      <w:bodyDiv w:val="1"/>
      <w:marLeft w:val="0"/>
      <w:marRight w:val="0"/>
      <w:marTop w:val="0"/>
      <w:marBottom w:val="0"/>
      <w:divBdr>
        <w:top w:val="none" w:sz="0" w:space="0" w:color="auto"/>
        <w:left w:val="none" w:sz="0" w:space="0" w:color="auto"/>
        <w:bottom w:val="none" w:sz="0" w:space="0" w:color="auto"/>
        <w:right w:val="none" w:sz="0" w:space="0" w:color="auto"/>
      </w:divBdr>
    </w:div>
    <w:div w:id="1040741852">
      <w:bodyDiv w:val="1"/>
      <w:marLeft w:val="0"/>
      <w:marRight w:val="0"/>
      <w:marTop w:val="0"/>
      <w:marBottom w:val="0"/>
      <w:divBdr>
        <w:top w:val="none" w:sz="0" w:space="0" w:color="auto"/>
        <w:left w:val="none" w:sz="0" w:space="0" w:color="auto"/>
        <w:bottom w:val="none" w:sz="0" w:space="0" w:color="auto"/>
        <w:right w:val="none" w:sz="0" w:space="0" w:color="auto"/>
      </w:divBdr>
      <w:divsChild>
        <w:div w:id="1333996458">
          <w:marLeft w:val="0"/>
          <w:marRight w:val="0"/>
          <w:marTop w:val="0"/>
          <w:marBottom w:val="0"/>
          <w:divBdr>
            <w:top w:val="none" w:sz="0" w:space="0" w:color="auto"/>
            <w:left w:val="none" w:sz="0" w:space="0" w:color="auto"/>
            <w:bottom w:val="none" w:sz="0" w:space="0" w:color="auto"/>
            <w:right w:val="none" w:sz="0" w:space="0" w:color="auto"/>
          </w:divBdr>
          <w:divsChild>
            <w:div w:id="990519350">
              <w:marLeft w:val="0"/>
              <w:marRight w:val="0"/>
              <w:marTop w:val="0"/>
              <w:marBottom w:val="0"/>
              <w:divBdr>
                <w:top w:val="none" w:sz="0" w:space="0" w:color="auto"/>
                <w:left w:val="none" w:sz="0" w:space="0" w:color="auto"/>
                <w:bottom w:val="none" w:sz="0" w:space="0" w:color="auto"/>
                <w:right w:val="none" w:sz="0" w:space="0" w:color="auto"/>
              </w:divBdr>
              <w:divsChild>
                <w:div w:id="2105222375">
                  <w:marLeft w:val="0"/>
                  <w:marRight w:val="0"/>
                  <w:marTop w:val="0"/>
                  <w:marBottom w:val="0"/>
                  <w:divBdr>
                    <w:top w:val="none" w:sz="0" w:space="0" w:color="auto"/>
                    <w:left w:val="none" w:sz="0" w:space="0" w:color="auto"/>
                    <w:bottom w:val="none" w:sz="0" w:space="0" w:color="auto"/>
                    <w:right w:val="none" w:sz="0" w:space="0" w:color="auto"/>
                  </w:divBdr>
                  <w:divsChild>
                    <w:div w:id="202481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900683">
      <w:bodyDiv w:val="1"/>
      <w:marLeft w:val="0"/>
      <w:marRight w:val="0"/>
      <w:marTop w:val="0"/>
      <w:marBottom w:val="0"/>
      <w:divBdr>
        <w:top w:val="none" w:sz="0" w:space="0" w:color="auto"/>
        <w:left w:val="none" w:sz="0" w:space="0" w:color="auto"/>
        <w:bottom w:val="none" w:sz="0" w:space="0" w:color="auto"/>
        <w:right w:val="none" w:sz="0" w:space="0" w:color="auto"/>
      </w:divBdr>
    </w:div>
    <w:div w:id="1109398818">
      <w:bodyDiv w:val="1"/>
      <w:marLeft w:val="0"/>
      <w:marRight w:val="0"/>
      <w:marTop w:val="0"/>
      <w:marBottom w:val="0"/>
      <w:divBdr>
        <w:top w:val="none" w:sz="0" w:space="0" w:color="auto"/>
        <w:left w:val="none" w:sz="0" w:space="0" w:color="auto"/>
        <w:bottom w:val="none" w:sz="0" w:space="0" w:color="auto"/>
        <w:right w:val="none" w:sz="0" w:space="0" w:color="auto"/>
      </w:divBdr>
    </w:div>
    <w:div w:id="1117023468">
      <w:bodyDiv w:val="1"/>
      <w:marLeft w:val="0"/>
      <w:marRight w:val="0"/>
      <w:marTop w:val="0"/>
      <w:marBottom w:val="0"/>
      <w:divBdr>
        <w:top w:val="none" w:sz="0" w:space="0" w:color="auto"/>
        <w:left w:val="none" w:sz="0" w:space="0" w:color="auto"/>
        <w:bottom w:val="none" w:sz="0" w:space="0" w:color="auto"/>
        <w:right w:val="none" w:sz="0" w:space="0" w:color="auto"/>
      </w:divBdr>
    </w:div>
    <w:div w:id="1127505365">
      <w:bodyDiv w:val="1"/>
      <w:marLeft w:val="0"/>
      <w:marRight w:val="0"/>
      <w:marTop w:val="0"/>
      <w:marBottom w:val="0"/>
      <w:divBdr>
        <w:top w:val="none" w:sz="0" w:space="0" w:color="auto"/>
        <w:left w:val="none" w:sz="0" w:space="0" w:color="auto"/>
        <w:bottom w:val="none" w:sz="0" w:space="0" w:color="auto"/>
        <w:right w:val="none" w:sz="0" w:space="0" w:color="auto"/>
      </w:divBdr>
    </w:div>
    <w:div w:id="1140460628">
      <w:bodyDiv w:val="1"/>
      <w:marLeft w:val="0"/>
      <w:marRight w:val="0"/>
      <w:marTop w:val="0"/>
      <w:marBottom w:val="0"/>
      <w:divBdr>
        <w:top w:val="none" w:sz="0" w:space="0" w:color="auto"/>
        <w:left w:val="none" w:sz="0" w:space="0" w:color="auto"/>
        <w:bottom w:val="none" w:sz="0" w:space="0" w:color="auto"/>
        <w:right w:val="none" w:sz="0" w:space="0" w:color="auto"/>
      </w:divBdr>
    </w:div>
    <w:div w:id="1150630099">
      <w:bodyDiv w:val="1"/>
      <w:marLeft w:val="0"/>
      <w:marRight w:val="0"/>
      <w:marTop w:val="0"/>
      <w:marBottom w:val="0"/>
      <w:divBdr>
        <w:top w:val="none" w:sz="0" w:space="0" w:color="auto"/>
        <w:left w:val="none" w:sz="0" w:space="0" w:color="auto"/>
        <w:bottom w:val="none" w:sz="0" w:space="0" w:color="auto"/>
        <w:right w:val="none" w:sz="0" w:space="0" w:color="auto"/>
      </w:divBdr>
      <w:divsChild>
        <w:div w:id="1321351581">
          <w:marLeft w:val="0"/>
          <w:marRight w:val="0"/>
          <w:marTop w:val="0"/>
          <w:marBottom w:val="0"/>
          <w:divBdr>
            <w:top w:val="none" w:sz="0" w:space="0" w:color="auto"/>
            <w:left w:val="none" w:sz="0" w:space="0" w:color="auto"/>
            <w:bottom w:val="none" w:sz="0" w:space="0" w:color="auto"/>
            <w:right w:val="none" w:sz="0" w:space="0" w:color="auto"/>
          </w:divBdr>
          <w:divsChild>
            <w:div w:id="1179808351">
              <w:marLeft w:val="0"/>
              <w:marRight w:val="0"/>
              <w:marTop w:val="0"/>
              <w:marBottom w:val="0"/>
              <w:divBdr>
                <w:top w:val="none" w:sz="0" w:space="0" w:color="auto"/>
                <w:left w:val="none" w:sz="0" w:space="0" w:color="auto"/>
                <w:bottom w:val="none" w:sz="0" w:space="0" w:color="auto"/>
                <w:right w:val="none" w:sz="0" w:space="0" w:color="auto"/>
              </w:divBdr>
              <w:divsChild>
                <w:div w:id="206656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56878">
      <w:bodyDiv w:val="1"/>
      <w:marLeft w:val="0"/>
      <w:marRight w:val="0"/>
      <w:marTop w:val="0"/>
      <w:marBottom w:val="0"/>
      <w:divBdr>
        <w:top w:val="none" w:sz="0" w:space="0" w:color="auto"/>
        <w:left w:val="none" w:sz="0" w:space="0" w:color="auto"/>
        <w:bottom w:val="none" w:sz="0" w:space="0" w:color="auto"/>
        <w:right w:val="none" w:sz="0" w:space="0" w:color="auto"/>
      </w:divBdr>
    </w:div>
    <w:div w:id="1190492131">
      <w:bodyDiv w:val="1"/>
      <w:marLeft w:val="0"/>
      <w:marRight w:val="0"/>
      <w:marTop w:val="0"/>
      <w:marBottom w:val="0"/>
      <w:divBdr>
        <w:top w:val="none" w:sz="0" w:space="0" w:color="auto"/>
        <w:left w:val="none" w:sz="0" w:space="0" w:color="auto"/>
        <w:bottom w:val="none" w:sz="0" w:space="0" w:color="auto"/>
        <w:right w:val="none" w:sz="0" w:space="0" w:color="auto"/>
      </w:divBdr>
    </w:div>
    <w:div w:id="1208906585">
      <w:bodyDiv w:val="1"/>
      <w:marLeft w:val="0"/>
      <w:marRight w:val="0"/>
      <w:marTop w:val="0"/>
      <w:marBottom w:val="0"/>
      <w:divBdr>
        <w:top w:val="none" w:sz="0" w:space="0" w:color="auto"/>
        <w:left w:val="none" w:sz="0" w:space="0" w:color="auto"/>
        <w:bottom w:val="none" w:sz="0" w:space="0" w:color="auto"/>
        <w:right w:val="none" w:sz="0" w:space="0" w:color="auto"/>
      </w:divBdr>
    </w:div>
    <w:div w:id="1268001260">
      <w:bodyDiv w:val="1"/>
      <w:marLeft w:val="0"/>
      <w:marRight w:val="0"/>
      <w:marTop w:val="0"/>
      <w:marBottom w:val="0"/>
      <w:divBdr>
        <w:top w:val="none" w:sz="0" w:space="0" w:color="auto"/>
        <w:left w:val="none" w:sz="0" w:space="0" w:color="auto"/>
        <w:bottom w:val="none" w:sz="0" w:space="0" w:color="auto"/>
        <w:right w:val="none" w:sz="0" w:space="0" w:color="auto"/>
      </w:divBdr>
    </w:div>
    <w:div w:id="1271548090">
      <w:bodyDiv w:val="1"/>
      <w:marLeft w:val="0"/>
      <w:marRight w:val="0"/>
      <w:marTop w:val="0"/>
      <w:marBottom w:val="0"/>
      <w:divBdr>
        <w:top w:val="none" w:sz="0" w:space="0" w:color="auto"/>
        <w:left w:val="none" w:sz="0" w:space="0" w:color="auto"/>
        <w:bottom w:val="none" w:sz="0" w:space="0" w:color="auto"/>
        <w:right w:val="none" w:sz="0" w:space="0" w:color="auto"/>
      </w:divBdr>
    </w:div>
    <w:div w:id="1282229074">
      <w:bodyDiv w:val="1"/>
      <w:marLeft w:val="0"/>
      <w:marRight w:val="0"/>
      <w:marTop w:val="0"/>
      <w:marBottom w:val="0"/>
      <w:divBdr>
        <w:top w:val="none" w:sz="0" w:space="0" w:color="auto"/>
        <w:left w:val="none" w:sz="0" w:space="0" w:color="auto"/>
        <w:bottom w:val="none" w:sz="0" w:space="0" w:color="auto"/>
        <w:right w:val="none" w:sz="0" w:space="0" w:color="auto"/>
      </w:divBdr>
    </w:div>
    <w:div w:id="1287926000">
      <w:bodyDiv w:val="1"/>
      <w:marLeft w:val="0"/>
      <w:marRight w:val="0"/>
      <w:marTop w:val="0"/>
      <w:marBottom w:val="0"/>
      <w:divBdr>
        <w:top w:val="none" w:sz="0" w:space="0" w:color="auto"/>
        <w:left w:val="none" w:sz="0" w:space="0" w:color="auto"/>
        <w:bottom w:val="none" w:sz="0" w:space="0" w:color="auto"/>
        <w:right w:val="none" w:sz="0" w:space="0" w:color="auto"/>
      </w:divBdr>
    </w:div>
    <w:div w:id="1292400080">
      <w:bodyDiv w:val="1"/>
      <w:marLeft w:val="0"/>
      <w:marRight w:val="0"/>
      <w:marTop w:val="0"/>
      <w:marBottom w:val="0"/>
      <w:divBdr>
        <w:top w:val="none" w:sz="0" w:space="0" w:color="auto"/>
        <w:left w:val="none" w:sz="0" w:space="0" w:color="auto"/>
        <w:bottom w:val="none" w:sz="0" w:space="0" w:color="auto"/>
        <w:right w:val="none" w:sz="0" w:space="0" w:color="auto"/>
      </w:divBdr>
    </w:div>
    <w:div w:id="1321230229">
      <w:bodyDiv w:val="1"/>
      <w:marLeft w:val="0"/>
      <w:marRight w:val="0"/>
      <w:marTop w:val="0"/>
      <w:marBottom w:val="0"/>
      <w:divBdr>
        <w:top w:val="none" w:sz="0" w:space="0" w:color="auto"/>
        <w:left w:val="none" w:sz="0" w:space="0" w:color="auto"/>
        <w:bottom w:val="none" w:sz="0" w:space="0" w:color="auto"/>
        <w:right w:val="none" w:sz="0" w:space="0" w:color="auto"/>
      </w:divBdr>
    </w:div>
    <w:div w:id="1384911796">
      <w:bodyDiv w:val="1"/>
      <w:marLeft w:val="0"/>
      <w:marRight w:val="0"/>
      <w:marTop w:val="0"/>
      <w:marBottom w:val="0"/>
      <w:divBdr>
        <w:top w:val="none" w:sz="0" w:space="0" w:color="auto"/>
        <w:left w:val="none" w:sz="0" w:space="0" w:color="auto"/>
        <w:bottom w:val="none" w:sz="0" w:space="0" w:color="auto"/>
        <w:right w:val="none" w:sz="0" w:space="0" w:color="auto"/>
      </w:divBdr>
    </w:div>
    <w:div w:id="1405687074">
      <w:bodyDiv w:val="1"/>
      <w:marLeft w:val="0"/>
      <w:marRight w:val="0"/>
      <w:marTop w:val="0"/>
      <w:marBottom w:val="0"/>
      <w:divBdr>
        <w:top w:val="none" w:sz="0" w:space="0" w:color="auto"/>
        <w:left w:val="none" w:sz="0" w:space="0" w:color="auto"/>
        <w:bottom w:val="none" w:sz="0" w:space="0" w:color="auto"/>
        <w:right w:val="none" w:sz="0" w:space="0" w:color="auto"/>
      </w:divBdr>
    </w:div>
    <w:div w:id="1432043698">
      <w:bodyDiv w:val="1"/>
      <w:marLeft w:val="0"/>
      <w:marRight w:val="0"/>
      <w:marTop w:val="0"/>
      <w:marBottom w:val="0"/>
      <w:divBdr>
        <w:top w:val="none" w:sz="0" w:space="0" w:color="auto"/>
        <w:left w:val="none" w:sz="0" w:space="0" w:color="auto"/>
        <w:bottom w:val="none" w:sz="0" w:space="0" w:color="auto"/>
        <w:right w:val="none" w:sz="0" w:space="0" w:color="auto"/>
      </w:divBdr>
    </w:div>
    <w:div w:id="1454514880">
      <w:bodyDiv w:val="1"/>
      <w:marLeft w:val="0"/>
      <w:marRight w:val="0"/>
      <w:marTop w:val="0"/>
      <w:marBottom w:val="0"/>
      <w:divBdr>
        <w:top w:val="none" w:sz="0" w:space="0" w:color="auto"/>
        <w:left w:val="none" w:sz="0" w:space="0" w:color="auto"/>
        <w:bottom w:val="none" w:sz="0" w:space="0" w:color="auto"/>
        <w:right w:val="none" w:sz="0" w:space="0" w:color="auto"/>
      </w:divBdr>
    </w:div>
    <w:div w:id="1458641280">
      <w:bodyDiv w:val="1"/>
      <w:marLeft w:val="0"/>
      <w:marRight w:val="0"/>
      <w:marTop w:val="0"/>
      <w:marBottom w:val="0"/>
      <w:divBdr>
        <w:top w:val="none" w:sz="0" w:space="0" w:color="auto"/>
        <w:left w:val="none" w:sz="0" w:space="0" w:color="auto"/>
        <w:bottom w:val="none" w:sz="0" w:space="0" w:color="auto"/>
        <w:right w:val="none" w:sz="0" w:space="0" w:color="auto"/>
      </w:divBdr>
      <w:divsChild>
        <w:div w:id="306933997">
          <w:marLeft w:val="0"/>
          <w:marRight w:val="0"/>
          <w:marTop w:val="0"/>
          <w:marBottom w:val="0"/>
          <w:divBdr>
            <w:top w:val="none" w:sz="0" w:space="0" w:color="auto"/>
            <w:left w:val="none" w:sz="0" w:space="0" w:color="auto"/>
            <w:bottom w:val="none" w:sz="0" w:space="0" w:color="auto"/>
            <w:right w:val="none" w:sz="0" w:space="0" w:color="auto"/>
          </w:divBdr>
          <w:divsChild>
            <w:div w:id="1443913281">
              <w:marLeft w:val="0"/>
              <w:marRight w:val="0"/>
              <w:marTop w:val="0"/>
              <w:marBottom w:val="0"/>
              <w:divBdr>
                <w:top w:val="none" w:sz="0" w:space="0" w:color="auto"/>
                <w:left w:val="none" w:sz="0" w:space="0" w:color="auto"/>
                <w:bottom w:val="none" w:sz="0" w:space="0" w:color="auto"/>
                <w:right w:val="none" w:sz="0" w:space="0" w:color="auto"/>
              </w:divBdr>
              <w:divsChild>
                <w:div w:id="17254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0003">
      <w:bodyDiv w:val="1"/>
      <w:marLeft w:val="0"/>
      <w:marRight w:val="0"/>
      <w:marTop w:val="0"/>
      <w:marBottom w:val="0"/>
      <w:divBdr>
        <w:top w:val="none" w:sz="0" w:space="0" w:color="auto"/>
        <w:left w:val="none" w:sz="0" w:space="0" w:color="auto"/>
        <w:bottom w:val="none" w:sz="0" w:space="0" w:color="auto"/>
        <w:right w:val="none" w:sz="0" w:space="0" w:color="auto"/>
      </w:divBdr>
    </w:div>
    <w:div w:id="1592347125">
      <w:bodyDiv w:val="1"/>
      <w:marLeft w:val="0"/>
      <w:marRight w:val="0"/>
      <w:marTop w:val="0"/>
      <w:marBottom w:val="0"/>
      <w:divBdr>
        <w:top w:val="none" w:sz="0" w:space="0" w:color="auto"/>
        <w:left w:val="none" w:sz="0" w:space="0" w:color="auto"/>
        <w:bottom w:val="none" w:sz="0" w:space="0" w:color="auto"/>
        <w:right w:val="none" w:sz="0" w:space="0" w:color="auto"/>
      </w:divBdr>
    </w:div>
    <w:div w:id="1596211393">
      <w:bodyDiv w:val="1"/>
      <w:marLeft w:val="0"/>
      <w:marRight w:val="0"/>
      <w:marTop w:val="0"/>
      <w:marBottom w:val="0"/>
      <w:divBdr>
        <w:top w:val="none" w:sz="0" w:space="0" w:color="auto"/>
        <w:left w:val="none" w:sz="0" w:space="0" w:color="auto"/>
        <w:bottom w:val="none" w:sz="0" w:space="0" w:color="auto"/>
        <w:right w:val="none" w:sz="0" w:space="0" w:color="auto"/>
      </w:divBdr>
    </w:div>
    <w:div w:id="1601255530">
      <w:bodyDiv w:val="1"/>
      <w:marLeft w:val="0"/>
      <w:marRight w:val="0"/>
      <w:marTop w:val="0"/>
      <w:marBottom w:val="0"/>
      <w:divBdr>
        <w:top w:val="none" w:sz="0" w:space="0" w:color="auto"/>
        <w:left w:val="none" w:sz="0" w:space="0" w:color="auto"/>
        <w:bottom w:val="none" w:sz="0" w:space="0" w:color="auto"/>
        <w:right w:val="none" w:sz="0" w:space="0" w:color="auto"/>
      </w:divBdr>
      <w:divsChild>
        <w:div w:id="1091391543">
          <w:marLeft w:val="0"/>
          <w:marRight w:val="0"/>
          <w:marTop w:val="0"/>
          <w:marBottom w:val="0"/>
          <w:divBdr>
            <w:top w:val="none" w:sz="0" w:space="0" w:color="auto"/>
            <w:left w:val="none" w:sz="0" w:space="0" w:color="auto"/>
            <w:bottom w:val="none" w:sz="0" w:space="0" w:color="auto"/>
            <w:right w:val="none" w:sz="0" w:space="0" w:color="auto"/>
          </w:divBdr>
          <w:divsChild>
            <w:div w:id="222763879">
              <w:marLeft w:val="0"/>
              <w:marRight w:val="0"/>
              <w:marTop w:val="0"/>
              <w:marBottom w:val="0"/>
              <w:divBdr>
                <w:top w:val="none" w:sz="0" w:space="0" w:color="auto"/>
                <w:left w:val="none" w:sz="0" w:space="0" w:color="auto"/>
                <w:bottom w:val="none" w:sz="0" w:space="0" w:color="auto"/>
                <w:right w:val="none" w:sz="0" w:space="0" w:color="auto"/>
              </w:divBdr>
              <w:divsChild>
                <w:div w:id="1255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26351">
      <w:bodyDiv w:val="1"/>
      <w:marLeft w:val="0"/>
      <w:marRight w:val="0"/>
      <w:marTop w:val="0"/>
      <w:marBottom w:val="0"/>
      <w:divBdr>
        <w:top w:val="none" w:sz="0" w:space="0" w:color="auto"/>
        <w:left w:val="none" w:sz="0" w:space="0" w:color="auto"/>
        <w:bottom w:val="none" w:sz="0" w:space="0" w:color="auto"/>
        <w:right w:val="none" w:sz="0" w:space="0" w:color="auto"/>
      </w:divBdr>
    </w:div>
    <w:div w:id="1695766104">
      <w:bodyDiv w:val="1"/>
      <w:marLeft w:val="0"/>
      <w:marRight w:val="0"/>
      <w:marTop w:val="0"/>
      <w:marBottom w:val="0"/>
      <w:divBdr>
        <w:top w:val="none" w:sz="0" w:space="0" w:color="auto"/>
        <w:left w:val="none" w:sz="0" w:space="0" w:color="auto"/>
        <w:bottom w:val="none" w:sz="0" w:space="0" w:color="auto"/>
        <w:right w:val="none" w:sz="0" w:space="0" w:color="auto"/>
      </w:divBdr>
    </w:div>
    <w:div w:id="1765027374">
      <w:bodyDiv w:val="1"/>
      <w:marLeft w:val="0"/>
      <w:marRight w:val="0"/>
      <w:marTop w:val="0"/>
      <w:marBottom w:val="0"/>
      <w:divBdr>
        <w:top w:val="none" w:sz="0" w:space="0" w:color="auto"/>
        <w:left w:val="none" w:sz="0" w:space="0" w:color="auto"/>
        <w:bottom w:val="none" w:sz="0" w:space="0" w:color="auto"/>
        <w:right w:val="none" w:sz="0" w:space="0" w:color="auto"/>
      </w:divBdr>
    </w:div>
    <w:div w:id="1784181998">
      <w:bodyDiv w:val="1"/>
      <w:marLeft w:val="0"/>
      <w:marRight w:val="0"/>
      <w:marTop w:val="0"/>
      <w:marBottom w:val="0"/>
      <w:divBdr>
        <w:top w:val="none" w:sz="0" w:space="0" w:color="auto"/>
        <w:left w:val="none" w:sz="0" w:space="0" w:color="auto"/>
        <w:bottom w:val="none" w:sz="0" w:space="0" w:color="auto"/>
        <w:right w:val="none" w:sz="0" w:space="0" w:color="auto"/>
      </w:divBdr>
    </w:div>
    <w:div w:id="1805386561">
      <w:bodyDiv w:val="1"/>
      <w:marLeft w:val="0"/>
      <w:marRight w:val="0"/>
      <w:marTop w:val="0"/>
      <w:marBottom w:val="0"/>
      <w:divBdr>
        <w:top w:val="none" w:sz="0" w:space="0" w:color="auto"/>
        <w:left w:val="none" w:sz="0" w:space="0" w:color="auto"/>
        <w:bottom w:val="none" w:sz="0" w:space="0" w:color="auto"/>
        <w:right w:val="none" w:sz="0" w:space="0" w:color="auto"/>
      </w:divBdr>
    </w:div>
    <w:div w:id="1808627094">
      <w:bodyDiv w:val="1"/>
      <w:marLeft w:val="0"/>
      <w:marRight w:val="0"/>
      <w:marTop w:val="0"/>
      <w:marBottom w:val="0"/>
      <w:divBdr>
        <w:top w:val="none" w:sz="0" w:space="0" w:color="auto"/>
        <w:left w:val="none" w:sz="0" w:space="0" w:color="auto"/>
        <w:bottom w:val="none" w:sz="0" w:space="0" w:color="auto"/>
        <w:right w:val="none" w:sz="0" w:space="0" w:color="auto"/>
      </w:divBdr>
    </w:div>
    <w:div w:id="1851337083">
      <w:bodyDiv w:val="1"/>
      <w:marLeft w:val="0"/>
      <w:marRight w:val="0"/>
      <w:marTop w:val="0"/>
      <w:marBottom w:val="0"/>
      <w:divBdr>
        <w:top w:val="none" w:sz="0" w:space="0" w:color="auto"/>
        <w:left w:val="none" w:sz="0" w:space="0" w:color="auto"/>
        <w:bottom w:val="none" w:sz="0" w:space="0" w:color="auto"/>
        <w:right w:val="none" w:sz="0" w:space="0" w:color="auto"/>
      </w:divBdr>
      <w:divsChild>
        <w:div w:id="1647276506">
          <w:marLeft w:val="0"/>
          <w:marRight w:val="0"/>
          <w:marTop w:val="0"/>
          <w:marBottom w:val="0"/>
          <w:divBdr>
            <w:top w:val="none" w:sz="0" w:space="0" w:color="auto"/>
            <w:left w:val="none" w:sz="0" w:space="0" w:color="auto"/>
            <w:bottom w:val="none" w:sz="0" w:space="0" w:color="auto"/>
            <w:right w:val="none" w:sz="0" w:space="0" w:color="auto"/>
          </w:divBdr>
          <w:divsChild>
            <w:div w:id="1895461525">
              <w:marLeft w:val="0"/>
              <w:marRight w:val="0"/>
              <w:marTop w:val="0"/>
              <w:marBottom w:val="0"/>
              <w:divBdr>
                <w:top w:val="none" w:sz="0" w:space="0" w:color="auto"/>
                <w:left w:val="none" w:sz="0" w:space="0" w:color="auto"/>
                <w:bottom w:val="none" w:sz="0" w:space="0" w:color="auto"/>
                <w:right w:val="none" w:sz="0" w:space="0" w:color="auto"/>
              </w:divBdr>
              <w:divsChild>
                <w:div w:id="20492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5124">
      <w:bodyDiv w:val="1"/>
      <w:marLeft w:val="0"/>
      <w:marRight w:val="0"/>
      <w:marTop w:val="0"/>
      <w:marBottom w:val="0"/>
      <w:divBdr>
        <w:top w:val="none" w:sz="0" w:space="0" w:color="auto"/>
        <w:left w:val="none" w:sz="0" w:space="0" w:color="auto"/>
        <w:bottom w:val="none" w:sz="0" w:space="0" w:color="auto"/>
        <w:right w:val="none" w:sz="0" w:space="0" w:color="auto"/>
      </w:divBdr>
    </w:div>
    <w:div w:id="1883252081">
      <w:bodyDiv w:val="1"/>
      <w:marLeft w:val="0"/>
      <w:marRight w:val="0"/>
      <w:marTop w:val="0"/>
      <w:marBottom w:val="0"/>
      <w:divBdr>
        <w:top w:val="none" w:sz="0" w:space="0" w:color="auto"/>
        <w:left w:val="none" w:sz="0" w:space="0" w:color="auto"/>
        <w:bottom w:val="none" w:sz="0" w:space="0" w:color="auto"/>
        <w:right w:val="none" w:sz="0" w:space="0" w:color="auto"/>
      </w:divBdr>
    </w:div>
    <w:div w:id="1907378794">
      <w:bodyDiv w:val="1"/>
      <w:marLeft w:val="0"/>
      <w:marRight w:val="0"/>
      <w:marTop w:val="0"/>
      <w:marBottom w:val="0"/>
      <w:divBdr>
        <w:top w:val="none" w:sz="0" w:space="0" w:color="auto"/>
        <w:left w:val="none" w:sz="0" w:space="0" w:color="auto"/>
        <w:bottom w:val="none" w:sz="0" w:space="0" w:color="auto"/>
        <w:right w:val="none" w:sz="0" w:space="0" w:color="auto"/>
      </w:divBdr>
    </w:div>
    <w:div w:id="1985163428">
      <w:bodyDiv w:val="1"/>
      <w:marLeft w:val="0"/>
      <w:marRight w:val="0"/>
      <w:marTop w:val="0"/>
      <w:marBottom w:val="0"/>
      <w:divBdr>
        <w:top w:val="none" w:sz="0" w:space="0" w:color="auto"/>
        <w:left w:val="none" w:sz="0" w:space="0" w:color="auto"/>
        <w:bottom w:val="none" w:sz="0" w:space="0" w:color="auto"/>
        <w:right w:val="none" w:sz="0" w:space="0" w:color="auto"/>
      </w:divBdr>
    </w:div>
    <w:div w:id="1991135299">
      <w:bodyDiv w:val="1"/>
      <w:marLeft w:val="0"/>
      <w:marRight w:val="0"/>
      <w:marTop w:val="0"/>
      <w:marBottom w:val="0"/>
      <w:divBdr>
        <w:top w:val="none" w:sz="0" w:space="0" w:color="auto"/>
        <w:left w:val="none" w:sz="0" w:space="0" w:color="auto"/>
        <w:bottom w:val="none" w:sz="0" w:space="0" w:color="auto"/>
        <w:right w:val="none" w:sz="0" w:space="0" w:color="auto"/>
      </w:divBdr>
    </w:div>
    <w:div w:id="2008897990">
      <w:bodyDiv w:val="1"/>
      <w:marLeft w:val="0"/>
      <w:marRight w:val="0"/>
      <w:marTop w:val="0"/>
      <w:marBottom w:val="0"/>
      <w:divBdr>
        <w:top w:val="none" w:sz="0" w:space="0" w:color="auto"/>
        <w:left w:val="none" w:sz="0" w:space="0" w:color="auto"/>
        <w:bottom w:val="none" w:sz="0" w:space="0" w:color="auto"/>
        <w:right w:val="none" w:sz="0" w:space="0" w:color="auto"/>
      </w:divBdr>
    </w:div>
    <w:div w:id="2050493925">
      <w:bodyDiv w:val="1"/>
      <w:marLeft w:val="0"/>
      <w:marRight w:val="0"/>
      <w:marTop w:val="0"/>
      <w:marBottom w:val="0"/>
      <w:divBdr>
        <w:top w:val="none" w:sz="0" w:space="0" w:color="auto"/>
        <w:left w:val="none" w:sz="0" w:space="0" w:color="auto"/>
        <w:bottom w:val="none" w:sz="0" w:space="0" w:color="auto"/>
        <w:right w:val="none" w:sz="0" w:space="0" w:color="auto"/>
      </w:divBdr>
      <w:divsChild>
        <w:div w:id="1135369282">
          <w:marLeft w:val="0"/>
          <w:marRight w:val="0"/>
          <w:marTop w:val="0"/>
          <w:marBottom w:val="0"/>
          <w:divBdr>
            <w:top w:val="none" w:sz="0" w:space="0" w:color="auto"/>
            <w:left w:val="none" w:sz="0" w:space="0" w:color="auto"/>
            <w:bottom w:val="none" w:sz="0" w:space="0" w:color="auto"/>
            <w:right w:val="none" w:sz="0" w:space="0" w:color="auto"/>
          </w:divBdr>
          <w:divsChild>
            <w:div w:id="1206328560">
              <w:marLeft w:val="0"/>
              <w:marRight w:val="0"/>
              <w:marTop w:val="0"/>
              <w:marBottom w:val="0"/>
              <w:divBdr>
                <w:top w:val="none" w:sz="0" w:space="0" w:color="auto"/>
                <w:left w:val="none" w:sz="0" w:space="0" w:color="auto"/>
                <w:bottom w:val="none" w:sz="0" w:space="0" w:color="auto"/>
                <w:right w:val="none" w:sz="0" w:space="0" w:color="auto"/>
              </w:divBdr>
              <w:divsChild>
                <w:div w:id="4797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23880">
      <w:bodyDiv w:val="1"/>
      <w:marLeft w:val="0"/>
      <w:marRight w:val="0"/>
      <w:marTop w:val="0"/>
      <w:marBottom w:val="0"/>
      <w:divBdr>
        <w:top w:val="none" w:sz="0" w:space="0" w:color="auto"/>
        <w:left w:val="none" w:sz="0" w:space="0" w:color="auto"/>
        <w:bottom w:val="none" w:sz="0" w:space="0" w:color="auto"/>
        <w:right w:val="none" w:sz="0" w:space="0" w:color="auto"/>
      </w:divBdr>
    </w:div>
    <w:div w:id="2106923002">
      <w:bodyDiv w:val="1"/>
      <w:marLeft w:val="0"/>
      <w:marRight w:val="0"/>
      <w:marTop w:val="0"/>
      <w:marBottom w:val="0"/>
      <w:divBdr>
        <w:top w:val="none" w:sz="0" w:space="0" w:color="auto"/>
        <w:left w:val="none" w:sz="0" w:space="0" w:color="auto"/>
        <w:bottom w:val="none" w:sz="0" w:space="0" w:color="auto"/>
        <w:right w:val="none" w:sz="0" w:space="0" w:color="auto"/>
      </w:divBdr>
    </w:div>
    <w:div w:id="2139639025">
      <w:bodyDiv w:val="1"/>
      <w:marLeft w:val="0"/>
      <w:marRight w:val="0"/>
      <w:marTop w:val="0"/>
      <w:marBottom w:val="0"/>
      <w:divBdr>
        <w:top w:val="none" w:sz="0" w:space="0" w:color="auto"/>
        <w:left w:val="none" w:sz="0" w:space="0" w:color="auto"/>
        <w:bottom w:val="none" w:sz="0" w:space="0" w:color="auto"/>
        <w:right w:val="none" w:sz="0" w:space="0" w:color="auto"/>
      </w:divBdr>
    </w:div>
    <w:div w:id="2140222963">
      <w:bodyDiv w:val="1"/>
      <w:marLeft w:val="0"/>
      <w:marRight w:val="0"/>
      <w:marTop w:val="0"/>
      <w:marBottom w:val="0"/>
      <w:divBdr>
        <w:top w:val="none" w:sz="0" w:space="0" w:color="auto"/>
        <w:left w:val="none" w:sz="0" w:space="0" w:color="auto"/>
        <w:bottom w:val="none" w:sz="0" w:space="0" w:color="auto"/>
        <w:right w:val="none" w:sz="0" w:space="0" w:color="auto"/>
      </w:divBdr>
      <w:divsChild>
        <w:div w:id="1402171216">
          <w:marLeft w:val="0"/>
          <w:marRight w:val="0"/>
          <w:marTop w:val="0"/>
          <w:marBottom w:val="0"/>
          <w:divBdr>
            <w:top w:val="none" w:sz="0" w:space="0" w:color="auto"/>
            <w:left w:val="none" w:sz="0" w:space="0" w:color="auto"/>
            <w:bottom w:val="none" w:sz="0" w:space="0" w:color="auto"/>
            <w:right w:val="none" w:sz="0" w:space="0" w:color="auto"/>
          </w:divBdr>
          <w:divsChild>
            <w:div w:id="1534272340">
              <w:marLeft w:val="0"/>
              <w:marRight w:val="0"/>
              <w:marTop w:val="0"/>
              <w:marBottom w:val="0"/>
              <w:divBdr>
                <w:top w:val="none" w:sz="0" w:space="0" w:color="auto"/>
                <w:left w:val="none" w:sz="0" w:space="0" w:color="auto"/>
                <w:bottom w:val="none" w:sz="0" w:space="0" w:color="auto"/>
                <w:right w:val="none" w:sz="0" w:space="0" w:color="auto"/>
              </w:divBdr>
              <w:divsChild>
                <w:div w:id="16053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astyle.apa.org/" TargetMode="External"/><Relationship Id="rId18" Type="http://schemas.openxmlformats.org/officeDocument/2006/relationships/hyperlink" Target="https://doi.org/10.1016/j.ijhm.2017.12.007"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kalite.nevsehir.edu.tr/tr/kurum-ici-degerlendirme-raporlari" TargetMode="External"/><Relationship Id="rId7" Type="http://schemas.openxmlformats.org/officeDocument/2006/relationships/footnotes" Target="footnotes.xml"/><Relationship Id="rId12" Type="http://schemas.openxmlformats.org/officeDocument/2006/relationships/hyperlink" Target="https://apastyle.apa.org/" TargetMode="External"/><Relationship Id="rId17" Type="http://schemas.openxmlformats.org/officeDocument/2006/relationships/hyperlink" Target="https://doi.org/10.1111/j.1464-0597.2007.00312.x"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doi.org/" TargetMode="External"/><Relationship Id="rId20" Type="http://schemas.openxmlformats.org/officeDocument/2006/relationships/hyperlink" Target="https://nytimes.com/2021/08/27/us/students-masks-classrooms-britain.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doi.org/10.9707/2307-0919.1014"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wmf"/><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https://creativecommons.org/licenses/by/4.0" TargetMode="External"/><Relationship Id="rId2" Type="http://schemas.openxmlformats.org/officeDocument/2006/relationships/hyperlink" Target="https://creativecommons.org/licenses/by/4.0/deed.tr" TargetMode="External"/><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orcid.org/0000-0000-0000-0000"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al__ma_Sayfas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Sayfa1!$B$1</c:f>
              <c:strCache>
                <c:ptCount val="1"/>
                <c:pt idx="0">
                  <c:v>Seri 1</c:v>
                </c:pt>
              </c:strCache>
            </c:strRef>
          </c:tx>
          <c:spPr>
            <a:solidFill>
              <a:schemeClr val="accent1"/>
            </a:solidFill>
            <a:ln>
              <a:noFill/>
            </a:ln>
            <a:effectLst/>
          </c:spPr>
          <c:invertIfNegative val="0"/>
          <c:cat>
            <c:strRef>
              <c:f>Sayfa1!$A$2:$A$5</c:f>
              <c:strCache>
                <c:ptCount val="4"/>
                <c:pt idx="0">
                  <c:v>Kategori 1</c:v>
                </c:pt>
                <c:pt idx="1">
                  <c:v>Kategori 2</c:v>
                </c:pt>
                <c:pt idx="2">
                  <c:v>Kategori 3</c:v>
                </c:pt>
                <c:pt idx="3">
                  <c:v>Kategori 4</c:v>
                </c:pt>
              </c:strCache>
            </c:strRef>
          </c:cat>
          <c:val>
            <c:numRef>
              <c:f>Sayfa1!$B$2:$B$5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C50-46A5-9E6B-9D1F87764ED0}"/>
            </c:ext>
          </c:extLst>
        </c:ser>
        <c:ser>
          <c:idx val="1"/>
          <c:order val="1"/>
          <c:tx>
            <c:strRef>
              <c:f>Sayfa1!$C$1</c:f>
              <c:strCache>
                <c:ptCount val="1"/>
                <c:pt idx="0">
                  <c:v>Seri 2</c:v>
                </c:pt>
              </c:strCache>
            </c:strRef>
          </c:tx>
          <c:spPr>
            <a:solidFill>
              <a:schemeClr val="accent2"/>
            </a:solidFill>
            <a:ln>
              <a:noFill/>
            </a:ln>
            <a:effectLst/>
          </c:spPr>
          <c:invertIfNegative val="0"/>
          <c:cat>
            <c:strRef>
              <c:f>Sayfa1!$A$2:$A$5</c:f>
              <c:strCache>
                <c:ptCount val="4"/>
                <c:pt idx="0">
                  <c:v>Kategori 1</c:v>
                </c:pt>
                <c:pt idx="1">
                  <c:v>Kategori 2</c:v>
                </c:pt>
                <c:pt idx="2">
                  <c:v>Kategori 3</c:v>
                </c:pt>
                <c:pt idx="3">
                  <c:v>Kategori 4</c:v>
                </c:pt>
              </c:strCache>
            </c:strRef>
          </c:cat>
          <c:val>
            <c:numRef>
              <c:f>Sayfa1!$C$2:$C$5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C50-46A5-9E6B-9D1F87764ED0}"/>
            </c:ext>
          </c:extLst>
        </c:ser>
        <c:ser>
          <c:idx val="2"/>
          <c:order val="2"/>
          <c:tx>
            <c:strRef>
              <c:f>Sayfa1!$D$1</c:f>
              <c:strCache>
                <c:ptCount val="1"/>
                <c:pt idx="0">
                  <c:v>Seri 3</c:v>
                </c:pt>
              </c:strCache>
            </c:strRef>
          </c:tx>
          <c:spPr>
            <a:solidFill>
              <a:schemeClr val="accent3"/>
            </a:solidFill>
            <a:ln>
              <a:noFill/>
            </a:ln>
            <a:effectLst/>
          </c:spPr>
          <c:invertIfNegative val="0"/>
          <c:cat>
            <c:strRef>
              <c:f>Sayfa1!$A$2:$A$5</c:f>
              <c:strCache>
                <c:ptCount val="4"/>
                <c:pt idx="0">
                  <c:v>Kategori 1</c:v>
                </c:pt>
                <c:pt idx="1">
                  <c:v>Kategori 2</c:v>
                </c:pt>
                <c:pt idx="2">
                  <c:v>Kategori 3</c:v>
                </c:pt>
                <c:pt idx="3">
                  <c:v>Kategori 4</c:v>
                </c:pt>
              </c:strCache>
            </c:strRef>
          </c:cat>
          <c:val>
            <c:numRef>
              <c:f>Sayfa1!$D$2:$D$5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C50-46A5-9E6B-9D1F87764ED0}"/>
            </c:ext>
          </c:extLst>
        </c:ser>
        <c:dLbls>
          <c:showLegendKey val="0"/>
          <c:showVal val="0"/>
          <c:showCatName val="0"/>
          <c:showSerName val="0"/>
          <c:showPercent val="0"/>
          <c:showBubbleSize val="0"/>
        </c:dLbls>
        <c:gapWidth val="219"/>
        <c:overlap val="-27"/>
        <c:axId val="1629818591"/>
        <c:axId val="1629817343"/>
      </c:barChart>
      <c:catAx>
        <c:axId val="1629818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29817343"/>
        <c:crosses val="autoZero"/>
        <c:auto val="1"/>
        <c:lblAlgn val="ctr"/>
        <c:lblOffset val="100"/>
        <c:noMultiLvlLbl val="0"/>
      </c:catAx>
      <c:valAx>
        <c:axId val="1629817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29818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no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l"/>
          <w:gallery w:val="placeholder"/>
        </w:category>
        <w:types>
          <w:type w:val="bbPlcHdr"/>
        </w:types>
        <w:behaviors>
          <w:behavior w:val="content"/>
        </w:behaviors>
        <w:guid w:val="{6726680F-F2F5-48A0-994D-0787537392CF}"/>
      </w:docPartPr>
      <w:docPartBody>
        <w:p w:rsidR="000B5A32" w:rsidRDefault="00DF1722">
          <w:r w:rsidRPr="0088524E">
            <w:rPr>
              <w:rStyle w:val="YerTutucuMetni"/>
            </w:rPr>
            <w:t>Bir öğe seçin.</w:t>
          </w:r>
        </w:p>
      </w:docPartBody>
    </w:docPart>
    <w:docPart>
      <w:docPartPr>
        <w:name w:val="A3325D6B339641008D37855D32E9516D"/>
        <w:category>
          <w:name w:val="Genel"/>
          <w:gallery w:val="placeholder"/>
        </w:category>
        <w:types>
          <w:type w:val="bbPlcHdr"/>
        </w:types>
        <w:behaviors>
          <w:behavior w:val="content"/>
        </w:behaviors>
        <w:guid w:val="{408F8B64-11B3-4852-BEF3-8DF96993FF08}"/>
      </w:docPartPr>
      <w:docPartBody>
        <w:p w:rsidR="000B5A32" w:rsidRDefault="00DF1722" w:rsidP="00DF1722">
          <w:pPr>
            <w:pStyle w:val="A3325D6B339641008D37855D32E9516D"/>
          </w:pPr>
          <w:r>
            <w:t>[Yazar Adı]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Garamond">
    <w:panose1 w:val="02020404030301010803"/>
    <w:charset w:val="A2"/>
    <w:family w:val="roman"/>
    <w:pitch w:val="variable"/>
    <w:sig w:usb0="00000287" w:usb1="00000002" w:usb2="00000000" w:usb3="00000000" w:csb0="0000009F" w:csb1="00000000"/>
  </w:font>
  <w:font w:name="Calibri Light">
    <w:panose1 w:val="020F0302020204030204"/>
    <w:charset w:val="A2"/>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Poppins">
    <w:altName w:val="Times New Roman"/>
    <w:panose1 w:val="00000500000000000000"/>
    <w:charset w:val="A2"/>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722"/>
    <w:rsid w:val="000B5A32"/>
    <w:rsid w:val="000C5403"/>
    <w:rsid w:val="002A397B"/>
    <w:rsid w:val="002F1FDB"/>
    <w:rsid w:val="003D4E69"/>
    <w:rsid w:val="00466F74"/>
    <w:rsid w:val="004E6F03"/>
    <w:rsid w:val="005310DB"/>
    <w:rsid w:val="005D1FF4"/>
    <w:rsid w:val="006078A5"/>
    <w:rsid w:val="00662F21"/>
    <w:rsid w:val="006C14E4"/>
    <w:rsid w:val="00893289"/>
    <w:rsid w:val="008C57BA"/>
    <w:rsid w:val="00B242F7"/>
    <w:rsid w:val="00B73BB8"/>
    <w:rsid w:val="00BA401A"/>
    <w:rsid w:val="00C30877"/>
    <w:rsid w:val="00C91CEA"/>
    <w:rsid w:val="00CA0FD1"/>
    <w:rsid w:val="00D318E7"/>
    <w:rsid w:val="00D60445"/>
    <w:rsid w:val="00DF1722"/>
    <w:rsid w:val="00DF5BC7"/>
    <w:rsid w:val="00E6002F"/>
    <w:rsid w:val="00E72090"/>
    <w:rsid w:val="00EC05E6"/>
    <w:rsid w:val="00F00C62"/>
    <w:rsid w:val="00F10C26"/>
    <w:rsid w:val="00FA4B66"/>
    <w:rsid w:val="00FE51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DF1722"/>
    <w:rPr>
      <w:color w:val="808080"/>
    </w:rPr>
  </w:style>
  <w:style w:type="paragraph" w:customStyle="1" w:styleId="A3325D6B339641008D37855D32E9516D">
    <w:name w:val="A3325D6B339641008D37855D32E9516D"/>
    <w:rsid w:val="00DF17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AAAD5F-2F48-497F-A8AC-2BFFB340A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14</Pages>
  <Words>8116</Words>
  <Characters>46267</Characters>
  <Application>Microsoft Office Word</Application>
  <DocSecurity>0</DocSecurity>
  <Lines>385</Lines>
  <Paragraphs>108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Turizm Araştırmaları Dergisi 2025, 4(2): 87-99</vt:lpstr>
      <vt:lpstr/>
    </vt:vector>
  </TitlesOfParts>
  <Company/>
  <LinksUpToDate>false</LinksUpToDate>
  <CharactersWithSpaces>54275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Turizm Araştırmaları Dergisi 2025, 4(2): 87-99</dc:title>
  <dc:subject/>
  <dc:creator>Dergi Adı, Cilt (Sayı): Sayfa Aralığı</dc:creator>
  <cp:keywords/>
  <dc:description/>
  <cp:lastModifiedBy>Mehmet Fatih TAN</cp:lastModifiedBy>
  <cp:revision>242</cp:revision>
  <cp:lastPrinted>2026-04-28T08:51:00Z</cp:lastPrinted>
  <dcterms:created xsi:type="dcterms:W3CDTF">2023-01-06T17:16:00Z</dcterms:created>
  <dcterms:modified xsi:type="dcterms:W3CDTF">2026-05-06T07:23:00Z</dcterms:modified>
</cp:coreProperties>
</file>