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15440" w14:textId="5A100292" w:rsidR="003657F5" w:rsidRPr="003657F5" w:rsidRDefault="00D8246A" w:rsidP="003657F5">
      <w:pPr>
        <w:adjustRightInd w:val="0"/>
        <w:snapToGrid w:val="0"/>
        <w:spacing w:beforeLines="20" w:before="62" w:afterLines="20" w:after="62" w:line="336"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“政慧通”智能政务助手的</w:t>
      </w:r>
      <w:r w:rsidR="003657F5" w:rsidRPr="003657F5">
        <w:rPr>
          <w:rFonts w:ascii="Times New Roman" w:eastAsia="宋体" w:hAnsi="Times New Roman" w:cs="Times New Roman"/>
          <w:sz w:val="24"/>
        </w:rPr>
        <w:t>语料库数据</w:t>
      </w:r>
      <w:r>
        <w:rPr>
          <w:rFonts w:ascii="Times New Roman" w:eastAsia="宋体" w:hAnsi="Times New Roman" w:cs="Times New Roman" w:hint="eastAsia"/>
          <w:sz w:val="24"/>
        </w:rPr>
        <w:t>，</w:t>
      </w:r>
      <w:r w:rsidR="003657F5" w:rsidRPr="003657F5">
        <w:rPr>
          <w:rFonts w:ascii="Times New Roman" w:eastAsia="宋体" w:hAnsi="Times New Roman" w:cs="Times New Roman"/>
          <w:sz w:val="24"/>
          <w:szCs w:val="24"/>
        </w:rPr>
        <w:t>包含超过</w:t>
      </w:r>
      <w:r w:rsidR="003657F5" w:rsidRPr="003657F5">
        <w:rPr>
          <w:rFonts w:ascii="Times New Roman" w:eastAsia="宋体" w:hAnsi="Times New Roman" w:cs="Times New Roman"/>
          <w:sz w:val="24"/>
          <w:szCs w:val="24"/>
        </w:rPr>
        <w:t>20</w:t>
      </w:r>
      <w:r w:rsidR="003657F5" w:rsidRPr="003657F5">
        <w:rPr>
          <w:rFonts w:ascii="Times New Roman" w:eastAsia="宋体" w:hAnsi="Times New Roman" w:cs="Times New Roman"/>
          <w:sz w:val="24"/>
          <w:szCs w:val="24"/>
        </w:rPr>
        <w:t>万条数据记录</w:t>
      </w:r>
      <w:r w:rsidR="003657F5" w:rsidRPr="003657F5">
        <w:rPr>
          <w:rFonts w:ascii="Times New Roman" w:eastAsia="宋体" w:hAnsi="Times New Roman" w:cs="Times New Roman"/>
          <w:sz w:val="24"/>
        </w:rPr>
        <w:t>，来源广泛，涵盖国家级、省级和市级等各层级政务信息，包括最新政策文件、法规、公告、办事指南以及用户反馈和互动记录。</w:t>
      </w:r>
      <w:r w:rsidR="003657F5" w:rsidRPr="003657F5">
        <w:rPr>
          <w:rFonts w:ascii="Times New Roman" w:eastAsia="宋体" w:hAnsi="Times New Roman" w:cs="Times New Roman"/>
          <w:sz w:val="24"/>
          <w:szCs w:val="24"/>
        </w:rPr>
        <w:t>其中，国家级数据约占</w:t>
      </w:r>
      <w:r w:rsidR="003657F5" w:rsidRPr="003657F5">
        <w:rPr>
          <w:rFonts w:ascii="Times New Roman" w:eastAsia="宋体" w:hAnsi="Times New Roman" w:cs="Times New Roman"/>
          <w:sz w:val="24"/>
          <w:szCs w:val="24"/>
        </w:rPr>
        <w:t>20%</w:t>
      </w:r>
      <w:r w:rsidR="003657F5" w:rsidRPr="003657F5">
        <w:rPr>
          <w:rFonts w:ascii="Times New Roman" w:eastAsia="宋体" w:hAnsi="Times New Roman" w:cs="Times New Roman"/>
          <w:sz w:val="24"/>
          <w:szCs w:val="24"/>
        </w:rPr>
        <w:t>，约</w:t>
      </w:r>
      <w:r w:rsidR="003657F5" w:rsidRPr="003657F5">
        <w:rPr>
          <w:rFonts w:ascii="Times New Roman" w:eastAsia="宋体" w:hAnsi="Times New Roman" w:cs="Times New Roman"/>
          <w:sz w:val="24"/>
          <w:szCs w:val="24"/>
        </w:rPr>
        <w:t>40,000</w:t>
      </w:r>
      <w:r w:rsidR="003657F5" w:rsidRPr="003657F5">
        <w:rPr>
          <w:rFonts w:ascii="Times New Roman" w:eastAsia="宋体" w:hAnsi="Times New Roman" w:cs="Times New Roman"/>
          <w:sz w:val="24"/>
          <w:szCs w:val="24"/>
        </w:rPr>
        <w:t>条；省级数据约占</w:t>
      </w:r>
      <w:r w:rsidR="003657F5" w:rsidRPr="003657F5">
        <w:rPr>
          <w:rFonts w:ascii="Times New Roman" w:eastAsia="宋体" w:hAnsi="Times New Roman" w:cs="Times New Roman"/>
          <w:sz w:val="24"/>
          <w:szCs w:val="24"/>
        </w:rPr>
        <w:t>35%</w:t>
      </w:r>
      <w:r w:rsidR="003657F5" w:rsidRPr="003657F5">
        <w:rPr>
          <w:rFonts w:ascii="Times New Roman" w:eastAsia="宋体" w:hAnsi="Times New Roman" w:cs="Times New Roman"/>
          <w:sz w:val="24"/>
          <w:szCs w:val="24"/>
        </w:rPr>
        <w:t>，约</w:t>
      </w:r>
      <w:r w:rsidR="003657F5" w:rsidRPr="003657F5">
        <w:rPr>
          <w:rFonts w:ascii="Times New Roman" w:eastAsia="宋体" w:hAnsi="Times New Roman" w:cs="Times New Roman"/>
          <w:sz w:val="24"/>
          <w:szCs w:val="24"/>
        </w:rPr>
        <w:t>70,000</w:t>
      </w:r>
      <w:r w:rsidR="003657F5" w:rsidRPr="003657F5">
        <w:rPr>
          <w:rFonts w:ascii="Times New Roman" w:eastAsia="宋体" w:hAnsi="Times New Roman" w:cs="Times New Roman"/>
          <w:sz w:val="24"/>
          <w:szCs w:val="24"/>
        </w:rPr>
        <w:t>条；市级和地方数据约占</w:t>
      </w:r>
      <w:r w:rsidR="003657F5" w:rsidRPr="003657F5">
        <w:rPr>
          <w:rFonts w:ascii="Times New Roman" w:eastAsia="宋体" w:hAnsi="Times New Roman" w:cs="Times New Roman"/>
          <w:sz w:val="24"/>
          <w:szCs w:val="24"/>
        </w:rPr>
        <w:t>45%</w:t>
      </w:r>
      <w:r w:rsidR="003657F5" w:rsidRPr="003657F5">
        <w:rPr>
          <w:rFonts w:ascii="Times New Roman" w:eastAsia="宋体" w:hAnsi="Times New Roman" w:cs="Times New Roman"/>
          <w:sz w:val="24"/>
          <w:szCs w:val="24"/>
        </w:rPr>
        <w:t>，约</w:t>
      </w:r>
      <w:r w:rsidR="003657F5" w:rsidRPr="003657F5">
        <w:rPr>
          <w:rFonts w:ascii="Times New Roman" w:eastAsia="宋体" w:hAnsi="Times New Roman" w:cs="Times New Roman"/>
          <w:sz w:val="24"/>
          <w:szCs w:val="24"/>
        </w:rPr>
        <w:t>90,000</w:t>
      </w:r>
      <w:r w:rsidR="003657F5" w:rsidRPr="003657F5">
        <w:rPr>
          <w:rFonts w:ascii="Times New Roman" w:eastAsia="宋体" w:hAnsi="Times New Roman" w:cs="Times New Roman"/>
          <w:sz w:val="24"/>
          <w:szCs w:val="24"/>
        </w:rPr>
        <w:t>条；此外，还整合了超过</w:t>
      </w:r>
      <w:r w:rsidR="003657F5" w:rsidRPr="003657F5">
        <w:rPr>
          <w:rFonts w:ascii="Times New Roman" w:eastAsia="宋体" w:hAnsi="Times New Roman" w:cs="Times New Roman"/>
          <w:sz w:val="24"/>
          <w:szCs w:val="24"/>
        </w:rPr>
        <w:t>20,000</w:t>
      </w:r>
      <w:r w:rsidR="003657F5" w:rsidRPr="003657F5">
        <w:rPr>
          <w:rFonts w:ascii="Times New Roman" w:eastAsia="宋体" w:hAnsi="Times New Roman" w:cs="Times New Roman"/>
          <w:sz w:val="24"/>
          <w:szCs w:val="24"/>
        </w:rPr>
        <w:t>条用户互动记录。</w:t>
      </w:r>
    </w:p>
    <w:p w14:paraId="4989D94A" w14:textId="28B9BE7B" w:rsidR="003657F5" w:rsidRPr="003657F5" w:rsidRDefault="003657F5" w:rsidP="003657F5">
      <w:pPr>
        <w:adjustRightInd w:val="0"/>
        <w:snapToGrid w:val="0"/>
        <w:spacing w:beforeLines="20" w:before="62" w:afterLines="20" w:after="62" w:line="336" w:lineRule="auto"/>
        <w:ind w:firstLineChars="200" w:firstLine="480"/>
        <w:rPr>
          <w:rFonts w:ascii="Times New Roman" w:eastAsia="宋体" w:hAnsi="Times New Roman" w:cs="Times New Roman"/>
          <w:sz w:val="24"/>
          <w:szCs w:val="24"/>
          <w:highlight w:val="yellow"/>
        </w:rPr>
      </w:pPr>
      <w:r w:rsidRPr="003657F5">
        <w:rPr>
          <w:rFonts w:ascii="Times New Roman" w:eastAsia="宋体" w:hAnsi="Times New Roman" w:cs="Times New Roman"/>
          <w:sz w:val="24"/>
        </w:rPr>
        <w:t>样例数据</w:t>
      </w:r>
      <w:r w:rsidRPr="003657F5">
        <w:rPr>
          <w:rFonts w:ascii="Times New Roman" w:eastAsia="宋体" w:hAnsi="Times New Roman" w:cs="Times New Roman" w:hint="eastAsia"/>
          <w:sz w:val="24"/>
        </w:rPr>
        <w:t>（见表</w:t>
      </w:r>
      <w:r>
        <w:rPr>
          <w:rFonts w:ascii="Times New Roman" w:eastAsia="宋体" w:hAnsi="Times New Roman" w:cs="Times New Roman" w:hint="eastAsia"/>
          <w:sz w:val="24"/>
        </w:rPr>
        <w:t>1</w:t>
      </w:r>
      <w:r w:rsidRPr="003657F5">
        <w:rPr>
          <w:rFonts w:ascii="Times New Roman" w:eastAsia="宋体" w:hAnsi="Times New Roman" w:cs="Times New Roman" w:hint="eastAsia"/>
          <w:sz w:val="24"/>
        </w:rPr>
        <w:t>、表</w:t>
      </w:r>
      <w:r w:rsidRPr="003657F5">
        <w:rPr>
          <w:rFonts w:ascii="Times New Roman" w:eastAsia="宋体" w:hAnsi="Times New Roman" w:cs="Times New Roman" w:hint="eastAsia"/>
          <w:sz w:val="24"/>
        </w:rPr>
        <w:t>2</w:t>
      </w:r>
      <w:r w:rsidRPr="003657F5">
        <w:rPr>
          <w:rFonts w:ascii="Times New Roman" w:eastAsia="宋体" w:hAnsi="Times New Roman" w:cs="Times New Roman" w:hint="eastAsia"/>
          <w:sz w:val="24"/>
        </w:rPr>
        <w:t>、表</w:t>
      </w:r>
      <w:r>
        <w:rPr>
          <w:rFonts w:ascii="Times New Roman" w:eastAsia="宋体" w:hAnsi="Times New Roman" w:cs="Times New Roman" w:hint="eastAsia"/>
          <w:sz w:val="24"/>
        </w:rPr>
        <w:t>3</w:t>
      </w:r>
      <w:r w:rsidRPr="003657F5">
        <w:rPr>
          <w:rFonts w:ascii="Times New Roman" w:eastAsia="宋体" w:hAnsi="Times New Roman" w:cs="Times New Roman" w:hint="eastAsia"/>
          <w:sz w:val="24"/>
        </w:rPr>
        <w:t>）</w:t>
      </w:r>
      <w:r w:rsidRPr="003657F5">
        <w:rPr>
          <w:rFonts w:ascii="Times New Roman" w:eastAsia="宋体" w:hAnsi="Times New Roman" w:cs="Times New Roman"/>
          <w:sz w:val="24"/>
        </w:rPr>
        <w:t>：</w:t>
      </w:r>
    </w:p>
    <w:p w14:paraId="4861D502" w14:textId="721A5A82" w:rsidR="003657F5" w:rsidRPr="003657F5" w:rsidRDefault="003657F5" w:rsidP="003657F5">
      <w:pPr>
        <w:kinsoku w:val="0"/>
        <w:overflowPunct w:val="0"/>
        <w:autoSpaceDE w:val="0"/>
        <w:autoSpaceDN w:val="0"/>
        <w:adjustRightInd w:val="0"/>
        <w:snapToGrid w:val="0"/>
        <w:spacing w:beforeLines="30" w:before="93" w:afterLines="30" w:after="93" w:line="360" w:lineRule="auto"/>
        <w:ind w:firstLine="480"/>
        <w:jc w:val="center"/>
        <w:rPr>
          <w:rFonts w:ascii="Times New Roman" w:eastAsia="宋体" w:hAnsi="Times New Roman" w:cs="Times New Roman"/>
          <w:sz w:val="24"/>
        </w:rPr>
      </w:pPr>
      <w:r w:rsidRPr="003657F5">
        <w:rPr>
          <w:rFonts w:ascii="Times New Roman" w:eastAsia="宋体" w:hAnsi="Times New Roman" w:cs="Times New Roman"/>
          <w:sz w:val="24"/>
        </w:rPr>
        <w:t>表</w:t>
      </w:r>
      <w:r>
        <w:rPr>
          <w:rFonts w:ascii="Times New Roman" w:eastAsia="宋体" w:hAnsi="Times New Roman" w:cs="Times New Roman" w:hint="eastAsia"/>
          <w:sz w:val="24"/>
        </w:rPr>
        <w:t>1</w:t>
      </w:r>
      <w:r w:rsidRPr="003657F5">
        <w:rPr>
          <w:rFonts w:ascii="Times New Roman" w:eastAsia="宋体" w:hAnsi="Times New Roman" w:cs="Times New Roman"/>
          <w:sz w:val="24"/>
        </w:rPr>
        <w:t xml:space="preserve"> </w:t>
      </w:r>
      <w:r w:rsidRPr="003657F5">
        <w:rPr>
          <w:rFonts w:ascii="Times New Roman" w:eastAsia="宋体" w:hAnsi="Times New Roman" w:cs="Times New Roman"/>
          <w:sz w:val="24"/>
        </w:rPr>
        <w:t>法律法规类数据</w:t>
      </w:r>
    </w:p>
    <w:tbl>
      <w:tblPr>
        <w:tblStyle w:val="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3319"/>
      </w:tblGrid>
      <w:tr w:rsidR="003657F5" w:rsidRPr="003657F5" w14:paraId="29959815" w14:textId="77777777" w:rsidTr="002A48FF">
        <w:trPr>
          <w:jc w:val="center"/>
        </w:trPr>
        <w:tc>
          <w:tcPr>
            <w:tcW w:w="1659" w:type="dxa"/>
            <w:tcBorders>
              <w:top w:val="single" w:sz="12" w:space="0" w:color="auto"/>
              <w:bottom w:val="single" w:sz="6" w:space="0" w:color="auto"/>
              <w:right w:val="single" w:sz="6" w:space="0" w:color="auto"/>
            </w:tcBorders>
            <w:vAlign w:val="center"/>
          </w:tcPr>
          <w:p w14:paraId="6C35817E"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法规名称</w:t>
            </w:r>
          </w:p>
        </w:tc>
        <w:tc>
          <w:tcPr>
            <w:tcW w:w="1659" w:type="dxa"/>
            <w:tcBorders>
              <w:top w:val="single" w:sz="12" w:space="0" w:color="auto"/>
              <w:left w:val="single" w:sz="6" w:space="0" w:color="auto"/>
              <w:bottom w:val="single" w:sz="6" w:space="0" w:color="auto"/>
            </w:tcBorders>
            <w:vAlign w:val="center"/>
          </w:tcPr>
          <w:p w14:paraId="5BB5C1D2"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颁布日期</w:t>
            </w:r>
          </w:p>
        </w:tc>
        <w:tc>
          <w:tcPr>
            <w:tcW w:w="1659" w:type="dxa"/>
            <w:tcBorders>
              <w:top w:val="single" w:sz="12" w:space="0" w:color="auto"/>
              <w:bottom w:val="single" w:sz="6" w:space="0" w:color="auto"/>
            </w:tcBorders>
            <w:vAlign w:val="center"/>
          </w:tcPr>
          <w:p w14:paraId="66D989A7"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适用范围</w:t>
            </w:r>
          </w:p>
        </w:tc>
        <w:tc>
          <w:tcPr>
            <w:tcW w:w="3319" w:type="dxa"/>
            <w:tcBorders>
              <w:top w:val="single" w:sz="12" w:space="0" w:color="auto"/>
              <w:bottom w:val="single" w:sz="6" w:space="0" w:color="auto"/>
            </w:tcBorders>
            <w:vAlign w:val="center"/>
          </w:tcPr>
          <w:p w14:paraId="4282A8E1"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部分内容</w:t>
            </w:r>
          </w:p>
        </w:tc>
      </w:tr>
      <w:tr w:rsidR="003657F5" w:rsidRPr="003657F5" w14:paraId="768502C7" w14:textId="77777777" w:rsidTr="002A48FF">
        <w:trPr>
          <w:jc w:val="center"/>
        </w:trPr>
        <w:tc>
          <w:tcPr>
            <w:tcW w:w="1659" w:type="dxa"/>
            <w:tcBorders>
              <w:top w:val="single" w:sz="6" w:space="0" w:color="auto"/>
              <w:right w:val="single" w:sz="6" w:space="0" w:color="auto"/>
            </w:tcBorders>
            <w:vAlign w:val="center"/>
          </w:tcPr>
          <w:p w14:paraId="6AF81706"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《中华人民共和国劳动法》</w:t>
            </w:r>
          </w:p>
        </w:tc>
        <w:tc>
          <w:tcPr>
            <w:tcW w:w="1659" w:type="dxa"/>
            <w:tcBorders>
              <w:top w:val="single" w:sz="6" w:space="0" w:color="auto"/>
              <w:left w:val="single" w:sz="6" w:space="0" w:color="auto"/>
            </w:tcBorders>
            <w:vAlign w:val="center"/>
          </w:tcPr>
          <w:p w14:paraId="4A982043"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1994-07-05</w:t>
            </w:r>
          </w:p>
        </w:tc>
        <w:tc>
          <w:tcPr>
            <w:tcW w:w="1659" w:type="dxa"/>
            <w:tcBorders>
              <w:top w:val="single" w:sz="6" w:space="0" w:color="auto"/>
            </w:tcBorders>
            <w:vAlign w:val="center"/>
          </w:tcPr>
          <w:p w14:paraId="491A9783"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全国适用</w:t>
            </w:r>
          </w:p>
        </w:tc>
        <w:tc>
          <w:tcPr>
            <w:tcW w:w="3319" w:type="dxa"/>
            <w:tcBorders>
              <w:top w:val="single" w:sz="6" w:space="0" w:color="auto"/>
            </w:tcBorders>
            <w:vAlign w:val="center"/>
          </w:tcPr>
          <w:p w14:paraId="1C334905"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国家采取各种措施，促进劳动就业，发展职业教育，制定劳动标准，调节社会收入，完善社会保险，协调劳动关系，逐步提高劳动者的生活水平。</w:t>
            </w:r>
          </w:p>
        </w:tc>
      </w:tr>
      <w:tr w:rsidR="003657F5" w:rsidRPr="003657F5" w14:paraId="294C1DC0" w14:textId="77777777" w:rsidTr="002A48FF">
        <w:trPr>
          <w:trHeight w:val="1130"/>
          <w:jc w:val="center"/>
        </w:trPr>
        <w:tc>
          <w:tcPr>
            <w:tcW w:w="1659" w:type="dxa"/>
            <w:tcBorders>
              <w:right w:val="single" w:sz="6" w:space="0" w:color="auto"/>
            </w:tcBorders>
            <w:vAlign w:val="center"/>
          </w:tcPr>
          <w:p w14:paraId="67C894CF"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《中华人民共和国环境保护法》</w:t>
            </w:r>
          </w:p>
        </w:tc>
        <w:tc>
          <w:tcPr>
            <w:tcW w:w="1659" w:type="dxa"/>
            <w:tcBorders>
              <w:left w:val="single" w:sz="6" w:space="0" w:color="auto"/>
            </w:tcBorders>
            <w:vAlign w:val="center"/>
          </w:tcPr>
          <w:p w14:paraId="1501C79B"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2014-04-24</w:t>
            </w:r>
          </w:p>
        </w:tc>
        <w:tc>
          <w:tcPr>
            <w:tcW w:w="1659" w:type="dxa"/>
            <w:vAlign w:val="center"/>
          </w:tcPr>
          <w:p w14:paraId="00534933"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全国适用</w:t>
            </w:r>
          </w:p>
        </w:tc>
        <w:tc>
          <w:tcPr>
            <w:tcW w:w="3319" w:type="dxa"/>
            <w:vAlign w:val="center"/>
          </w:tcPr>
          <w:p w14:paraId="162BCC5F"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国家支持环境保护科学技术研究、开发和应用，鼓励环境保护产业发展，促进环境保护信息化建设，提高环境保护科学技术水平。</w:t>
            </w:r>
          </w:p>
        </w:tc>
      </w:tr>
      <w:tr w:rsidR="003657F5" w:rsidRPr="003657F5" w14:paraId="32FF302F" w14:textId="77777777" w:rsidTr="002A48FF">
        <w:trPr>
          <w:jc w:val="center"/>
        </w:trPr>
        <w:tc>
          <w:tcPr>
            <w:tcW w:w="1659" w:type="dxa"/>
            <w:tcBorders>
              <w:bottom w:val="single" w:sz="12" w:space="0" w:color="auto"/>
              <w:right w:val="single" w:sz="6" w:space="0" w:color="auto"/>
            </w:tcBorders>
            <w:vAlign w:val="center"/>
          </w:tcPr>
          <w:p w14:paraId="681E0A4C"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《退役军人安置条例》</w:t>
            </w:r>
          </w:p>
        </w:tc>
        <w:tc>
          <w:tcPr>
            <w:tcW w:w="1659" w:type="dxa"/>
            <w:tcBorders>
              <w:left w:val="single" w:sz="6" w:space="0" w:color="auto"/>
              <w:bottom w:val="single" w:sz="12" w:space="0" w:color="auto"/>
            </w:tcBorders>
            <w:vAlign w:val="center"/>
          </w:tcPr>
          <w:p w14:paraId="637DF6D3"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2024-09-01</w:t>
            </w:r>
          </w:p>
        </w:tc>
        <w:tc>
          <w:tcPr>
            <w:tcW w:w="1659" w:type="dxa"/>
            <w:tcBorders>
              <w:bottom w:val="single" w:sz="12" w:space="0" w:color="auto"/>
            </w:tcBorders>
            <w:vAlign w:val="center"/>
          </w:tcPr>
          <w:p w14:paraId="7272E819"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全国适用</w:t>
            </w:r>
          </w:p>
        </w:tc>
        <w:tc>
          <w:tcPr>
            <w:tcW w:w="3319" w:type="dxa"/>
            <w:tcBorders>
              <w:bottom w:val="single" w:sz="12" w:space="0" w:color="auto"/>
            </w:tcBorders>
            <w:vAlign w:val="center"/>
          </w:tcPr>
          <w:p w14:paraId="3D3EF30E"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退役军人为国防和军队建设做出了重要贡献，是社会主义现代化建设的重要力量。国家关心、优待退役军人，保障退役军人依法享有相应的权益。全社会应当尊重、优待退役军人，支持退役军人安置工作。</w:t>
            </w:r>
          </w:p>
        </w:tc>
      </w:tr>
    </w:tbl>
    <w:p w14:paraId="02E85B96" w14:textId="77777777" w:rsidR="003657F5" w:rsidRPr="003657F5" w:rsidRDefault="003657F5" w:rsidP="003657F5">
      <w:pPr>
        <w:adjustRightInd w:val="0"/>
        <w:snapToGrid w:val="0"/>
        <w:spacing w:beforeLines="20" w:before="62" w:afterLines="20" w:after="62" w:line="336" w:lineRule="auto"/>
        <w:ind w:firstLineChars="200" w:firstLine="480"/>
        <w:rPr>
          <w:rFonts w:ascii="Times New Roman" w:eastAsia="宋体" w:hAnsi="Times New Roman" w:cs="Times New Roman"/>
          <w:sz w:val="24"/>
          <w:szCs w:val="24"/>
        </w:rPr>
      </w:pPr>
    </w:p>
    <w:p w14:paraId="270E3B2C" w14:textId="793A8789" w:rsidR="003657F5" w:rsidRPr="003657F5" w:rsidRDefault="003657F5" w:rsidP="003657F5">
      <w:pPr>
        <w:kinsoku w:val="0"/>
        <w:overflowPunct w:val="0"/>
        <w:autoSpaceDE w:val="0"/>
        <w:autoSpaceDN w:val="0"/>
        <w:adjustRightInd w:val="0"/>
        <w:snapToGrid w:val="0"/>
        <w:spacing w:beforeLines="30" w:before="93" w:afterLines="30" w:after="93" w:line="360" w:lineRule="auto"/>
        <w:ind w:firstLine="480"/>
        <w:jc w:val="center"/>
        <w:rPr>
          <w:rFonts w:ascii="Times New Roman" w:eastAsia="宋体" w:hAnsi="Times New Roman" w:cs="Times New Roman"/>
          <w:sz w:val="24"/>
        </w:rPr>
      </w:pPr>
      <w:r w:rsidRPr="003657F5">
        <w:rPr>
          <w:rFonts w:ascii="Times New Roman" w:eastAsia="宋体" w:hAnsi="Times New Roman" w:cs="Times New Roman"/>
          <w:sz w:val="24"/>
        </w:rPr>
        <w:t>表</w:t>
      </w:r>
      <w:r>
        <w:rPr>
          <w:rFonts w:ascii="Times New Roman" w:eastAsia="宋体" w:hAnsi="Times New Roman" w:cs="Times New Roman" w:hint="eastAsia"/>
          <w:sz w:val="24"/>
        </w:rPr>
        <w:t>2</w:t>
      </w:r>
      <w:r w:rsidRPr="003657F5">
        <w:rPr>
          <w:rFonts w:ascii="Times New Roman" w:eastAsia="宋体" w:hAnsi="Times New Roman" w:cs="Times New Roman"/>
          <w:sz w:val="24"/>
        </w:rPr>
        <w:t xml:space="preserve"> </w:t>
      </w:r>
      <w:r w:rsidRPr="003657F5">
        <w:rPr>
          <w:rFonts w:ascii="Times New Roman" w:eastAsia="宋体" w:hAnsi="Times New Roman" w:cs="Times New Roman"/>
          <w:sz w:val="24"/>
        </w:rPr>
        <w:t>办事指南类数据</w:t>
      </w:r>
    </w:p>
    <w:tbl>
      <w:tblPr>
        <w:tblStyle w:val="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3319"/>
      </w:tblGrid>
      <w:tr w:rsidR="003657F5" w:rsidRPr="003657F5" w14:paraId="0DCE7A8F" w14:textId="77777777" w:rsidTr="002A48FF">
        <w:trPr>
          <w:jc w:val="center"/>
        </w:trPr>
        <w:tc>
          <w:tcPr>
            <w:tcW w:w="1659" w:type="dxa"/>
            <w:tcBorders>
              <w:top w:val="single" w:sz="12" w:space="0" w:color="auto"/>
              <w:bottom w:val="single" w:sz="6" w:space="0" w:color="auto"/>
              <w:right w:val="single" w:sz="6" w:space="0" w:color="auto"/>
            </w:tcBorders>
            <w:vAlign w:val="center"/>
          </w:tcPr>
          <w:p w14:paraId="6800CADF"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指南名称</w:t>
            </w:r>
          </w:p>
        </w:tc>
        <w:tc>
          <w:tcPr>
            <w:tcW w:w="1659" w:type="dxa"/>
            <w:tcBorders>
              <w:top w:val="single" w:sz="12" w:space="0" w:color="auto"/>
              <w:left w:val="single" w:sz="6" w:space="0" w:color="auto"/>
              <w:bottom w:val="single" w:sz="6" w:space="0" w:color="auto"/>
            </w:tcBorders>
            <w:vAlign w:val="center"/>
          </w:tcPr>
          <w:p w14:paraId="0173AD39"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使用业务</w:t>
            </w:r>
          </w:p>
        </w:tc>
        <w:tc>
          <w:tcPr>
            <w:tcW w:w="1659" w:type="dxa"/>
            <w:tcBorders>
              <w:top w:val="single" w:sz="12" w:space="0" w:color="auto"/>
              <w:bottom w:val="single" w:sz="6" w:space="0" w:color="auto"/>
            </w:tcBorders>
            <w:vAlign w:val="center"/>
          </w:tcPr>
          <w:p w14:paraId="4DC91FE0"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发布时间</w:t>
            </w:r>
          </w:p>
        </w:tc>
        <w:tc>
          <w:tcPr>
            <w:tcW w:w="3319" w:type="dxa"/>
            <w:tcBorders>
              <w:top w:val="single" w:sz="12" w:space="0" w:color="auto"/>
              <w:bottom w:val="single" w:sz="6" w:space="0" w:color="auto"/>
            </w:tcBorders>
            <w:vAlign w:val="center"/>
          </w:tcPr>
          <w:p w14:paraId="37D8A8BF"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主要流程</w:t>
            </w:r>
          </w:p>
        </w:tc>
      </w:tr>
      <w:tr w:rsidR="003657F5" w:rsidRPr="003657F5" w14:paraId="5EE7F929" w14:textId="77777777" w:rsidTr="002A48FF">
        <w:trPr>
          <w:jc w:val="center"/>
        </w:trPr>
        <w:tc>
          <w:tcPr>
            <w:tcW w:w="1659" w:type="dxa"/>
            <w:tcBorders>
              <w:top w:val="single" w:sz="6" w:space="0" w:color="auto"/>
              <w:right w:val="single" w:sz="6" w:space="0" w:color="auto"/>
            </w:tcBorders>
            <w:vAlign w:val="center"/>
          </w:tcPr>
          <w:p w14:paraId="45408B41"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国家工商总局企业登记网上注册申请操作指引</w:t>
            </w:r>
          </w:p>
          <w:p w14:paraId="582B0525"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p>
        </w:tc>
        <w:tc>
          <w:tcPr>
            <w:tcW w:w="1659" w:type="dxa"/>
            <w:tcBorders>
              <w:top w:val="single" w:sz="6" w:space="0" w:color="auto"/>
              <w:left w:val="single" w:sz="6" w:space="0" w:color="auto"/>
            </w:tcBorders>
            <w:vAlign w:val="center"/>
          </w:tcPr>
          <w:p w14:paraId="05712FB1"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企业注册</w:t>
            </w:r>
          </w:p>
        </w:tc>
        <w:tc>
          <w:tcPr>
            <w:tcW w:w="1659" w:type="dxa"/>
            <w:tcBorders>
              <w:top w:val="single" w:sz="6" w:space="0" w:color="auto"/>
            </w:tcBorders>
            <w:vAlign w:val="center"/>
          </w:tcPr>
          <w:p w14:paraId="623F4535"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2014-08-29 </w:t>
            </w:r>
          </w:p>
        </w:tc>
        <w:tc>
          <w:tcPr>
            <w:tcW w:w="3319" w:type="dxa"/>
            <w:tcBorders>
              <w:top w:val="single" w:sz="6" w:space="0" w:color="auto"/>
            </w:tcBorders>
            <w:vAlign w:val="center"/>
          </w:tcPr>
          <w:p w14:paraId="304EED07"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登录系统</w:t>
            </w:r>
            <w:r w:rsidRPr="003657F5">
              <w:rPr>
                <w:rFonts w:ascii="Times New Roman" w:eastAsia="宋体" w:hAnsi="Times New Roman" w:cs="Times New Roman"/>
                <w:sz w:val="24"/>
                <w:szCs w:val="24"/>
              </w:rPr>
              <w:t xml:space="preserve"> → </w:t>
            </w:r>
            <w:r w:rsidRPr="003657F5">
              <w:rPr>
                <w:rFonts w:ascii="Times New Roman" w:eastAsia="宋体" w:hAnsi="Times New Roman" w:cs="Times New Roman"/>
                <w:sz w:val="24"/>
                <w:szCs w:val="24"/>
              </w:rPr>
              <w:t>选择类型</w:t>
            </w:r>
            <w:r w:rsidRPr="003657F5">
              <w:rPr>
                <w:rFonts w:ascii="Times New Roman" w:eastAsia="宋体" w:hAnsi="Times New Roman" w:cs="Times New Roman"/>
                <w:sz w:val="24"/>
                <w:szCs w:val="24"/>
              </w:rPr>
              <w:t xml:space="preserve"> → </w:t>
            </w:r>
            <w:r w:rsidRPr="003657F5">
              <w:rPr>
                <w:rFonts w:ascii="Times New Roman" w:eastAsia="宋体" w:hAnsi="Times New Roman" w:cs="Times New Roman"/>
                <w:sz w:val="24"/>
                <w:szCs w:val="24"/>
              </w:rPr>
              <w:t>填写信息</w:t>
            </w:r>
            <w:r w:rsidRPr="003657F5">
              <w:rPr>
                <w:rFonts w:ascii="Times New Roman" w:eastAsia="宋体" w:hAnsi="Times New Roman" w:cs="Times New Roman"/>
                <w:sz w:val="24"/>
                <w:szCs w:val="24"/>
              </w:rPr>
              <w:t xml:space="preserve"> → </w:t>
            </w:r>
            <w:r w:rsidRPr="003657F5">
              <w:rPr>
                <w:rFonts w:ascii="Times New Roman" w:eastAsia="宋体" w:hAnsi="Times New Roman" w:cs="Times New Roman"/>
                <w:sz w:val="24"/>
                <w:szCs w:val="24"/>
              </w:rPr>
              <w:t>上传文件</w:t>
            </w:r>
            <w:r w:rsidRPr="003657F5">
              <w:rPr>
                <w:rFonts w:ascii="Times New Roman" w:eastAsia="宋体" w:hAnsi="Times New Roman" w:cs="Times New Roman"/>
                <w:sz w:val="24"/>
                <w:szCs w:val="24"/>
              </w:rPr>
              <w:t xml:space="preserve"> → </w:t>
            </w:r>
            <w:r w:rsidRPr="003657F5">
              <w:rPr>
                <w:rFonts w:ascii="Times New Roman" w:eastAsia="宋体" w:hAnsi="Times New Roman" w:cs="Times New Roman"/>
                <w:sz w:val="24"/>
                <w:szCs w:val="24"/>
              </w:rPr>
              <w:t>检查提交</w:t>
            </w:r>
            <w:r w:rsidRPr="003657F5">
              <w:rPr>
                <w:rFonts w:ascii="Times New Roman" w:eastAsia="宋体" w:hAnsi="Times New Roman" w:cs="Times New Roman"/>
                <w:sz w:val="24"/>
                <w:szCs w:val="24"/>
              </w:rPr>
              <w:t xml:space="preserve"> → </w:t>
            </w:r>
            <w:r w:rsidRPr="003657F5">
              <w:rPr>
                <w:rFonts w:ascii="Times New Roman" w:eastAsia="宋体" w:hAnsi="Times New Roman" w:cs="Times New Roman"/>
                <w:sz w:val="24"/>
                <w:szCs w:val="24"/>
              </w:rPr>
              <w:t>查看反馈</w:t>
            </w:r>
            <w:r w:rsidRPr="003657F5">
              <w:rPr>
                <w:rFonts w:ascii="Times New Roman" w:eastAsia="宋体" w:hAnsi="Times New Roman" w:cs="Times New Roman"/>
                <w:sz w:val="24"/>
                <w:szCs w:val="24"/>
              </w:rPr>
              <w:t xml:space="preserve"> → </w:t>
            </w:r>
            <w:r w:rsidRPr="003657F5">
              <w:rPr>
                <w:rFonts w:ascii="Times New Roman" w:eastAsia="宋体" w:hAnsi="Times New Roman" w:cs="Times New Roman"/>
                <w:sz w:val="24"/>
                <w:szCs w:val="24"/>
              </w:rPr>
              <w:t>现场交件</w:t>
            </w:r>
            <w:r w:rsidRPr="003657F5">
              <w:rPr>
                <w:rFonts w:ascii="Times New Roman" w:eastAsia="宋体" w:hAnsi="Times New Roman" w:cs="Times New Roman"/>
                <w:sz w:val="24"/>
                <w:szCs w:val="24"/>
              </w:rPr>
              <w:t xml:space="preserve"> → </w:t>
            </w:r>
            <w:r w:rsidRPr="003657F5">
              <w:rPr>
                <w:rFonts w:ascii="Times New Roman" w:eastAsia="宋体" w:hAnsi="Times New Roman" w:cs="Times New Roman"/>
                <w:sz w:val="24"/>
                <w:szCs w:val="24"/>
              </w:rPr>
              <w:t>领取执照</w:t>
            </w:r>
          </w:p>
        </w:tc>
      </w:tr>
      <w:tr w:rsidR="003657F5" w:rsidRPr="003657F5" w14:paraId="47B24DD4" w14:textId="77777777" w:rsidTr="002A48FF">
        <w:trPr>
          <w:jc w:val="center"/>
        </w:trPr>
        <w:tc>
          <w:tcPr>
            <w:tcW w:w="1659" w:type="dxa"/>
            <w:tcBorders>
              <w:bottom w:val="single" w:sz="12" w:space="0" w:color="auto"/>
              <w:right w:val="single" w:sz="6" w:space="0" w:color="auto"/>
            </w:tcBorders>
            <w:vAlign w:val="center"/>
          </w:tcPr>
          <w:p w14:paraId="044E8F03"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lastRenderedPageBreak/>
              <w:t>社会保障卡申领</w:t>
            </w:r>
          </w:p>
        </w:tc>
        <w:tc>
          <w:tcPr>
            <w:tcW w:w="1659" w:type="dxa"/>
            <w:tcBorders>
              <w:left w:val="single" w:sz="6" w:space="0" w:color="auto"/>
              <w:bottom w:val="single" w:sz="12" w:space="0" w:color="auto"/>
            </w:tcBorders>
            <w:vAlign w:val="center"/>
          </w:tcPr>
          <w:p w14:paraId="54D115E5"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社保缴费</w:t>
            </w:r>
          </w:p>
        </w:tc>
        <w:tc>
          <w:tcPr>
            <w:tcW w:w="1659" w:type="dxa"/>
            <w:tcBorders>
              <w:bottom w:val="single" w:sz="12" w:space="0" w:color="auto"/>
            </w:tcBorders>
            <w:vAlign w:val="center"/>
          </w:tcPr>
          <w:p w14:paraId="7441C7AF"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w:t>
            </w:r>
          </w:p>
        </w:tc>
        <w:tc>
          <w:tcPr>
            <w:tcW w:w="3319" w:type="dxa"/>
            <w:tcBorders>
              <w:bottom w:val="single" w:sz="12" w:space="0" w:color="auto"/>
            </w:tcBorders>
            <w:vAlign w:val="center"/>
          </w:tcPr>
          <w:p w14:paraId="1A966815" w14:textId="77777777" w:rsidR="003657F5" w:rsidRPr="003657F5" w:rsidRDefault="003657F5" w:rsidP="003657F5">
            <w:pPr>
              <w:numPr>
                <w:ilvl w:val="0"/>
                <w:numId w:val="1"/>
              </w:num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电子社保卡</w:t>
            </w:r>
            <w:r w:rsidRPr="003657F5">
              <w:rPr>
                <w:rFonts w:ascii="Times New Roman" w:eastAsia="宋体" w:hAnsi="Times New Roman" w:cs="Times New Roman"/>
                <w:sz w:val="24"/>
              </w:rPr>
              <w:t>APP</w:t>
            </w:r>
            <w:r w:rsidRPr="003657F5">
              <w:rPr>
                <w:rFonts w:ascii="Times New Roman" w:eastAsia="宋体" w:hAnsi="Times New Roman" w:cs="Times New Roman"/>
                <w:sz w:val="24"/>
              </w:rPr>
              <w:t>、小程序（微信、支付宝）、实名认证的电子社保卡服务渠道，</w:t>
            </w:r>
            <w:r w:rsidRPr="003657F5">
              <w:rPr>
                <w:rFonts w:ascii="Times New Roman" w:eastAsia="宋体" w:hAnsi="Times New Roman" w:cs="Times New Roman"/>
                <w:sz w:val="24"/>
              </w:rPr>
              <w:t>“</w:t>
            </w:r>
            <w:r w:rsidRPr="003657F5">
              <w:rPr>
                <w:rFonts w:ascii="Times New Roman" w:eastAsia="宋体" w:hAnsi="Times New Roman" w:cs="Times New Roman"/>
                <w:sz w:val="24"/>
              </w:rPr>
              <w:t>人社办事</w:t>
            </w:r>
            <w:r w:rsidRPr="003657F5">
              <w:rPr>
                <w:rFonts w:ascii="Times New Roman" w:eastAsia="宋体" w:hAnsi="Times New Roman" w:cs="Times New Roman"/>
                <w:sz w:val="24"/>
              </w:rPr>
              <w:t>”-“</w:t>
            </w:r>
            <w:r w:rsidRPr="003657F5">
              <w:rPr>
                <w:rFonts w:ascii="Times New Roman" w:eastAsia="宋体" w:hAnsi="Times New Roman" w:cs="Times New Roman"/>
                <w:sz w:val="24"/>
              </w:rPr>
              <w:t>社会保障卡申领</w:t>
            </w:r>
            <w:r w:rsidRPr="003657F5">
              <w:rPr>
                <w:rFonts w:ascii="Times New Roman" w:eastAsia="宋体" w:hAnsi="Times New Roman" w:cs="Times New Roman"/>
                <w:sz w:val="24"/>
              </w:rPr>
              <w:t>”</w:t>
            </w:r>
            <w:r w:rsidRPr="003657F5">
              <w:rPr>
                <w:rFonts w:ascii="Times New Roman" w:eastAsia="宋体" w:hAnsi="Times New Roman" w:cs="Times New Roman"/>
                <w:sz w:val="24"/>
              </w:rPr>
              <w:t>。</w:t>
            </w:r>
            <w:r w:rsidRPr="003657F5">
              <w:rPr>
                <w:rFonts w:ascii="Times New Roman" w:eastAsia="宋体" w:hAnsi="Times New Roman" w:cs="Times New Roman"/>
                <w:sz w:val="24"/>
              </w:rPr>
              <w:br/>
              <w:t xml:space="preserve">2. </w:t>
            </w:r>
            <w:r w:rsidRPr="003657F5">
              <w:rPr>
                <w:rFonts w:ascii="Times New Roman" w:eastAsia="宋体" w:hAnsi="Times New Roman" w:cs="Times New Roman"/>
                <w:sz w:val="24"/>
              </w:rPr>
              <w:t>全国人力资源和社会保障政务服务平台网上办事大厅（</w:t>
            </w:r>
            <w:r w:rsidRPr="003657F5">
              <w:rPr>
                <w:rFonts w:ascii="Times New Roman" w:eastAsia="宋体" w:hAnsi="Times New Roman" w:cs="Times New Roman"/>
                <w:sz w:val="24"/>
              </w:rPr>
              <w:t>zwfw.mohrss.gov.cn</w:t>
            </w:r>
            <w:r w:rsidRPr="003657F5">
              <w:rPr>
                <w:rFonts w:ascii="Times New Roman" w:eastAsia="宋体" w:hAnsi="Times New Roman" w:cs="Times New Roman"/>
                <w:sz w:val="24"/>
              </w:rPr>
              <w:t>）、移动客户端</w:t>
            </w:r>
            <w:r w:rsidRPr="003657F5">
              <w:rPr>
                <w:rFonts w:ascii="Times New Roman" w:eastAsia="宋体" w:hAnsi="Times New Roman" w:cs="Times New Roman"/>
                <w:sz w:val="24"/>
              </w:rPr>
              <w:t>“</w:t>
            </w:r>
            <w:r w:rsidRPr="003657F5">
              <w:rPr>
                <w:rFonts w:ascii="Times New Roman" w:eastAsia="宋体" w:hAnsi="Times New Roman" w:cs="Times New Roman"/>
                <w:sz w:val="24"/>
              </w:rPr>
              <w:t>掌上</w:t>
            </w:r>
            <w:r w:rsidRPr="003657F5">
              <w:rPr>
                <w:rFonts w:ascii="Times New Roman" w:eastAsia="宋体" w:hAnsi="Times New Roman" w:cs="Times New Roman"/>
                <w:sz w:val="24"/>
              </w:rPr>
              <w:t>12333”APP</w:t>
            </w:r>
            <w:r w:rsidRPr="003657F5">
              <w:rPr>
                <w:rFonts w:ascii="Times New Roman" w:eastAsia="宋体" w:hAnsi="Times New Roman" w:cs="Times New Roman"/>
                <w:sz w:val="24"/>
              </w:rPr>
              <w:t>，</w:t>
            </w:r>
            <w:r w:rsidRPr="003657F5">
              <w:rPr>
                <w:rFonts w:ascii="Times New Roman" w:eastAsia="宋体" w:hAnsi="Times New Roman" w:cs="Times New Roman"/>
                <w:sz w:val="24"/>
              </w:rPr>
              <w:t>“</w:t>
            </w:r>
            <w:r w:rsidRPr="003657F5">
              <w:rPr>
                <w:rFonts w:ascii="Times New Roman" w:eastAsia="宋体" w:hAnsi="Times New Roman" w:cs="Times New Roman"/>
                <w:sz w:val="24"/>
              </w:rPr>
              <w:t>个人服务</w:t>
            </w:r>
            <w:r w:rsidRPr="003657F5">
              <w:rPr>
                <w:rFonts w:ascii="Times New Roman" w:eastAsia="宋体" w:hAnsi="Times New Roman" w:cs="Times New Roman"/>
                <w:sz w:val="24"/>
              </w:rPr>
              <w:t>”-“</w:t>
            </w:r>
            <w:r w:rsidRPr="003657F5">
              <w:rPr>
                <w:rFonts w:ascii="Times New Roman" w:eastAsia="宋体" w:hAnsi="Times New Roman" w:cs="Times New Roman"/>
                <w:sz w:val="24"/>
              </w:rPr>
              <w:t>社会保障卡</w:t>
            </w:r>
            <w:r w:rsidRPr="003657F5">
              <w:rPr>
                <w:rFonts w:ascii="Times New Roman" w:eastAsia="宋体" w:hAnsi="Times New Roman" w:cs="Times New Roman"/>
                <w:sz w:val="24"/>
              </w:rPr>
              <w:t>”-“</w:t>
            </w:r>
            <w:r w:rsidRPr="003657F5">
              <w:rPr>
                <w:rFonts w:ascii="Times New Roman" w:eastAsia="宋体" w:hAnsi="Times New Roman" w:cs="Times New Roman"/>
                <w:sz w:val="24"/>
              </w:rPr>
              <w:t>社会保障卡申领</w:t>
            </w:r>
            <w:r w:rsidRPr="003657F5">
              <w:rPr>
                <w:rFonts w:ascii="Times New Roman" w:eastAsia="宋体" w:hAnsi="Times New Roman" w:cs="Times New Roman"/>
                <w:sz w:val="24"/>
              </w:rPr>
              <w:t>”</w:t>
            </w:r>
            <w:r w:rsidRPr="003657F5">
              <w:rPr>
                <w:rFonts w:ascii="Times New Roman" w:eastAsia="宋体" w:hAnsi="Times New Roman" w:cs="Times New Roman"/>
                <w:sz w:val="24"/>
              </w:rPr>
              <w:t>。</w:t>
            </w:r>
          </w:p>
          <w:p w14:paraId="1723A980" w14:textId="77777777" w:rsidR="003657F5" w:rsidRPr="003657F5" w:rsidRDefault="003657F5" w:rsidP="003657F5">
            <w:pPr>
              <w:adjustRightInd w:val="0"/>
              <w:snapToGrid w:val="0"/>
              <w:spacing w:beforeLines="30" w:before="93" w:afterLines="30" w:after="93"/>
              <w:ind w:left="131"/>
              <w:rPr>
                <w:rFonts w:ascii="Times New Roman" w:eastAsia="宋体" w:hAnsi="Times New Roman" w:cs="Times New Roman"/>
                <w:sz w:val="24"/>
              </w:rPr>
            </w:pPr>
            <w:r w:rsidRPr="003657F5">
              <w:rPr>
                <w:rFonts w:ascii="Times New Roman" w:eastAsia="宋体" w:hAnsi="Times New Roman" w:cs="Times New Roman"/>
                <w:sz w:val="24"/>
              </w:rPr>
              <w:t xml:space="preserve">3. </w:t>
            </w:r>
            <w:r w:rsidRPr="003657F5">
              <w:rPr>
                <w:rFonts w:ascii="Times New Roman" w:eastAsia="宋体" w:hAnsi="Times New Roman" w:cs="Times New Roman"/>
                <w:sz w:val="24"/>
              </w:rPr>
              <w:t>国家社会保险公共服务平台（</w:t>
            </w:r>
            <w:r w:rsidRPr="003657F5">
              <w:rPr>
                <w:rFonts w:ascii="Times New Roman" w:eastAsia="宋体" w:hAnsi="Times New Roman" w:cs="Times New Roman"/>
                <w:sz w:val="24"/>
              </w:rPr>
              <w:t>si.12333.gov.cn</w:t>
            </w:r>
            <w:r w:rsidRPr="003657F5">
              <w:rPr>
                <w:rFonts w:ascii="Times New Roman" w:eastAsia="宋体" w:hAnsi="Times New Roman" w:cs="Times New Roman"/>
                <w:sz w:val="24"/>
              </w:rPr>
              <w:t>）。</w:t>
            </w:r>
          </w:p>
          <w:p w14:paraId="4E2A4BFF" w14:textId="77777777" w:rsidR="003657F5" w:rsidRPr="003657F5" w:rsidRDefault="003657F5" w:rsidP="003657F5">
            <w:pPr>
              <w:adjustRightInd w:val="0"/>
              <w:snapToGrid w:val="0"/>
              <w:spacing w:beforeLines="30" w:before="93" w:afterLines="30" w:after="93"/>
              <w:rPr>
                <w:rFonts w:ascii="Times New Roman" w:eastAsia="宋体" w:hAnsi="Times New Roman" w:cs="Times New Roman"/>
                <w:sz w:val="24"/>
              </w:rPr>
            </w:pPr>
            <w:r w:rsidRPr="003657F5">
              <w:rPr>
                <w:rFonts w:ascii="Times New Roman" w:eastAsia="宋体" w:hAnsi="Times New Roman" w:cs="Times New Roman"/>
                <w:sz w:val="24"/>
              </w:rPr>
              <w:t xml:space="preserve">4. </w:t>
            </w:r>
            <w:r w:rsidRPr="003657F5">
              <w:rPr>
                <w:rFonts w:ascii="Times New Roman" w:eastAsia="宋体" w:hAnsi="Times New Roman" w:cs="Times New Roman"/>
                <w:sz w:val="24"/>
              </w:rPr>
              <w:t>国家政务服务平台。</w:t>
            </w:r>
            <w:r w:rsidRPr="003657F5">
              <w:rPr>
                <w:rFonts w:ascii="Times New Roman" w:eastAsia="宋体" w:hAnsi="Times New Roman" w:cs="Times New Roman"/>
                <w:sz w:val="24"/>
              </w:rPr>
              <w:br/>
              <w:t xml:space="preserve">5. </w:t>
            </w:r>
            <w:r w:rsidRPr="003657F5">
              <w:rPr>
                <w:rFonts w:ascii="Times New Roman" w:eastAsia="宋体" w:hAnsi="Times New Roman" w:cs="Times New Roman"/>
                <w:sz w:val="24"/>
              </w:rPr>
              <w:t>各级人力资源社会保障政务服务网站、移动客户端</w:t>
            </w:r>
          </w:p>
        </w:tc>
      </w:tr>
    </w:tbl>
    <w:p w14:paraId="1E608FD7" w14:textId="77777777" w:rsidR="003657F5" w:rsidRPr="003657F5" w:rsidRDefault="003657F5" w:rsidP="003657F5">
      <w:pPr>
        <w:adjustRightInd w:val="0"/>
        <w:snapToGrid w:val="0"/>
        <w:spacing w:beforeLines="20" w:before="62" w:afterLines="20" w:after="62" w:line="336" w:lineRule="auto"/>
        <w:ind w:firstLineChars="200" w:firstLine="480"/>
        <w:rPr>
          <w:rFonts w:ascii="Times New Roman" w:eastAsia="宋体" w:hAnsi="Times New Roman" w:cs="Times New Roman"/>
          <w:sz w:val="24"/>
          <w:szCs w:val="24"/>
        </w:rPr>
      </w:pPr>
    </w:p>
    <w:p w14:paraId="797AEC11" w14:textId="0C8DBD47" w:rsidR="003657F5" w:rsidRPr="003657F5" w:rsidRDefault="003657F5" w:rsidP="003657F5">
      <w:pPr>
        <w:kinsoku w:val="0"/>
        <w:overflowPunct w:val="0"/>
        <w:autoSpaceDE w:val="0"/>
        <w:autoSpaceDN w:val="0"/>
        <w:adjustRightInd w:val="0"/>
        <w:snapToGrid w:val="0"/>
        <w:spacing w:beforeLines="30" w:before="93" w:afterLines="30" w:after="93" w:line="360" w:lineRule="auto"/>
        <w:ind w:firstLine="480"/>
        <w:jc w:val="center"/>
        <w:rPr>
          <w:rFonts w:ascii="Times New Roman" w:eastAsia="宋体" w:hAnsi="Times New Roman" w:cs="Times New Roman"/>
          <w:sz w:val="24"/>
        </w:rPr>
      </w:pPr>
      <w:r w:rsidRPr="003657F5">
        <w:rPr>
          <w:rFonts w:ascii="Times New Roman" w:eastAsia="宋体" w:hAnsi="Times New Roman" w:cs="Times New Roman"/>
          <w:sz w:val="24"/>
        </w:rPr>
        <w:t>表</w:t>
      </w:r>
      <w:r>
        <w:rPr>
          <w:rFonts w:ascii="Times New Roman" w:eastAsia="宋体" w:hAnsi="Times New Roman" w:cs="Times New Roman" w:hint="eastAsia"/>
          <w:sz w:val="24"/>
        </w:rPr>
        <w:t>3</w:t>
      </w:r>
      <w:r w:rsidRPr="003657F5">
        <w:rPr>
          <w:rFonts w:ascii="Times New Roman" w:eastAsia="宋体" w:hAnsi="Times New Roman" w:cs="Times New Roman"/>
          <w:sz w:val="24"/>
        </w:rPr>
        <w:t xml:space="preserve"> </w:t>
      </w:r>
      <w:r w:rsidRPr="003657F5">
        <w:rPr>
          <w:rFonts w:ascii="Times New Roman" w:eastAsia="宋体" w:hAnsi="Times New Roman" w:cs="Times New Roman"/>
          <w:sz w:val="24"/>
        </w:rPr>
        <w:t>政策条文类数据</w:t>
      </w:r>
    </w:p>
    <w:tbl>
      <w:tblPr>
        <w:tblStyle w:val="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524"/>
        <w:gridCol w:w="3454"/>
      </w:tblGrid>
      <w:tr w:rsidR="003657F5" w:rsidRPr="003657F5" w14:paraId="0AA0665A" w14:textId="77777777" w:rsidTr="002A48FF">
        <w:trPr>
          <w:jc w:val="center"/>
        </w:trPr>
        <w:tc>
          <w:tcPr>
            <w:tcW w:w="1659" w:type="dxa"/>
            <w:tcBorders>
              <w:top w:val="single" w:sz="12" w:space="0" w:color="auto"/>
              <w:bottom w:val="single" w:sz="6" w:space="0" w:color="auto"/>
              <w:right w:val="single" w:sz="6" w:space="0" w:color="auto"/>
            </w:tcBorders>
            <w:vAlign w:val="center"/>
          </w:tcPr>
          <w:p w14:paraId="7BBF3485"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政策名称</w:t>
            </w:r>
          </w:p>
        </w:tc>
        <w:tc>
          <w:tcPr>
            <w:tcW w:w="1659" w:type="dxa"/>
            <w:tcBorders>
              <w:top w:val="single" w:sz="12" w:space="0" w:color="auto"/>
              <w:left w:val="single" w:sz="6" w:space="0" w:color="auto"/>
              <w:bottom w:val="single" w:sz="6" w:space="0" w:color="auto"/>
            </w:tcBorders>
            <w:vAlign w:val="center"/>
          </w:tcPr>
          <w:p w14:paraId="714EC554"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颁布机关</w:t>
            </w:r>
          </w:p>
        </w:tc>
        <w:tc>
          <w:tcPr>
            <w:tcW w:w="1524" w:type="dxa"/>
            <w:tcBorders>
              <w:top w:val="single" w:sz="12" w:space="0" w:color="auto"/>
              <w:bottom w:val="single" w:sz="6" w:space="0" w:color="auto"/>
            </w:tcBorders>
            <w:vAlign w:val="center"/>
          </w:tcPr>
          <w:p w14:paraId="75F520D2"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生效日期</w:t>
            </w:r>
          </w:p>
        </w:tc>
        <w:tc>
          <w:tcPr>
            <w:tcW w:w="3454" w:type="dxa"/>
            <w:tcBorders>
              <w:top w:val="single" w:sz="12" w:space="0" w:color="auto"/>
              <w:bottom w:val="single" w:sz="6" w:space="0" w:color="auto"/>
            </w:tcBorders>
            <w:vAlign w:val="center"/>
          </w:tcPr>
          <w:p w14:paraId="57F91B7D"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部分内容</w:t>
            </w:r>
          </w:p>
        </w:tc>
      </w:tr>
      <w:tr w:rsidR="003657F5" w:rsidRPr="003657F5" w14:paraId="44BFA53D" w14:textId="77777777" w:rsidTr="002A48FF">
        <w:trPr>
          <w:jc w:val="center"/>
        </w:trPr>
        <w:tc>
          <w:tcPr>
            <w:tcW w:w="1659" w:type="dxa"/>
            <w:tcBorders>
              <w:top w:val="single" w:sz="6" w:space="0" w:color="auto"/>
              <w:right w:val="single" w:sz="6" w:space="0" w:color="auto"/>
            </w:tcBorders>
            <w:vAlign w:val="center"/>
          </w:tcPr>
          <w:p w14:paraId="4683394D"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突发事件应急预案管理办法</w:t>
            </w:r>
          </w:p>
        </w:tc>
        <w:tc>
          <w:tcPr>
            <w:tcW w:w="1659" w:type="dxa"/>
            <w:tcBorders>
              <w:top w:val="single" w:sz="6" w:space="0" w:color="auto"/>
              <w:left w:val="single" w:sz="6" w:space="0" w:color="auto"/>
            </w:tcBorders>
            <w:vAlign w:val="center"/>
          </w:tcPr>
          <w:p w14:paraId="333A1810"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国务院办公厅</w:t>
            </w:r>
          </w:p>
        </w:tc>
        <w:tc>
          <w:tcPr>
            <w:tcW w:w="1524" w:type="dxa"/>
            <w:tcBorders>
              <w:top w:val="single" w:sz="6" w:space="0" w:color="auto"/>
            </w:tcBorders>
            <w:vAlign w:val="center"/>
          </w:tcPr>
          <w:p w14:paraId="56B9F687"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2024-02-07</w:t>
            </w:r>
          </w:p>
        </w:tc>
        <w:tc>
          <w:tcPr>
            <w:tcW w:w="3454" w:type="dxa"/>
            <w:tcBorders>
              <w:top w:val="single" w:sz="6" w:space="0" w:color="auto"/>
            </w:tcBorders>
            <w:vAlign w:val="center"/>
          </w:tcPr>
          <w:p w14:paraId="37337548"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针对突发事件应对的专项和部门应急预案，主要规定县级以上人民政府或有关部门相关突发事件应对工作的组织指挥体系和专项工作安排，不同层级预案内容各有侧重，涉及相邻或相关地方人民政府、部门、单位任务的应当沟通一致后明确。</w:t>
            </w:r>
          </w:p>
          <w:p w14:paraId="4C2715A2"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国家层面专项和部门应急预案侧重明确突发事件的应对原则、组织指挥机制、预警分级和事件分级标准、响应分级、信息报告要求、应急保障措施等，重点规范国家层面应对行动，同时体现政策性和指导性。</w:t>
            </w:r>
          </w:p>
          <w:p w14:paraId="1275D6D3"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省级专项和部门应急预案侧重明确突发事件的组织指挥机制、监测预警、分级响应及响</w:t>
            </w:r>
            <w:r w:rsidRPr="003657F5">
              <w:rPr>
                <w:rFonts w:ascii="Times New Roman" w:eastAsia="宋体" w:hAnsi="Times New Roman" w:cs="Times New Roman"/>
                <w:sz w:val="24"/>
              </w:rPr>
              <w:lastRenderedPageBreak/>
              <w:t>应行动、队伍物资保障及市县级人民政府职责等，重点规范省级层面应对行动，同时体现指导性和实用性。</w:t>
            </w:r>
          </w:p>
          <w:p w14:paraId="4DBF1081"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市县级专项和部门应急预案侧重明确突发事件的组织指挥机制、风险管控、监测预警、信息报告、组织自救互救、应急处置措施、现场管控、队伍物资保障等内容，重点规范市（地）级和县级层面应对行动，落实相关任务，细化工作流程，体现应急处置的主体职责和针对性、可操作性。</w:t>
            </w:r>
          </w:p>
          <w:p w14:paraId="35E8F304"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p>
        </w:tc>
      </w:tr>
      <w:tr w:rsidR="003657F5" w:rsidRPr="003657F5" w14:paraId="1D193E2B" w14:textId="77777777" w:rsidTr="002A48FF">
        <w:trPr>
          <w:trHeight w:val="1130"/>
          <w:jc w:val="center"/>
        </w:trPr>
        <w:tc>
          <w:tcPr>
            <w:tcW w:w="1659" w:type="dxa"/>
            <w:tcBorders>
              <w:right w:val="single" w:sz="6" w:space="0" w:color="auto"/>
            </w:tcBorders>
            <w:vAlign w:val="center"/>
          </w:tcPr>
          <w:p w14:paraId="0732E543"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lastRenderedPageBreak/>
              <w:t>关于健全基本医疗保险</w:t>
            </w:r>
          </w:p>
          <w:p w14:paraId="4691F57C"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参保长效机制的指导意见</w:t>
            </w:r>
          </w:p>
        </w:tc>
        <w:tc>
          <w:tcPr>
            <w:tcW w:w="1659" w:type="dxa"/>
            <w:tcBorders>
              <w:left w:val="single" w:sz="6" w:space="0" w:color="auto"/>
            </w:tcBorders>
            <w:vAlign w:val="center"/>
          </w:tcPr>
          <w:p w14:paraId="68836E16"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国务院办公厅</w:t>
            </w:r>
          </w:p>
        </w:tc>
        <w:tc>
          <w:tcPr>
            <w:tcW w:w="1524" w:type="dxa"/>
            <w:vAlign w:val="center"/>
          </w:tcPr>
          <w:p w14:paraId="15232C3E"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2024-08-01</w:t>
            </w:r>
          </w:p>
        </w:tc>
        <w:tc>
          <w:tcPr>
            <w:tcW w:w="3454" w:type="dxa"/>
            <w:vAlign w:val="center"/>
          </w:tcPr>
          <w:p w14:paraId="01650FBC" w14:textId="1596BAC2"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完善参保政策。进一步放开放宽在常住地、就业地参加基本</w:t>
            </w:r>
            <w:proofErr w:type="gramStart"/>
            <w:r w:rsidRPr="003657F5">
              <w:rPr>
                <w:rFonts w:ascii="Times New Roman" w:eastAsia="宋体" w:hAnsi="Times New Roman" w:cs="Times New Roman"/>
                <w:sz w:val="24"/>
                <w:szCs w:val="24"/>
              </w:rPr>
              <w:t>医</w:t>
            </w:r>
            <w:proofErr w:type="gramEnd"/>
            <w:r w:rsidRPr="003657F5">
              <w:rPr>
                <w:rFonts w:ascii="Times New Roman" w:eastAsia="宋体" w:hAnsi="Times New Roman" w:cs="Times New Roman"/>
                <w:sz w:val="24"/>
                <w:szCs w:val="24"/>
              </w:rPr>
              <w:t>保的户籍限制。特大城市、超大城市要切实落实持居住证参保政策，推动外地户籍中小学生、学龄前儿童在常住地参加居民</w:t>
            </w:r>
            <w:proofErr w:type="gramStart"/>
            <w:r w:rsidRPr="003657F5">
              <w:rPr>
                <w:rFonts w:ascii="Times New Roman" w:eastAsia="宋体" w:hAnsi="Times New Roman" w:cs="Times New Roman"/>
                <w:sz w:val="24"/>
                <w:szCs w:val="24"/>
              </w:rPr>
              <w:t>医</w:t>
            </w:r>
            <w:proofErr w:type="gramEnd"/>
            <w:r w:rsidRPr="003657F5">
              <w:rPr>
                <w:rFonts w:ascii="Times New Roman" w:eastAsia="宋体" w:hAnsi="Times New Roman" w:cs="Times New Roman"/>
                <w:sz w:val="24"/>
                <w:szCs w:val="24"/>
              </w:rPr>
              <w:t>保。超大城市要取消灵活就业人员、农民工、新就业形态人员在就业地参加基本</w:t>
            </w:r>
            <w:proofErr w:type="gramStart"/>
            <w:r w:rsidRPr="003657F5">
              <w:rPr>
                <w:rFonts w:ascii="Times New Roman" w:eastAsia="宋体" w:hAnsi="Times New Roman" w:cs="Times New Roman"/>
                <w:sz w:val="24"/>
                <w:szCs w:val="24"/>
              </w:rPr>
              <w:t>医</w:t>
            </w:r>
            <w:proofErr w:type="gramEnd"/>
            <w:r w:rsidRPr="003657F5">
              <w:rPr>
                <w:rFonts w:ascii="Times New Roman" w:eastAsia="宋体" w:hAnsi="Times New Roman" w:cs="Times New Roman"/>
                <w:sz w:val="24"/>
                <w:szCs w:val="24"/>
              </w:rPr>
              <w:t>保的户籍限制，做好在就业地参加职工</w:t>
            </w:r>
            <w:proofErr w:type="gramStart"/>
            <w:r w:rsidRPr="003657F5">
              <w:rPr>
                <w:rFonts w:ascii="Times New Roman" w:eastAsia="宋体" w:hAnsi="Times New Roman" w:cs="Times New Roman"/>
                <w:sz w:val="24"/>
                <w:szCs w:val="24"/>
              </w:rPr>
              <w:t>医</w:t>
            </w:r>
            <w:proofErr w:type="gramEnd"/>
            <w:r w:rsidRPr="003657F5">
              <w:rPr>
                <w:rFonts w:ascii="Times New Roman" w:eastAsia="宋体" w:hAnsi="Times New Roman" w:cs="Times New Roman"/>
                <w:sz w:val="24"/>
                <w:szCs w:val="24"/>
              </w:rPr>
              <w:t>保工作。鼓励大学生在学籍地参加居民</w:t>
            </w:r>
            <w:proofErr w:type="gramStart"/>
            <w:r w:rsidRPr="003657F5">
              <w:rPr>
                <w:rFonts w:ascii="Times New Roman" w:eastAsia="宋体" w:hAnsi="Times New Roman" w:cs="Times New Roman"/>
                <w:sz w:val="24"/>
                <w:szCs w:val="24"/>
              </w:rPr>
              <w:t>医</w:t>
            </w:r>
            <w:proofErr w:type="gramEnd"/>
            <w:r w:rsidRPr="003657F5">
              <w:rPr>
                <w:rFonts w:ascii="Times New Roman" w:eastAsia="宋体" w:hAnsi="Times New Roman" w:cs="Times New Roman"/>
                <w:sz w:val="24"/>
                <w:szCs w:val="24"/>
              </w:rPr>
              <w:t>保，落实参</w:t>
            </w:r>
            <w:proofErr w:type="gramStart"/>
            <w:r w:rsidRPr="003657F5">
              <w:rPr>
                <w:rFonts w:ascii="Times New Roman" w:eastAsia="宋体" w:hAnsi="Times New Roman" w:cs="Times New Roman"/>
                <w:sz w:val="24"/>
                <w:szCs w:val="24"/>
              </w:rPr>
              <w:t>保相关</w:t>
            </w:r>
            <w:proofErr w:type="gramEnd"/>
            <w:r w:rsidRPr="003657F5">
              <w:rPr>
                <w:rFonts w:ascii="Times New Roman" w:eastAsia="宋体" w:hAnsi="Times New Roman" w:cs="Times New Roman"/>
                <w:sz w:val="24"/>
                <w:szCs w:val="24"/>
              </w:rPr>
              <w:t>政策，抓好大学生参加居民</w:t>
            </w:r>
            <w:proofErr w:type="gramStart"/>
            <w:r w:rsidRPr="003657F5">
              <w:rPr>
                <w:rFonts w:ascii="Times New Roman" w:eastAsia="宋体" w:hAnsi="Times New Roman" w:cs="Times New Roman"/>
                <w:sz w:val="24"/>
                <w:szCs w:val="24"/>
              </w:rPr>
              <w:t>医保扩面</w:t>
            </w:r>
            <w:proofErr w:type="gramEnd"/>
            <w:r w:rsidRPr="003657F5">
              <w:rPr>
                <w:rFonts w:ascii="Times New Roman" w:eastAsia="宋体" w:hAnsi="Times New Roman" w:cs="Times New Roman"/>
                <w:sz w:val="24"/>
                <w:szCs w:val="24"/>
              </w:rPr>
              <w:t>工作。</w:t>
            </w:r>
          </w:p>
        </w:tc>
      </w:tr>
      <w:tr w:rsidR="003657F5" w:rsidRPr="003657F5" w14:paraId="1AB66B1C" w14:textId="77777777" w:rsidTr="002A48FF">
        <w:trPr>
          <w:jc w:val="center"/>
        </w:trPr>
        <w:tc>
          <w:tcPr>
            <w:tcW w:w="1659" w:type="dxa"/>
            <w:tcBorders>
              <w:bottom w:val="single" w:sz="12" w:space="0" w:color="auto"/>
              <w:right w:val="single" w:sz="6" w:space="0" w:color="auto"/>
            </w:tcBorders>
            <w:vAlign w:val="center"/>
          </w:tcPr>
          <w:p w14:paraId="6C72CB2A"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粮食节约和</w:t>
            </w:r>
            <w:proofErr w:type="gramStart"/>
            <w:r w:rsidRPr="003657F5">
              <w:rPr>
                <w:rFonts w:ascii="Times New Roman" w:eastAsia="宋体" w:hAnsi="Times New Roman" w:cs="Times New Roman"/>
                <w:sz w:val="24"/>
              </w:rPr>
              <w:t>反食品</w:t>
            </w:r>
            <w:proofErr w:type="gramEnd"/>
            <w:r w:rsidRPr="003657F5">
              <w:rPr>
                <w:rFonts w:ascii="Times New Roman" w:eastAsia="宋体" w:hAnsi="Times New Roman" w:cs="Times New Roman"/>
                <w:sz w:val="24"/>
              </w:rPr>
              <w:t>浪费行动方案</w:t>
            </w:r>
          </w:p>
        </w:tc>
        <w:tc>
          <w:tcPr>
            <w:tcW w:w="1659" w:type="dxa"/>
            <w:tcBorders>
              <w:left w:val="single" w:sz="6" w:space="0" w:color="auto"/>
              <w:bottom w:val="single" w:sz="12" w:space="0" w:color="auto"/>
            </w:tcBorders>
            <w:vAlign w:val="center"/>
          </w:tcPr>
          <w:p w14:paraId="0AE903E8"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国务院办公厅</w:t>
            </w:r>
          </w:p>
        </w:tc>
        <w:tc>
          <w:tcPr>
            <w:tcW w:w="1524" w:type="dxa"/>
            <w:tcBorders>
              <w:bottom w:val="single" w:sz="12" w:space="0" w:color="auto"/>
            </w:tcBorders>
            <w:vAlign w:val="center"/>
          </w:tcPr>
          <w:p w14:paraId="28479DE5"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szCs w:val="24"/>
              </w:rPr>
              <w:t>2024-11-25</w:t>
            </w:r>
          </w:p>
        </w:tc>
        <w:tc>
          <w:tcPr>
            <w:tcW w:w="3454" w:type="dxa"/>
            <w:tcBorders>
              <w:bottom w:val="single" w:sz="12" w:space="0" w:color="auto"/>
            </w:tcBorders>
            <w:vAlign w:val="center"/>
          </w:tcPr>
          <w:p w14:paraId="5E812006" w14:textId="77777777" w:rsidR="003657F5" w:rsidRPr="003657F5" w:rsidRDefault="003657F5" w:rsidP="003657F5">
            <w:pPr>
              <w:adjustRightInd w:val="0"/>
              <w:snapToGrid w:val="0"/>
              <w:spacing w:beforeLines="30" w:before="93" w:afterLines="30" w:after="93"/>
              <w:jc w:val="center"/>
              <w:rPr>
                <w:rFonts w:ascii="Times New Roman" w:eastAsia="宋体" w:hAnsi="Times New Roman" w:cs="Times New Roman"/>
                <w:sz w:val="24"/>
              </w:rPr>
            </w:pPr>
            <w:r w:rsidRPr="003657F5">
              <w:rPr>
                <w:rFonts w:ascii="Times New Roman" w:eastAsia="宋体" w:hAnsi="Times New Roman" w:cs="Times New Roman"/>
                <w:sz w:val="24"/>
              </w:rPr>
              <w:t>减少家庭和个人食品浪费。深化中国居民健康膳食研究，发布谷薯类、蔬菜水果类、畜禽鱼蛋奶类、大豆和坚果类及烹调用油盐等</w:t>
            </w:r>
            <w:r w:rsidRPr="003657F5">
              <w:rPr>
                <w:rFonts w:ascii="Times New Roman" w:eastAsia="宋体" w:hAnsi="Times New Roman" w:cs="Times New Roman"/>
                <w:sz w:val="24"/>
              </w:rPr>
              <w:t>5</w:t>
            </w:r>
            <w:r w:rsidRPr="003657F5">
              <w:rPr>
                <w:rFonts w:ascii="Times New Roman" w:eastAsia="宋体" w:hAnsi="Times New Roman" w:cs="Times New Roman"/>
                <w:sz w:val="24"/>
              </w:rPr>
              <w:t>大类食物摄入</w:t>
            </w:r>
            <w:proofErr w:type="gramStart"/>
            <w:r w:rsidRPr="003657F5">
              <w:rPr>
                <w:rFonts w:ascii="Times New Roman" w:eastAsia="宋体" w:hAnsi="Times New Roman" w:cs="Times New Roman"/>
                <w:sz w:val="24"/>
              </w:rPr>
              <w:t>量建议</w:t>
            </w:r>
            <w:proofErr w:type="gramEnd"/>
            <w:r w:rsidRPr="003657F5">
              <w:rPr>
                <w:rFonts w:ascii="Times New Roman" w:eastAsia="宋体" w:hAnsi="Times New Roman" w:cs="Times New Roman"/>
                <w:sz w:val="24"/>
              </w:rPr>
              <w:t>范围，倡导营养均衡、科学适量的健康饮食习惯，引导家庭按需采买、储存食材。持续推进移风易俗，倡导文明节俭操办婚丧事宜，遏制大操大办、铺张浪费等行为。</w:t>
            </w:r>
          </w:p>
        </w:tc>
      </w:tr>
    </w:tbl>
    <w:p w14:paraId="6337DE59" w14:textId="77777777" w:rsidR="003657F5" w:rsidRPr="003657F5" w:rsidRDefault="003657F5" w:rsidP="003657F5">
      <w:pPr>
        <w:adjustRightInd w:val="0"/>
        <w:snapToGrid w:val="0"/>
        <w:spacing w:beforeLines="20" w:before="62" w:afterLines="20" w:after="62" w:line="336" w:lineRule="auto"/>
        <w:rPr>
          <w:rFonts w:ascii="Times New Roman" w:eastAsia="宋体" w:hAnsi="Times New Roman" w:cs="Times New Roman"/>
          <w:sz w:val="24"/>
          <w:szCs w:val="24"/>
        </w:rPr>
      </w:pPr>
    </w:p>
    <w:p w14:paraId="17B08FC8" w14:textId="77777777" w:rsidR="00B46C7F" w:rsidRPr="003657F5" w:rsidRDefault="00B46C7F">
      <w:pPr>
        <w:rPr>
          <w:rFonts w:hint="eastAsia"/>
        </w:rPr>
      </w:pPr>
    </w:p>
    <w:sectPr w:rsidR="00B46C7F" w:rsidRPr="003657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3314E" w14:textId="77777777" w:rsidR="00D76B91" w:rsidRDefault="00D76B91" w:rsidP="003657F5">
      <w:pPr>
        <w:rPr>
          <w:rFonts w:hint="eastAsia"/>
        </w:rPr>
      </w:pPr>
      <w:r>
        <w:separator/>
      </w:r>
    </w:p>
  </w:endnote>
  <w:endnote w:type="continuationSeparator" w:id="0">
    <w:p w14:paraId="7CF78D88" w14:textId="77777777" w:rsidR="00D76B91" w:rsidRDefault="00D76B91" w:rsidP="003657F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E97A8" w14:textId="77777777" w:rsidR="00D76B91" w:rsidRDefault="00D76B91" w:rsidP="003657F5">
      <w:pPr>
        <w:rPr>
          <w:rFonts w:hint="eastAsia"/>
        </w:rPr>
      </w:pPr>
      <w:r>
        <w:separator/>
      </w:r>
    </w:p>
  </w:footnote>
  <w:footnote w:type="continuationSeparator" w:id="0">
    <w:p w14:paraId="03FDC3E3" w14:textId="77777777" w:rsidR="00D76B91" w:rsidRDefault="00D76B91" w:rsidP="003657F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DE437D"/>
    <w:multiLevelType w:val="singleLevel"/>
    <w:tmpl w:val="5DDE437D"/>
    <w:lvl w:ilvl="0">
      <w:start w:val="1"/>
      <w:numFmt w:val="decimal"/>
      <w:suff w:val="space"/>
      <w:lvlText w:val="%1."/>
      <w:lvlJc w:val="left"/>
      <w:pPr>
        <w:ind w:left="131" w:firstLine="0"/>
      </w:pPr>
    </w:lvl>
  </w:abstractNum>
  <w:num w:numId="1" w16cid:durableId="186069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D9"/>
    <w:rsid w:val="000244EE"/>
    <w:rsid w:val="002800FD"/>
    <w:rsid w:val="003657F5"/>
    <w:rsid w:val="005501F0"/>
    <w:rsid w:val="00842E7D"/>
    <w:rsid w:val="00843D25"/>
    <w:rsid w:val="008773D9"/>
    <w:rsid w:val="00A3343A"/>
    <w:rsid w:val="00B32F13"/>
    <w:rsid w:val="00B46C7F"/>
    <w:rsid w:val="00C62039"/>
    <w:rsid w:val="00D76B91"/>
    <w:rsid w:val="00D82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AD5BE"/>
  <w15:chartTrackingRefBased/>
  <w15:docId w15:val="{70EF0A87-2636-4E36-9CD2-A4F961BE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73D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773D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773D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773D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773D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773D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773D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773D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773D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qFormat/>
    <w:rsid w:val="00843D25"/>
    <w:rPr>
      <w:rFonts w:ascii="Calibri" w:eastAsia="宋体" w:hAnsi="Calibri" w:cs="Times New Roman"/>
      <w:kern w:val="0"/>
      <w:sz w:val="20"/>
      <w:szCs w:val="20"/>
    </w:rPr>
    <w:tblPr>
      <w:tblInd w:w="0" w:type="nil"/>
      <w:tblBorders>
        <w:top w:val="single" w:sz="12" w:space="0" w:color="auto"/>
        <w:bottom w:val="single" w:sz="12" w:space="0" w:color="auto"/>
        <w:insideV w:val="single" w:sz="4" w:space="0" w:color="auto"/>
      </w:tblBorders>
    </w:tblPr>
    <w:tblStylePr w:type="firstRow">
      <w:tblPr/>
      <w:tcPr>
        <w:tcBorders>
          <w:bottom w:val="single" w:sz="4" w:space="0" w:color="auto"/>
        </w:tcBorders>
      </w:tcPr>
    </w:tblStylePr>
  </w:style>
  <w:style w:type="character" w:customStyle="1" w:styleId="10">
    <w:name w:val="标题 1 字符"/>
    <w:basedOn w:val="a0"/>
    <w:link w:val="1"/>
    <w:uiPriority w:val="9"/>
    <w:rsid w:val="008773D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773D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773D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773D9"/>
    <w:rPr>
      <w:rFonts w:cstheme="majorBidi"/>
      <w:color w:val="0F4761" w:themeColor="accent1" w:themeShade="BF"/>
      <w:sz w:val="28"/>
      <w:szCs w:val="28"/>
    </w:rPr>
  </w:style>
  <w:style w:type="character" w:customStyle="1" w:styleId="50">
    <w:name w:val="标题 5 字符"/>
    <w:basedOn w:val="a0"/>
    <w:link w:val="5"/>
    <w:uiPriority w:val="9"/>
    <w:semiHidden/>
    <w:rsid w:val="008773D9"/>
    <w:rPr>
      <w:rFonts w:cstheme="majorBidi"/>
      <w:color w:val="0F4761" w:themeColor="accent1" w:themeShade="BF"/>
      <w:sz w:val="24"/>
      <w:szCs w:val="24"/>
    </w:rPr>
  </w:style>
  <w:style w:type="character" w:customStyle="1" w:styleId="60">
    <w:name w:val="标题 6 字符"/>
    <w:basedOn w:val="a0"/>
    <w:link w:val="6"/>
    <w:uiPriority w:val="9"/>
    <w:semiHidden/>
    <w:rsid w:val="008773D9"/>
    <w:rPr>
      <w:rFonts w:cstheme="majorBidi"/>
      <w:b/>
      <w:bCs/>
      <w:color w:val="0F4761" w:themeColor="accent1" w:themeShade="BF"/>
    </w:rPr>
  </w:style>
  <w:style w:type="character" w:customStyle="1" w:styleId="70">
    <w:name w:val="标题 7 字符"/>
    <w:basedOn w:val="a0"/>
    <w:link w:val="7"/>
    <w:uiPriority w:val="9"/>
    <w:semiHidden/>
    <w:rsid w:val="008773D9"/>
    <w:rPr>
      <w:rFonts w:cstheme="majorBidi"/>
      <w:b/>
      <w:bCs/>
      <w:color w:val="595959" w:themeColor="text1" w:themeTint="A6"/>
    </w:rPr>
  </w:style>
  <w:style w:type="character" w:customStyle="1" w:styleId="80">
    <w:name w:val="标题 8 字符"/>
    <w:basedOn w:val="a0"/>
    <w:link w:val="8"/>
    <w:uiPriority w:val="9"/>
    <w:semiHidden/>
    <w:rsid w:val="008773D9"/>
    <w:rPr>
      <w:rFonts w:cstheme="majorBidi"/>
      <w:color w:val="595959" w:themeColor="text1" w:themeTint="A6"/>
    </w:rPr>
  </w:style>
  <w:style w:type="character" w:customStyle="1" w:styleId="90">
    <w:name w:val="标题 9 字符"/>
    <w:basedOn w:val="a0"/>
    <w:link w:val="9"/>
    <w:uiPriority w:val="9"/>
    <w:semiHidden/>
    <w:rsid w:val="008773D9"/>
    <w:rPr>
      <w:rFonts w:eastAsiaTheme="majorEastAsia" w:cstheme="majorBidi"/>
      <w:color w:val="595959" w:themeColor="text1" w:themeTint="A6"/>
    </w:rPr>
  </w:style>
  <w:style w:type="paragraph" w:styleId="a4">
    <w:name w:val="Title"/>
    <w:basedOn w:val="a"/>
    <w:next w:val="a"/>
    <w:link w:val="a5"/>
    <w:uiPriority w:val="10"/>
    <w:qFormat/>
    <w:rsid w:val="008773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8773D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8773D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8773D9"/>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8773D9"/>
    <w:pPr>
      <w:spacing w:before="160" w:after="160"/>
      <w:jc w:val="center"/>
    </w:pPr>
    <w:rPr>
      <w:i/>
      <w:iCs/>
      <w:color w:val="404040" w:themeColor="text1" w:themeTint="BF"/>
    </w:rPr>
  </w:style>
  <w:style w:type="character" w:customStyle="1" w:styleId="a9">
    <w:name w:val="引用 字符"/>
    <w:basedOn w:val="a0"/>
    <w:link w:val="a8"/>
    <w:uiPriority w:val="29"/>
    <w:rsid w:val="008773D9"/>
    <w:rPr>
      <w:i/>
      <w:iCs/>
      <w:color w:val="404040" w:themeColor="text1" w:themeTint="BF"/>
    </w:rPr>
  </w:style>
  <w:style w:type="paragraph" w:styleId="aa">
    <w:name w:val="List Paragraph"/>
    <w:basedOn w:val="a"/>
    <w:uiPriority w:val="34"/>
    <w:qFormat/>
    <w:rsid w:val="008773D9"/>
    <w:pPr>
      <w:ind w:left="720"/>
      <w:contextualSpacing/>
    </w:pPr>
  </w:style>
  <w:style w:type="character" w:styleId="ab">
    <w:name w:val="Intense Emphasis"/>
    <w:basedOn w:val="a0"/>
    <w:uiPriority w:val="21"/>
    <w:qFormat/>
    <w:rsid w:val="008773D9"/>
    <w:rPr>
      <w:i/>
      <w:iCs/>
      <w:color w:val="0F4761" w:themeColor="accent1" w:themeShade="BF"/>
    </w:rPr>
  </w:style>
  <w:style w:type="paragraph" w:styleId="ac">
    <w:name w:val="Intense Quote"/>
    <w:basedOn w:val="a"/>
    <w:next w:val="a"/>
    <w:link w:val="ad"/>
    <w:uiPriority w:val="30"/>
    <w:qFormat/>
    <w:rsid w:val="00877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8773D9"/>
    <w:rPr>
      <w:i/>
      <w:iCs/>
      <w:color w:val="0F4761" w:themeColor="accent1" w:themeShade="BF"/>
    </w:rPr>
  </w:style>
  <w:style w:type="character" w:styleId="ae">
    <w:name w:val="Intense Reference"/>
    <w:basedOn w:val="a0"/>
    <w:uiPriority w:val="32"/>
    <w:qFormat/>
    <w:rsid w:val="008773D9"/>
    <w:rPr>
      <w:b/>
      <w:bCs/>
      <w:smallCaps/>
      <w:color w:val="0F4761" w:themeColor="accent1" w:themeShade="BF"/>
      <w:spacing w:val="5"/>
    </w:rPr>
  </w:style>
  <w:style w:type="paragraph" w:styleId="af">
    <w:name w:val="header"/>
    <w:basedOn w:val="a"/>
    <w:link w:val="af0"/>
    <w:uiPriority w:val="99"/>
    <w:unhideWhenUsed/>
    <w:rsid w:val="003657F5"/>
    <w:pPr>
      <w:tabs>
        <w:tab w:val="center" w:pos="4153"/>
        <w:tab w:val="right" w:pos="8306"/>
      </w:tabs>
      <w:snapToGrid w:val="0"/>
      <w:jc w:val="center"/>
    </w:pPr>
    <w:rPr>
      <w:sz w:val="18"/>
      <w:szCs w:val="18"/>
    </w:rPr>
  </w:style>
  <w:style w:type="character" w:customStyle="1" w:styleId="af0">
    <w:name w:val="页眉 字符"/>
    <w:basedOn w:val="a0"/>
    <w:link w:val="af"/>
    <w:uiPriority w:val="99"/>
    <w:rsid w:val="003657F5"/>
    <w:rPr>
      <w:sz w:val="18"/>
      <w:szCs w:val="18"/>
    </w:rPr>
  </w:style>
  <w:style w:type="paragraph" w:styleId="af1">
    <w:name w:val="footer"/>
    <w:basedOn w:val="a"/>
    <w:link w:val="af2"/>
    <w:uiPriority w:val="99"/>
    <w:unhideWhenUsed/>
    <w:rsid w:val="003657F5"/>
    <w:pPr>
      <w:tabs>
        <w:tab w:val="center" w:pos="4153"/>
        <w:tab w:val="right" w:pos="8306"/>
      </w:tabs>
      <w:snapToGrid w:val="0"/>
      <w:jc w:val="left"/>
    </w:pPr>
    <w:rPr>
      <w:sz w:val="18"/>
      <w:szCs w:val="18"/>
    </w:rPr>
  </w:style>
  <w:style w:type="character" w:customStyle="1" w:styleId="af2">
    <w:name w:val="页脚 字符"/>
    <w:basedOn w:val="a0"/>
    <w:link w:val="af1"/>
    <w:uiPriority w:val="99"/>
    <w:rsid w:val="003657F5"/>
    <w:rPr>
      <w:sz w:val="18"/>
      <w:szCs w:val="18"/>
    </w:rPr>
  </w:style>
  <w:style w:type="table" w:customStyle="1" w:styleId="11">
    <w:name w:val="网格型1"/>
    <w:basedOn w:val="a1"/>
    <w:next w:val="af3"/>
    <w:uiPriority w:val="39"/>
    <w:qFormat/>
    <w:rsid w:val="00365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1"/>
    <w:uiPriority w:val="39"/>
    <w:rsid w:val="00365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lu</dc:creator>
  <cp:keywords/>
  <dc:description/>
  <cp:lastModifiedBy>brenna lu</cp:lastModifiedBy>
  <cp:revision>3</cp:revision>
  <dcterms:created xsi:type="dcterms:W3CDTF">2025-04-24T00:37:00Z</dcterms:created>
  <dcterms:modified xsi:type="dcterms:W3CDTF">2025-04-24T00:40:00Z</dcterms:modified>
</cp:coreProperties>
</file>