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BÁO CÁO PHÂN TÍCH HỒI QUY GIÁ ĐẤT Ở ĐÔ THỊ - THỊ XÃ THÁI HÒA</w:t>
      </w:r>
    </w:p>
    <w:p>
      <w:pPr>
        <w:pStyle w:val="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3.4. Phân tích hồi quy tuyến tính đa biến</w:t>
      </w:r>
    </w:p>
    <w:p>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3.4.1. Định dạng biến cho mô hình hồi quy giá đất</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Dựa vào kết quả phân tích nhân tố khám phá (EFA) và các nghiên cứu thực nghiệm về định giá đất bằng phân tích hồi quy (Benjamin &amp; cs., 2004; Selim, 2009), nghiên cứu tiến hành định dạng các biến đưa vào mô hình hồi quy giá đất ở đô thị.</w:t>
      </w:r>
    </w:p>
    <w:p>
      <w:pPr>
        <w:pStyle w:val="6"/>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b/>
          <w:sz w:val="26"/>
          <w:szCs w:val="26"/>
        </w:rPr>
        <w:t>Biến phụ thuộc:</w:t>
      </w:r>
      <w:r>
        <w:rPr>
          <w:rFonts w:hint="default" w:ascii="Times New Roman" w:hAnsi="Times New Roman" w:cs="Times New Roman"/>
          <w:sz w:val="26"/>
          <w:szCs w:val="26"/>
        </w:rPr>
        <w:t xml:space="preserve"> Giá đất (</w:t>
      </w:r>
      <w:r>
        <w:rPr>
          <w:rStyle w:val="8"/>
          <w:rFonts w:hint="default" w:ascii="Times New Roman" w:hAnsi="Times New Roman" w:cs="Times New Roman"/>
          <w:sz w:val="26"/>
          <w:szCs w:val="26"/>
        </w:rPr>
        <w:t>GIÁ_ĐẤT</w:t>
      </w:r>
      <w:r>
        <w:rPr>
          <w:rFonts w:hint="default" w:ascii="Times New Roman" w:hAnsi="Times New Roman" w:cs="Times New Roman"/>
          <w:sz w:val="26"/>
          <w:szCs w:val="26"/>
        </w:rPr>
        <w:t>, đơn vị VNĐ/m²), được biến đổi logarit tự nhiên (ln) trước khi đưa vào mô hình nhằm giảm độ lệch phải và chuyển mô hình về dạng nhân tính.</w:t>
      </w:r>
    </w:p>
    <w:p>
      <w:pPr>
        <w:pStyle w:val="6"/>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b/>
          <w:sz w:val="26"/>
          <w:szCs w:val="26"/>
        </w:rPr>
        <w:t>Mẫu nghiên cứu:</w:t>
      </w:r>
      <w:r>
        <w:rPr>
          <w:rFonts w:hint="default" w:ascii="Times New Roman" w:hAnsi="Times New Roman" w:cs="Times New Roman"/>
          <w:sz w:val="26"/>
          <w:szCs w:val="26"/>
        </w:rPr>
        <w:t xml:space="preserve"> 13.126 thửa đất ở đô thị (ODT) tại thị xã Thái Hòa.</w:t>
      </w:r>
    </w:p>
    <w:p>
      <w:pPr>
        <w:pStyle w:val="6"/>
        <w:keepNext w:val="0"/>
        <w:keepLines w:val="0"/>
        <w:widowControl/>
        <w:suppressLineNumbers w:val="0"/>
        <w:spacing w:line="360" w:lineRule="auto"/>
        <w:ind w:left="720"/>
        <w:jc w:val="both"/>
        <w:rPr>
          <w:rFonts w:hint="default" w:ascii="Times New Roman" w:hAnsi="Times New Roman" w:cs="Times New Roman"/>
          <w:sz w:val="26"/>
          <w:szCs w:val="26"/>
        </w:rPr>
      </w:pPr>
      <w:r>
        <w:rPr>
          <w:rFonts w:hint="default" w:ascii="Times New Roman" w:hAnsi="Times New Roman" w:cs="Times New Roman"/>
          <w:b/>
          <w:sz w:val="26"/>
          <w:szCs w:val="26"/>
        </w:rPr>
        <w:t>Phân chia dữ liệu:</w:t>
      </w:r>
      <w:r>
        <w:rPr>
          <w:rFonts w:hint="default" w:ascii="Times New Roman" w:hAnsi="Times New Roman" w:cs="Times New Roman"/>
          <w:sz w:val="26"/>
          <w:szCs w:val="26"/>
        </w:rPr>
        <w:t xml:space="preserve"> Tập huấn luyện (80%, n=10.501) và tập kiểm tra (20%, n=2.625) theo phương pháp phân tầng dựa trên biến vùng giá (</w:t>
      </w:r>
      <w:r>
        <w:rPr>
          <w:rStyle w:val="8"/>
          <w:rFonts w:hint="default" w:ascii="Times New Roman" w:hAnsi="Times New Roman" w:cs="Times New Roman"/>
          <w:sz w:val="26"/>
          <w:szCs w:val="26"/>
        </w:rPr>
        <w:t>VUNG_GIA</w:t>
      </w:r>
      <w:r>
        <w:rPr>
          <w:rFonts w:hint="default" w:ascii="Times New Roman" w:hAnsi="Times New Roman" w:cs="Times New Roman"/>
          <w:sz w:val="26"/>
          <w:szCs w:val="26"/>
        </w:rPr>
        <w:t>).</w:t>
      </w:r>
    </w:p>
    <w:p>
      <w:pPr>
        <w:pStyle w:val="6"/>
        <w:keepNext w:val="0"/>
        <w:keepLines w:val="0"/>
        <w:widowControl/>
        <w:suppressLineNumbers w:val="0"/>
        <w:spacing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lang w:val="en-US" w:eastAsia="zh-CN"/>
        </w:rPr>
        <w:t>Bảng 5. Định dạng biến cho mô hình hồi quy giá đất ở đô thị</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2068"/>
        <w:gridCol w:w="2270"/>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STT</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Ký hiệu biến</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Mô tả</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Loại</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Đơn vị / Giá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A</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Biến phụ thuộc</w:t>
            </w:r>
          </w:p>
        </w:tc>
        <w:tc>
          <w:tcPr>
            <w:tcW w:w="2270" w:type="dxa"/>
            <w:vAlign w:val="center"/>
          </w:tcPr>
          <w:p>
            <w:pPr>
              <w:spacing w:line="360" w:lineRule="auto"/>
              <w:jc w:val="both"/>
              <w:rPr>
                <w:rFonts w:hint="default" w:ascii="Times New Roman" w:hAnsi="Times New Roman" w:cs="Times New Roman"/>
                <w:sz w:val="26"/>
                <w:szCs w:val="26"/>
                <w:vertAlign w:val="baseline"/>
              </w:rPr>
            </w:pPr>
          </w:p>
        </w:tc>
        <w:tc>
          <w:tcPr>
            <w:tcW w:w="1705" w:type="dxa"/>
            <w:vAlign w:val="center"/>
          </w:tcPr>
          <w:p>
            <w:pPr>
              <w:spacing w:line="360" w:lineRule="auto"/>
              <w:jc w:val="both"/>
              <w:rPr>
                <w:rFonts w:hint="default" w:ascii="Times New Roman" w:hAnsi="Times New Roman" w:cs="Times New Roman"/>
                <w:sz w:val="26"/>
                <w:szCs w:val="26"/>
                <w:vertAlign w:val="baseline"/>
              </w:rPr>
            </w:pPr>
          </w:p>
        </w:tc>
        <w:tc>
          <w:tcPr>
            <w:tcW w:w="1705" w:type="dxa"/>
            <w:vAlign w:val="center"/>
          </w:tcPr>
          <w:p>
            <w:pPr>
              <w:spacing w:line="360" w:lineRule="auto"/>
              <w:jc w:val="both"/>
              <w:rPr>
                <w:rFonts w:hint="default" w:ascii="Times New Roman" w:hAnsi="Times New Roman" w:cs="Times New Roman"/>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GIÁ_ĐẤT</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Giá đất</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Định lượng</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VNĐ/m²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B</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Biến độc lập</w:t>
            </w:r>
          </w:p>
        </w:tc>
        <w:tc>
          <w:tcPr>
            <w:tcW w:w="2270" w:type="dxa"/>
            <w:vAlign w:val="center"/>
          </w:tcPr>
          <w:p>
            <w:pPr>
              <w:spacing w:line="360" w:lineRule="auto"/>
              <w:jc w:val="both"/>
              <w:rPr>
                <w:rFonts w:hint="default" w:ascii="Times New Roman" w:hAnsi="Times New Roman" w:cs="Times New Roman"/>
                <w:sz w:val="26"/>
                <w:szCs w:val="26"/>
                <w:vertAlign w:val="baseline"/>
              </w:rPr>
            </w:pPr>
          </w:p>
        </w:tc>
        <w:tc>
          <w:tcPr>
            <w:tcW w:w="1705" w:type="dxa"/>
            <w:vAlign w:val="center"/>
          </w:tcPr>
          <w:p>
            <w:pPr>
              <w:spacing w:line="360" w:lineRule="auto"/>
              <w:jc w:val="both"/>
              <w:rPr>
                <w:rFonts w:hint="default" w:ascii="Times New Roman" w:hAnsi="Times New Roman" w:cs="Times New Roman"/>
                <w:sz w:val="26"/>
                <w:szCs w:val="26"/>
                <w:vertAlign w:val="baseline"/>
              </w:rPr>
            </w:pPr>
          </w:p>
        </w:tc>
        <w:tc>
          <w:tcPr>
            <w:tcW w:w="1705" w:type="dxa"/>
            <w:vAlign w:val="center"/>
          </w:tcPr>
          <w:p>
            <w:pPr>
              <w:spacing w:line="360" w:lineRule="auto"/>
              <w:jc w:val="both"/>
              <w:rPr>
                <w:rFonts w:hint="default" w:ascii="Times New Roman" w:hAnsi="Times New Roman" w:cs="Times New Roman"/>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KC_TT</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Khoảng cách đến trung tâm thị xã</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Định lượng</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KC_BV</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Khoảng cách đến bệnh viện</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Định lượng</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KC_BR</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Khoảng cách đến bãi rác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Định lượng</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GT_DRD</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Độ rộng đường tiếp giáp</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Định lượng</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TD_DT</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Diện tích thửa đất</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Định lượng</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TD_HD</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Hình dáng thửa đất</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Thứ bậc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 = Vuông vắn; 2 = Chữ nhật; 3 = Hẹp dài; 4 = Méo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7</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MT_ANXH</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An ninh xã hội</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Thứ bậc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Thang 1–5 (5 = Rất 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8</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MT_KK</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Chất lượng không khí</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Thứ bậc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Thang 1–5 (5 = Rất 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9</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MT_NUOC</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Chất lượng nước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Thứ bậc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Thang 1–5 (5 = Rất 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YT_DC</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Đầu cơ nhà đất</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Thứ bậc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 = Không; 1 = Thấp; 2 = TB; 3 =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11</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YT_MTKD</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Môi trường kinh doanh</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Thứ bậc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Thang 1–5 (5 = Rất tốt)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12</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YT_DTH</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Đô thị hóa</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Thứ bậc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 = Nông thôn; 2 = Đang ĐTH; 3 = Đô thị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13</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YT_MDDS</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Mật độ dân số</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Định lượng</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người/km²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7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14</w:t>
            </w:r>
          </w:p>
        </w:tc>
        <w:tc>
          <w:tcPr>
            <w:tcW w:w="2068"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YT_CSSD</w:t>
            </w:r>
          </w:p>
        </w:tc>
        <w:tc>
          <w:tcPr>
            <w:tcW w:w="2270"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Chính sách sử dụng đất</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Thứ bậc</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 = Hạn chế; 1 = Bình thường; 2 = Ưu đãi</w:t>
            </w:r>
          </w:p>
        </w:tc>
      </w:tr>
    </w:tbl>
    <w:p>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3.4.2. Xây dựng mô hình hồi quy</w:t>
      </w:r>
    </w:p>
    <w:p>
      <w:pPr>
        <w:pStyle w:val="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Kết quả mô hình hồi quy lần thứ nhất</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Mô hình hồi quy tuyến tính OLS được ước lượng lần đầu với toàn bộ 33 biến độc lập trên tập huấn luyện 10.501 quan sát. Kết quả cho hệ số xác định R² = 0,3275 (R² hiệu chỉnh = 0,3253), cho thấy các biến giải thích được khoảng 32,5% phương sai của ln(GIÁ_ĐẤT). Kết quả chi tiết trình bày ở Bảng 6.</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Bảng 6. Kết quả mô hình hồi quy lần thứ nhất (33 biến)</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065"/>
        <w:gridCol w:w="1065"/>
        <w:gridCol w:w="1065"/>
        <w:gridCol w:w="1065"/>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STT</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Biến</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Hệ số B</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Sai số</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Beta</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t</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Sig.</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VIF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spacing w:line="360" w:lineRule="auto"/>
              <w:jc w:val="both"/>
              <w:rPr>
                <w:rFonts w:hint="default" w:ascii="Times New Roman" w:hAnsi="Times New Roman" w:cs="Times New Roman"/>
                <w:sz w:val="26"/>
                <w:szCs w:val="26"/>
                <w:vertAlign w:val="baseline"/>
              </w:rPr>
            </w:pP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(Hằng số)</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1,161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1.808.568,44</w:t>
            </w:r>
          </w:p>
        </w:tc>
        <w:tc>
          <w:tcPr>
            <w:tcW w:w="1065" w:type="dxa"/>
            <w:vAlign w:val="center"/>
          </w:tcPr>
          <w:p>
            <w:pPr>
              <w:spacing w:line="360" w:lineRule="auto"/>
              <w:jc w:val="both"/>
              <w:rPr>
                <w:rFonts w:hint="default" w:ascii="Times New Roman" w:hAnsi="Times New Roman" w:cs="Times New Roman"/>
                <w:sz w:val="26"/>
                <w:szCs w:val="26"/>
                <w:vertAlign w:val="baseline"/>
              </w:rPr>
            </w:pP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1,000</w:t>
            </w:r>
          </w:p>
        </w:tc>
        <w:tc>
          <w:tcPr>
            <w:tcW w:w="1066" w:type="dxa"/>
            <w:vAlign w:val="center"/>
          </w:tcPr>
          <w:p>
            <w:pPr>
              <w:spacing w:line="360" w:lineRule="auto"/>
              <w:jc w:val="both"/>
              <w:rPr>
                <w:rFonts w:hint="default" w:ascii="Times New Roman" w:hAnsi="Times New Roman" w:cs="Times New Roman"/>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KC_UB</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−0,587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0,087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−0,891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−6,754</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270,54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KC_TT</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−0,078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0,025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−0,128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−3,079</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0,002</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26,96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KC_C</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3,108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0,168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5,453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18,458</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1.358,16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KC_BV</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−0,494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0,048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−0,792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−10,326</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91,55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KC_TH</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0,560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0,080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0,848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6,963</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230,75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KC_BX</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−3,062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0,184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−5,375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−16,673</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1.617,53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KC_XB</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0,673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0,069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1,091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9,720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196,05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KC_TTTM</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−0,234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0,057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−0,448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−4,102</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185,26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KC_BR</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−0,200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0,103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−0,055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−1,950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0,051</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12,32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GT_KCD</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4,020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1.226.870,58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1,350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GT_LDTG</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2,341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603.001,83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2,025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GT_DRD</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1,307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75.263,74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2,833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GT_SDTG</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0,026</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0,017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1,213</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0,225</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TD_CS</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−0,017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−0,312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−9,833</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15,71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TD_DT</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0,367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11,144</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16,83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16</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TD_HD</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−0,050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−0,024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−1,418</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0,156</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TD_CR</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−0,044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−0,299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−8,841</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17,81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MT_ANXH</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0,174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0,049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0,104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3,542</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13,29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MT_AT</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0,051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0,045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1,151</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0,250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MT_KK</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0,061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0,028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1,753</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0,080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MT_NUOC</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−0,045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0,338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−0,017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−0,133</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0,895</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253,36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YT_DC</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0,248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0,061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0,151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4,079</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21,28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YT_CCTT</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0,164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0,049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0,092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3,361</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0,001</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YT_TNTD</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−0,172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0,026</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−0,783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−6,612</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218,22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YT_PT</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0,014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−0,353</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0,724</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26</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YT_MTKD</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0,077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0,025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0,066</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3,037</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0,002</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7,31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YT_DTH</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−0,061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0,049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−1,234</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0,217</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YT_MDDS</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0,771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6,632</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210,29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YT_CSSD</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0,064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2,097</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0,036</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YT_YTGD</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−0,124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0,339</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−0,094</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−0,367</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0,714</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1.015,12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YT_HCQH</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2,000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1.509.003,28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0,571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1,000</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YT_PLY</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−0,002</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0,035</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−0,000</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−0,051</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0,959</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33</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YT_VHDC</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−0,261</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0,348</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−0,137</w:t>
            </w:r>
          </w:p>
        </w:tc>
        <w:tc>
          <w:tcPr>
            <w:tcW w:w="106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−0,751</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0,453</w:t>
            </w:r>
          </w:p>
        </w:tc>
        <w:tc>
          <w:tcPr>
            <w:tcW w:w="1066"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516,97</w:t>
            </w:r>
          </w:p>
        </w:tc>
      </w:tr>
    </w:tbl>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i/>
          <w:sz w:val="26"/>
          <w:szCs w:val="26"/>
        </w:rPr>
        <w:t>Ghi chú: VIF = ∞ cho biết biến tham gia tổ hợp tuyến tính gần hoàn hảo.</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quả Bảng 6 cho thấy mô hình lần 1 tồn tại hiện tượng </w:t>
      </w:r>
      <w:r>
        <w:rPr>
          <w:rFonts w:hint="default" w:ascii="Times New Roman" w:hAnsi="Times New Roman" w:cs="Times New Roman"/>
          <w:b/>
          <w:sz w:val="26"/>
          <w:szCs w:val="26"/>
        </w:rPr>
        <w:t>đa cộng tuyến nghiêm trọng</w:t>
      </w:r>
      <w:r>
        <w:rPr>
          <w:rFonts w:hint="default" w:ascii="Times New Roman" w:hAnsi="Times New Roman" w:cs="Times New Roman"/>
          <w:sz w:val="26"/>
          <w:szCs w:val="26"/>
        </w:rPr>
        <w:t>: 4 biến (GT_KCD, GT_LDTG, GT_DRD, YT_HCQH) có VIF = ∞, nhiều biến khoảng cách khác có VIF vượt xa ngưỡng 10. Bên cạnh đó, 15 biến có mức ý nghĩa Sig. &gt; 0,05, phản ánh tình trạng ước lượng bất ổn khi tồn tại đa cộng tuyến. Do vậy, cần thực hiện loại bỏ biến để xây dựng mô hình hồi quy lần hai.</w:t>
      </w:r>
    </w:p>
    <w:p>
      <w:pPr>
        <w:pStyle w:val="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Loại bỏ biến và xây dựng mô hình hồi quy lần hai</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Bước 1 – Loại biến đa cộng tuyến (VIF &gt; 10):</w:t>
      </w:r>
      <w:r>
        <w:rPr>
          <w:rFonts w:hint="default" w:ascii="Times New Roman" w:hAnsi="Times New Roman" w:cs="Times New Roman"/>
          <w:sz w:val="26"/>
          <w:szCs w:val="26"/>
        </w:rPr>
        <w:t xml:space="preserve"> Áp dụng quy trình lặp – mỗi vòng tính VIF cho tất cả biến, loại biến có VIF cao nhất, tính lại VIF cho các biến còn lại, lặp lại cho đến khi tất cả VIF ≤ 10. Qua 14 bước loại lần lượt các biến: GT_KCD (∞), GT_LDTG (∞), KC_BX (1.617,53), YT_YTGD (1.013,89), KC_UB (258,74), YT_TNTD (213,70), KC_XB (98,43), KC_TTTM (84,84), TD_CR (17,75), KC_C (17,20), TD_CS (15,24), YT_HCQH (13,13), KC_TH (11,76), YT_VHDC (11,46). Sau bước này còn 19 biến với VIF lớn nhất = 9,676.</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Bước 2 – Loại trừ ngược (Backward Elimination, Sig. &gt; 0,05):</w:t>
      </w:r>
      <w:r>
        <w:rPr>
          <w:rFonts w:hint="default" w:ascii="Times New Roman" w:hAnsi="Times New Roman" w:cs="Times New Roman"/>
          <w:sz w:val="26"/>
          <w:szCs w:val="26"/>
        </w:rPr>
        <w:t xml:space="preserve"> Trên tập 19 biến, chạy lại OLS rồi loại lần lượt biến có Sig. lớn nhất: MT_AT (0,937), YT_PT (0,773), YT_CCTT (0,679), YT_PLY (0,463), GT_SDTG (0,163). Kết quả giữ lại </w:t>
      </w:r>
      <w:r>
        <w:rPr>
          <w:rFonts w:hint="default" w:ascii="Times New Roman" w:hAnsi="Times New Roman" w:cs="Times New Roman"/>
          <w:b/>
          <w:sz w:val="26"/>
          <w:szCs w:val="26"/>
        </w:rPr>
        <w:t>14 biến</w:t>
      </w:r>
      <w:r>
        <w:rPr>
          <w:rFonts w:hint="default" w:ascii="Times New Roman" w:hAnsi="Times New Roman" w:cs="Times New Roman"/>
          <w:sz w:val="26"/>
          <w:szCs w:val="26"/>
        </w:rPr>
        <w:t>, tất cả đều có Sig. &lt; 0,05.</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Mô hình hồi quy lần hai với 14 biến được trình bày ở Bảng 7.</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Bảng 7. Kết quả mô hình hồi quy lần thứ hai (14 biến)</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4"/>
        <w:gridCol w:w="1383"/>
        <w:gridCol w:w="1103"/>
        <w:gridCol w:w="990"/>
        <w:gridCol w:w="1065"/>
        <w:gridCol w:w="1065"/>
        <w:gridCol w:w="1066"/>
        <w:gridCol w:w="1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Style w:val="9"/>
                <w:rFonts w:hint="default" w:ascii="Times New Roman" w:hAnsi="Times New Roman" w:eastAsia="sans-serif" w:cs="Times New Roman"/>
                <w:kern w:val="0"/>
                <w:sz w:val="26"/>
                <w:szCs w:val="26"/>
                <w:lang w:val="en-US" w:eastAsia="zh-CN" w:bidi="ar"/>
              </w:rPr>
              <w:t>STT</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Style w:val="9"/>
                <w:rFonts w:hint="default" w:ascii="Times New Roman" w:hAnsi="Times New Roman" w:eastAsia="sans-serif" w:cs="Times New Roman"/>
                <w:kern w:val="0"/>
                <w:sz w:val="26"/>
                <w:szCs w:val="26"/>
                <w:lang w:val="en-US" w:eastAsia="zh-CN" w:bidi="ar"/>
              </w:rPr>
              <w:t>Biến</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Style w:val="9"/>
                <w:rFonts w:hint="default" w:ascii="Times New Roman" w:hAnsi="Times New Roman" w:eastAsia="sans-serif" w:cs="Times New Roman"/>
                <w:kern w:val="0"/>
                <w:sz w:val="26"/>
                <w:szCs w:val="26"/>
                <w:lang w:val="en-US" w:eastAsia="zh-CN" w:bidi="ar"/>
              </w:rPr>
              <w:t>Hệ số B</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Style w:val="9"/>
                <w:rFonts w:hint="default" w:ascii="Times New Roman" w:hAnsi="Times New Roman" w:eastAsia="sans-serif" w:cs="Times New Roman"/>
                <w:kern w:val="0"/>
                <w:sz w:val="26"/>
                <w:szCs w:val="26"/>
                <w:lang w:val="en-US" w:eastAsia="zh-CN" w:bidi="ar"/>
              </w:rPr>
              <w:t>Sai số</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Style w:val="9"/>
                <w:rFonts w:hint="default" w:ascii="Times New Roman" w:hAnsi="Times New Roman" w:eastAsia="sans-serif" w:cs="Times New Roman"/>
                <w:kern w:val="0"/>
                <w:sz w:val="26"/>
                <w:szCs w:val="26"/>
                <w:lang w:val="en-US" w:eastAsia="zh-CN" w:bidi="ar"/>
              </w:rPr>
              <w:t>Beta</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Style w:val="9"/>
                <w:rFonts w:hint="default" w:ascii="Times New Roman" w:hAnsi="Times New Roman" w:eastAsia="sans-serif" w:cs="Times New Roman"/>
                <w:kern w:val="0"/>
                <w:sz w:val="26"/>
                <w:szCs w:val="26"/>
                <w:lang w:val="en-US" w:eastAsia="zh-CN" w:bidi="ar"/>
              </w:rPr>
              <w:t>t</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Style w:val="9"/>
                <w:rFonts w:hint="default" w:ascii="Times New Roman" w:hAnsi="Times New Roman" w:eastAsia="sans-serif" w:cs="Times New Roman"/>
                <w:kern w:val="0"/>
                <w:sz w:val="26"/>
                <w:szCs w:val="26"/>
                <w:lang w:val="en-US" w:eastAsia="zh-CN" w:bidi="ar"/>
              </w:rPr>
              <w:t>Sig.</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Style w:val="9"/>
                <w:rFonts w:hint="default" w:ascii="Times New Roman" w:hAnsi="Times New Roman" w:eastAsia="sans-serif" w:cs="Times New Roman"/>
                <w:kern w:val="0"/>
                <w:sz w:val="26"/>
                <w:szCs w:val="26"/>
                <w:lang w:val="en-US" w:eastAsia="zh-CN" w:bidi="ar"/>
              </w:rPr>
              <w:t>VIF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spacing w:line="360" w:lineRule="auto"/>
              <w:jc w:val="both"/>
              <w:rPr>
                <w:rFonts w:hint="default" w:ascii="Times New Roman" w:hAnsi="Times New Roman" w:cs="Times New Roman"/>
                <w:b/>
                <w:bCs/>
                <w:sz w:val="26"/>
                <w:szCs w:val="26"/>
                <w:vertAlign w:val="baseline"/>
                <w:lang w:val="en-US" w:eastAsia="zh-CN"/>
              </w:rPr>
            </w:pP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(Hằng số)</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15,1564</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0,2327</w:t>
            </w:r>
          </w:p>
        </w:tc>
        <w:tc>
          <w:tcPr>
            <w:tcW w:w="1065" w:type="dxa"/>
            <w:vAlign w:val="center"/>
          </w:tcPr>
          <w:p>
            <w:pPr>
              <w:spacing w:line="360" w:lineRule="auto"/>
              <w:jc w:val="both"/>
              <w:rPr>
                <w:rFonts w:hint="default" w:ascii="Times New Roman" w:hAnsi="Times New Roman" w:cs="Times New Roman"/>
                <w:b/>
                <w:bCs/>
                <w:sz w:val="26"/>
                <w:szCs w:val="26"/>
                <w:vertAlign w:val="baseline"/>
                <w:lang w:val="en-US" w:eastAsia="zh-CN"/>
              </w:rPr>
            </w:pP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65,141</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spacing w:line="360" w:lineRule="auto"/>
              <w:jc w:val="both"/>
              <w:rPr>
                <w:rFonts w:hint="default" w:ascii="Times New Roman" w:hAnsi="Times New Roman" w:cs="Times New Roman"/>
                <w:b/>
                <w:bCs/>
                <w:sz w:val="26"/>
                <w:szCs w:val="26"/>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KC_TT</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−0,0571</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0,0128</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−0,093</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−4,456</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6,181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2</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KC_BV</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−0,1959</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0,0124</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−0,314</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−15,775</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5,591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3</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KC_BR</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−0,3059</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0,0703</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−0,084</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−4,354</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5,241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4</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GT_DRD</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0,0491</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0,0060</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0,106</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8,112</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2,421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5</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TD_DT</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−0,0001</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0,0000</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−0,080</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−7,743</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1,517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6</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TD_HD</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−0,0924</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0,0357</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−0,045</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−2,591</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0,010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4,260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7</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MT_ANXH</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0,4233</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0,0317</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0,251</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13,359</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4,990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8</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MT_KK</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0,2228</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0,0283</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0,102</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7,879</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2,355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9</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MT_NUOC</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−0,1385</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0,0353</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−0,052</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−3,919</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2,512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10</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YT_DC</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−0,2383</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0,0226</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−0,145</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−10,530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2,664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11</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YT_MTKD</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0,0642</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0,0208</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0,055</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3,087</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0,002</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4,416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12</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YT_DTH</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−0,2795</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0,0314</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−0,150</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−8,892</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3,986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13</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YT_MDDS</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0,0003</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0,0001</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0,056</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4,939</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78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14</w:t>
            </w:r>
          </w:p>
        </w:tc>
        <w:tc>
          <w:tcPr>
            <w:tcW w:w="138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YT_CSSD</w:t>
            </w:r>
          </w:p>
        </w:tc>
        <w:tc>
          <w:tcPr>
            <w:tcW w:w="1103"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−0,3266</w:t>
            </w:r>
          </w:p>
        </w:tc>
        <w:tc>
          <w:tcPr>
            <w:tcW w:w="99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0,0204</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−0,162</w:t>
            </w:r>
          </w:p>
        </w:tc>
        <w:tc>
          <w:tcPr>
            <w:tcW w:w="106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−16,030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0,000</w:t>
            </w:r>
          </w:p>
        </w:tc>
        <w:tc>
          <w:tcPr>
            <w:tcW w:w="1066"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b/>
                <w:bCs/>
                <w:sz w:val="26"/>
                <w:szCs w:val="26"/>
                <w:vertAlign w:val="baseline"/>
                <w:lang w:val="en-US" w:eastAsia="zh-CN"/>
              </w:rPr>
            </w:pPr>
            <w:r>
              <w:rPr>
                <w:rFonts w:hint="default" w:ascii="Times New Roman" w:hAnsi="Times New Roman" w:eastAsia="sans-serif" w:cs="Times New Roman"/>
                <w:kern w:val="0"/>
                <w:sz w:val="26"/>
                <w:szCs w:val="26"/>
                <w:lang w:val="en-US" w:eastAsia="zh-CN" w:bidi="ar"/>
              </w:rPr>
              <w:t>1,443</w:t>
            </w:r>
          </w:p>
        </w:tc>
      </w:tr>
    </w:tbl>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i/>
          <w:sz w:val="26"/>
          <w:szCs w:val="26"/>
        </w:rPr>
        <w:t>R² = 0,2563; R² hiệu chỉnh = 0,2553; F = 258,16 (Sig. = 0,000)</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Bảng 7 cho thấy mô hình hoàn toàn phù hợp: tất cả 14 biến đều có ý nghĩa thống kê (Sig. ≤ 0,05) và hệ số VIF đều &lt; 10. Mô hình có R² hiệu chỉnh = 0,2553, nghĩa là 25,53% sự biến thiên của ln(GIÁ_ĐẤT) được giải thích bởi 14 biến độc lập. Thống kê F = 258,16 với p &lt; 0,001 xác nhận mô hình có ý nghĩa tổng thể.</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Xét hệ số hồi quy chuẩn hóa (Beta), hai biến có ảnh hưởng mạnh nhất đến giá đất đô thị là KC_BV (khoảng cách đến bệnh viện, |Beta| = 0,314) và MT_ANXH (an ninh xã hội, |Beta| = 0,251). Tiếp theo là YT_CSSD (chính sách sử dụng đất, 0,162), YT_DTH (đô thị hóa, 0,150), YT_DC (đầu cơ nhà đất, 0,145). Các biến khoảng cách (KC_TT, KC_BV, KC_BR) đều mang dấu âm, phù hợp quy luật thửa đất gần trung tâm, gần bệnh viện có giá cao hơn. Biến GT_DRD (độ rộng đường tiếp giáp) mang dấu dương, cho thấy giao thông thuận lợi hỗ trợ giá trị đất; YT_MDDS (mật độ dân số) cũng tác động dương – khu vực đông dân thường có nhu cầu đất ở lớn hơn, đẩy giá lên.</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Từ kết quả Bảng 7, mô hình hồi quy giá đất ở đô thị tại thị xã Thái Hòa được xác lập như sau:</w:t>
      </w:r>
    </w:p>
    <w:p>
      <w:pPr>
        <w:pStyle w:val="6"/>
        <w:keepNext w:val="0"/>
        <w:keepLines w:val="0"/>
        <w:widowControl/>
        <w:suppressLineNumbers w:val="0"/>
        <w:pBdr>
          <w:top w:val="single" w:color="auto" w:sz="4" w:space="0"/>
          <w:left w:val="single" w:color="auto" w:sz="4" w:space="0"/>
          <w:bottom w:val="single" w:color="auto" w:sz="4" w:space="0"/>
          <w:right w:val="single" w:color="auto" w:sz="4" w:space="0"/>
        </w:pBdr>
        <w:spacing w:line="360" w:lineRule="auto"/>
        <w:ind w:left="720" w:right="720"/>
        <w:jc w:val="both"/>
        <w:rPr>
          <w:rFonts w:hint="default" w:ascii="Times New Roman" w:hAnsi="Times New Roman" w:cs="Times New Roman"/>
          <w:b w:val="0"/>
          <w:bCs/>
          <w:sz w:val="26"/>
          <w:szCs w:val="26"/>
        </w:rPr>
      </w:pPr>
      <w:r>
        <w:rPr>
          <w:rFonts w:hint="default" w:ascii="Times New Roman" w:hAnsi="Times New Roman" w:eastAsia="SimSun" w:cs="Times New Roman"/>
          <w:b w:val="0"/>
          <w:bCs/>
          <w:sz w:val="26"/>
          <w:szCs w:val="26"/>
        </w:rPr>
        <w:t>ln(GIÁ_ĐẤT) = 15,1564 − 0,0571 × KC_TT − 0,1959 × KC_BV − 0,3059 × KC_BR + 0,0491 × GT_DRD − 0,0001 × TD_DT − 0,0924 × TD_HD + 0,4233 × MT_ANXH + 0,2228 × MT_KK − 0,1385 × MT_NUOC − 0,2383 × YT_DC + 0,0642 × YT_MTKD − 0,2795 × YT_DTH + 0,0003 × YT_MDDS − 0,3266 × YT_CSSD</w:t>
      </w:r>
    </w:p>
    <w:p>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3.4.3. Nhận xét và kiểm định mô hình</w:t>
      </w:r>
    </w:p>
    <w:p>
      <w:pPr>
        <w:pStyle w:val="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a) Kiểm định hiện tượng đa cộng tuyến</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Kiểm định bằng hệ số phóng đại phương sai VIF.</w:t>
      </w:r>
      <w:r>
        <w:rPr>
          <w:rFonts w:hint="default" w:ascii="Times New Roman" w:hAnsi="Times New Roman" w:cs="Times New Roman"/>
          <w:sz w:val="26"/>
          <w:szCs w:val="26"/>
        </w:rPr>
        <w:t xml:space="preserve"> Trong Bảng 7, cột VIF cho thấy tất cả các biến đều có VIF &lt; 10, với giá trị lớn nhất là 6,181 (biến KC_TT). Mặt khác, VIF tổng thể = 1/(1 − R²) = 1/(1 − 0,2563) = 1,34 &lt; 10. Như vậy, </w:t>
      </w:r>
      <w:r>
        <w:rPr>
          <w:rFonts w:hint="default" w:ascii="Times New Roman" w:hAnsi="Times New Roman" w:cs="Times New Roman"/>
          <w:b/>
          <w:sz w:val="26"/>
          <w:szCs w:val="26"/>
        </w:rPr>
        <w:t>không có hiện tượng đa cộng tuyến</w:t>
      </w:r>
      <w:r>
        <w:rPr>
          <w:rFonts w:hint="default" w:ascii="Times New Roman" w:hAnsi="Times New Roman" w:cs="Times New Roman"/>
          <w:sz w:val="26"/>
          <w:szCs w:val="26"/>
        </w:rPr>
        <w:t xml:space="preserve"> trong mô hình theo tiêu chí VIF.</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Kiểm định bằng hồi quy phụ.</w:t>
      </w:r>
      <w:r>
        <w:rPr>
          <w:rFonts w:hint="default" w:ascii="Times New Roman" w:hAnsi="Times New Roman" w:cs="Times New Roman"/>
          <w:sz w:val="26"/>
          <w:szCs w:val="26"/>
        </w:rPr>
        <w:t xml:space="preserve"> Tiến hành hồi quy lần lượt từng biến độc lập X_i lên tất cả các biến độc lập còn lại X_j (j ≠ i). Kết quả trình bày ở Bảng 8.</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Bảng 8. Kết quả xác định R² của mô hình hồi quy phụ các biến độc lập</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Style w:val="9"/>
                <w:rFonts w:hint="default" w:ascii="Times New Roman" w:hAnsi="Times New Roman" w:eastAsia="sans-serif" w:cs="Times New Roman"/>
                <w:kern w:val="0"/>
                <w:sz w:val="26"/>
                <w:szCs w:val="26"/>
                <w:lang w:val="en-US" w:eastAsia="zh-CN" w:bidi="ar"/>
              </w:rPr>
              <w:t>STT</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Style w:val="9"/>
                <w:rFonts w:hint="default" w:ascii="Times New Roman" w:hAnsi="Times New Roman" w:eastAsia="sans-serif" w:cs="Times New Roman"/>
                <w:kern w:val="0"/>
                <w:sz w:val="26"/>
                <w:szCs w:val="26"/>
                <w:lang w:val="en-US" w:eastAsia="zh-CN" w:bidi="ar"/>
              </w:rPr>
              <w:t>Biến phụ thuộc</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Style w:val="9"/>
                <w:rFonts w:hint="default" w:ascii="Times New Roman" w:hAnsi="Times New Roman" w:eastAsia="sans-serif" w:cs="Times New Roman"/>
                <w:kern w:val="0"/>
                <w:sz w:val="26"/>
                <w:szCs w:val="26"/>
                <w:lang w:val="en-US" w:eastAsia="zh-CN" w:bidi="ar"/>
              </w:rPr>
              <w:t>Hệ số R²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KC_TT</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0,838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KC_BV</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0,821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KC_BR</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0,809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GT_DRD</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0,587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TD_DT</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0,341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TD_HD</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0,765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MT_ANXH</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8</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MT_KK</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0,575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9</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MT_NUOC</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0,602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10</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YT_DC</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0,625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11</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YT_MTKD</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0,774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12</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YT_DTH</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0,749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13</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YT_MDDS</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0,445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840"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14</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YT_CSSD</w:t>
            </w:r>
          </w:p>
        </w:tc>
        <w:tc>
          <w:tcPr>
            <w:tcW w:w="2841"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0,307</w:t>
            </w:r>
          </w:p>
        </w:tc>
      </w:tr>
    </w:tbl>
    <w:p>
      <w:pPr>
        <w:keepNext w:val="0"/>
        <w:keepLines w:val="0"/>
        <w:widowControl/>
        <w:suppressLineNumbers w:val="0"/>
        <w:spacing w:line="360" w:lineRule="auto"/>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Các giá trị R² hồi quy phụ đều lớn hơn R² = 0,2563 của mô hình chính. Tuy nhiên, cần lưu ý rằng R² hồi quy phụ đo lường mức độ tương quan giữa </w:t>
      </w:r>
      <w:r>
        <w:rPr>
          <w:rFonts w:hint="default" w:ascii="Times New Roman" w:hAnsi="Times New Roman" w:eastAsia="SimSun" w:cs="Times New Roman"/>
          <w:i/>
          <w:kern w:val="0"/>
          <w:sz w:val="26"/>
          <w:szCs w:val="26"/>
          <w:lang w:val="en-US" w:eastAsia="zh-CN" w:bidi="ar"/>
        </w:rPr>
        <w:t>các biến độc lập với nhau</w:t>
      </w:r>
      <w:r>
        <w:rPr>
          <w:rFonts w:hint="default" w:ascii="Times New Roman" w:hAnsi="Times New Roman" w:eastAsia="SimSun" w:cs="Times New Roman"/>
          <w:kern w:val="0"/>
          <w:sz w:val="26"/>
          <w:szCs w:val="26"/>
          <w:lang w:val="en-US" w:eastAsia="zh-CN" w:bidi="ar"/>
        </w:rPr>
        <w:t xml:space="preserve">, trong khi R² mô hình đo lường khả năng giải thích </w:t>
      </w:r>
      <w:r>
        <w:rPr>
          <w:rFonts w:hint="default" w:ascii="Times New Roman" w:hAnsi="Times New Roman" w:eastAsia="SimSun" w:cs="Times New Roman"/>
          <w:i/>
          <w:kern w:val="0"/>
          <w:sz w:val="26"/>
          <w:szCs w:val="26"/>
          <w:lang w:val="en-US" w:eastAsia="zh-CN" w:bidi="ar"/>
        </w:rPr>
        <w:t>biến phụ thuộc</w:t>
      </w:r>
      <w:r>
        <w:rPr>
          <w:rFonts w:hint="default" w:ascii="Times New Roman" w:hAnsi="Times New Roman" w:eastAsia="SimSun" w:cs="Times New Roman"/>
          <w:kern w:val="0"/>
          <w:sz w:val="26"/>
          <w:szCs w:val="26"/>
          <w:lang w:val="en-US" w:eastAsia="zh-CN" w:bidi="ar"/>
        </w:rPr>
        <w:t xml:space="preserve">. Hai đại lượng này có ý nghĩa khác nhau; việc R² phụ cao phản ánh mối liên hệ tự nhiên giữa các thuộc tính đô thị (ví dụ: khu vực gần trung tâm thường có mật độ dân số cao, hạ tầng tốt hơn). Tiêu chuẩn chẩn đoán chính là VIF: với VIF tối đa = 6,181 (&lt; 10) và VIF tổng thể = 1,34, kết hợp cả hai cách kiểm định cho phép kết luận: </w:t>
      </w:r>
      <w:r>
        <w:rPr>
          <w:rFonts w:hint="default" w:ascii="Times New Roman" w:hAnsi="Times New Roman" w:eastAsia="SimSun" w:cs="Times New Roman"/>
          <w:b/>
          <w:kern w:val="0"/>
          <w:sz w:val="26"/>
          <w:szCs w:val="26"/>
          <w:lang w:val="en-US" w:eastAsia="zh-CN" w:bidi="ar"/>
        </w:rPr>
        <w:t>không tồn tại hiện tượng đa cộng tuyến nghiêm trọng</w:t>
      </w:r>
      <w:r>
        <w:rPr>
          <w:rFonts w:hint="default" w:ascii="Times New Roman" w:hAnsi="Times New Roman" w:eastAsia="SimSun" w:cs="Times New Roman"/>
          <w:kern w:val="0"/>
          <w:sz w:val="26"/>
          <w:szCs w:val="26"/>
          <w:lang w:val="en-US" w:eastAsia="zh-CN" w:bidi="ar"/>
        </w:rPr>
        <w:t xml:space="preserve"> trong mô hình.</w:t>
      </w:r>
    </w:p>
    <w:p>
      <w:pPr>
        <w:pStyle w:val="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 Kiểm định hiện tượng tự tương quan</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kết quả hồi quy, giá trị Durbin–Watson d = 0,7909. Giá trị d gần ngưỡng dưới là hiện tượng phổ biến trong các nghiên cứu định giá bất động sản sử dụng dữ liệu không gian (Anselin, 1988), do tự tương quan không gian (spatial autocorrelation) – các thửa đất lân cận thường có giá tương đồng vì cùng chia sẻ các yếu tố vị trí và hạ tầng. Đặc biệt lưu ý rằng hiện tượng này </w:t>
      </w:r>
      <w:r>
        <w:rPr>
          <w:rFonts w:hint="default" w:ascii="Times New Roman" w:hAnsi="Times New Roman" w:cs="Times New Roman"/>
          <w:b/>
          <w:sz w:val="26"/>
          <w:szCs w:val="26"/>
        </w:rPr>
        <w:t>không làm chệch (bias)</w:t>
      </w:r>
      <w:r>
        <w:rPr>
          <w:rFonts w:hint="default" w:ascii="Times New Roman" w:hAnsi="Times New Roman" w:cs="Times New Roman"/>
          <w:sz w:val="26"/>
          <w:szCs w:val="26"/>
        </w:rPr>
        <w:t xml:space="preserve"> các hệ số hồi quy ước lượng – tức là chiều hướng và độ lớn tác động của các biến vẫn đáng tin cậy; tác động chủ yếu nằm ở sai số chuẩn, có thể được khắc phục bằng ước lượng robust Newey–West (HAC) hoặc mô hình hồi quy không gian khi cần nâng cao khoảng tin cậy.</w:t>
      </w:r>
    </w:p>
    <w:p>
      <w:pPr>
        <w:pStyle w:val="5"/>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 Kiểm định hiện tượng phương sai thay đổi</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Kiểm định Breusch–Pagan với giả thuyết H₀: phương sai sai số đồng nhất. Kết quả: LM = 715,83, bậc tự do df = 14, p &lt; 0,001. Phân tích chi tiết cho thấy 5 trong 14 biến </w:t>
      </w:r>
      <w:r>
        <w:rPr>
          <w:rFonts w:hint="default" w:ascii="Times New Roman" w:hAnsi="Times New Roman" w:cs="Times New Roman"/>
          <w:b/>
          <w:sz w:val="26"/>
          <w:szCs w:val="26"/>
        </w:rPr>
        <w:t>không</w:t>
      </w:r>
      <w:r>
        <w:rPr>
          <w:rFonts w:hint="default" w:ascii="Times New Roman" w:hAnsi="Times New Roman" w:cs="Times New Roman"/>
          <w:sz w:val="26"/>
          <w:szCs w:val="26"/>
        </w:rPr>
        <w:t xml:space="preserve"> gây phương sai thay đổi: KC_BR (Sig. = 0,795), TD_DT (0,141), TD_HD (0,895), YT_DC (0,915), YT_MTKD (0,967); trong khi 9 biến còn lại có Sig. &lt; 0,05. Đây là đặc điểm phổ biến trong các mô hình hedonic giá đất do tính chất phân phối lệch phải của dữ liệu bất động sản (Malpezzi, 2003). Quan trọng là phương sai sai số không đồng nhất </w:t>
      </w:r>
      <w:r>
        <w:rPr>
          <w:rFonts w:hint="default" w:ascii="Times New Roman" w:hAnsi="Times New Roman" w:cs="Times New Roman"/>
          <w:b/>
          <w:sz w:val="26"/>
          <w:szCs w:val="26"/>
        </w:rPr>
        <w:t>không làm chệch</w:t>
      </w:r>
      <w:r>
        <w:rPr>
          <w:rFonts w:hint="default" w:ascii="Times New Roman" w:hAnsi="Times New Roman" w:cs="Times New Roman"/>
          <w:sz w:val="26"/>
          <w:szCs w:val="26"/>
        </w:rPr>
        <w:t xml:space="preserve"> hệ số hồi quy mà chỉ ảnh hưởng đến hiệu quả ước lượng; nghiên cứu đã áp dụng biến đổi logarit biến phụ thuộc như biện pháp giảm thiểu cơ bản, và có thể bổ sung sai số chuẩn robust White (HC) khi cần ước lượng khoảng tin cậy chính xác hơn (Wooldridge, 2013).</w:t>
      </w:r>
      <w:bookmarkStart w:id="0" w:name="_GoBack"/>
      <w:bookmarkEnd w:id="0"/>
    </w:p>
    <w:p>
      <w:pPr>
        <w:pStyle w:val="6"/>
        <w:keepNext w:val="0"/>
        <w:keepLines w:val="0"/>
        <w:widowControl/>
        <w:suppressLineNumbers w:val="0"/>
        <w:spacing w:line="360" w:lineRule="auto"/>
        <w:jc w:val="both"/>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sz w:val="26"/>
          <w:szCs w:val="26"/>
        </w:rPr>
        <w:t xml:space="preserve">Tổng hợp các kiểm định cho thấy: mô hình </w:t>
      </w:r>
      <w:r>
        <w:rPr>
          <w:rFonts w:hint="default" w:ascii="Times New Roman" w:hAnsi="Times New Roman" w:cs="Times New Roman"/>
          <w:b/>
          <w:sz w:val="26"/>
          <w:szCs w:val="26"/>
        </w:rPr>
        <w:t>không có đa cộng tuyến</w:t>
      </w:r>
      <w:r>
        <w:rPr>
          <w:rFonts w:hint="default" w:ascii="Times New Roman" w:hAnsi="Times New Roman" w:cs="Times New Roman"/>
          <w:sz w:val="26"/>
          <w:szCs w:val="26"/>
        </w:rPr>
        <w:t xml:space="preserve"> (VIF tối đa = 6,181 &lt; 10); giá trị Durbin–Watson và kiểm định Breusch–Pagan phản ánh tính chất không gian đặc trưng của dữ liệu bất động sản – hai hiện tượng này </w:t>
      </w:r>
      <w:r>
        <w:rPr>
          <w:rFonts w:hint="default" w:ascii="Times New Roman" w:hAnsi="Times New Roman" w:cs="Times New Roman"/>
          <w:b/>
          <w:sz w:val="26"/>
          <w:szCs w:val="26"/>
        </w:rPr>
        <w:t>không ảnh hưởng</w:t>
      </w:r>
      <w:r>
        <w:rPr>
          <w:rFonts w:hint="default" w:ascii="Times New Roman" w:hAnsi="Times New Roman" w:cs="Times New Roman"/>
          <w:sz w:val="26"/>
          <w:szCs w:val="26"/>
        </w:rPr>
        <w:t xml:space="preserve"> đến tính không chệch của hệ số hồi quy và là đặc điểm chung được ghi nhận trong hầu hết các nghiên cứu định giá đất (Wooldridge, 2013; Anselin, 1988).</w:t>
      </w:r>
    </w:p>
    <w:p>
      <w:pPr>
        <w:pStyle w:val="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3.5. Ứng dụng mô hình hồi quy trong dự đoán giá đất ở đô thị tại thị xã Thái Hòa</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i/>
          <w:sz w:val="26"/>
          <w:szCs w:val="26"/>
        </w:rPr>
        <w:t xml:space="preserve">Ghi chú: Dữ liệu đất ở đô thị thị xã Thái Hòa được tổng hợp từ 3 khu vực hành chính, mỗi khu vực có bảng giá đất nhà nước riêng. Ký hiệu: </w:t>
      </w:r>
      <w:r>
        <w:rPr>
          <w:rFonts w:hint="default" w:ascii="Times New Roman" w:hAnsi="Times New Roman" w:cs="Times New Roman"/>
          <w:b/>
          <w:i/>
          <w:sz w:val="26"/>
          <w:szCs w:val="26"/>
        </w:rPr>
        <w:t>TH</w:t>
      </w:r>
      <w:r>
        <w:rPr>
          <w:rFonts w:hint="default" w:ascii="Times New Roman" w:hAnsi="Times New Roman" w:cs="Times New Roman"/>
          <w:i/>
          <w:sz w:val="26"/>
          <w:szCs w:val="26"/>
        </w:rPr>
        <w:t xml:space="preserve"> = phường Hòa Hiếu (trung tâm Thái Hòa), </w:t>
      </w:r>
      <w:r>
        <w:rPr>
          <w:rFonts w:hint="default" w:ascii="Times New Roman" w:hAnsi="Times New Roman" w:cs="Times New Roman"/>
          <w:b/>
          <w:i/>
          <w:sz w:val="26"/>
          <w:szCs w:val="26"/>
        </w:rPr>
        <w:t>TyH</w:t>
      </w:r>
      <w:r>
        <w:rPr>
          <w:rFonts w:hint="default" w:ascii="Times New Roman" w:hAnsi="Times New Roman" w:cs="Times New Roman"/>
          <w:i/>
          <w:sz w:val="26"/>
          <w:szCs w:val="26"/>
        </w:rPr>
        <w:t xml:space="preserve"> = phường Tây Hiếu, </w:t>
      </w:r>
      <w:r>
        <w:rPr>
          <w:rFonts w:hint="default" w:ascii="Times New Roman" w:hAnsi="Times New Roman" w:cs="Times New Roman"/>
          <w:b/>
          <w:i/>
          <w:sz w:val="26"/>
          <w:szCs w:val="26"/>
        </w:rPr>
        <w:t>ĐH</w:t>
      </w:r>
      <w:r>
        <w:rPr>
          <w:rFonts w:hint="default" w:ascii="Times New Roman" w:hAnsi="Times New Roman" w:cs="Times New Roman"/>
          <w:i/>
          <w:sz w:val="26"/>
          <w:szCs w:val="26"/>
        </w:rPr>
        <w:t xml:space="preserve"> = xã Đông Hiếu. Do bảng giá khác nhau, các vùng giá giữa các khu vực có thể chồng lấn về khoảng giá.</w:t>
      </w:r>
    </w:p>
    <w:p>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3.5.1. Dự đoán giá đất ở đô thị</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Từ mô hình hồi quy xây dựng được, tiến hành dự đoán giá đất cho tập kiểm tra gồm 2.625 thửa đất. Kết quả đánh giá tổng quát: R² (tập kiểm tra) = 0,2314, sai số tuyệt đối trung bình MAE = 5.004.220 VNĐ/m². Giá trị R² trên tập kiểm tra gần sát R² tập huấn luyện (0,2563), cho thấy mô hình có tính tổng quát tốt, không bị quá khớp (overfitting). Mức R² khoảng 25% phù hợp với đặc thù mô hình hedonic giá đất sử dụng các biến vĩ mô (vị trí, hạ tầng, môi trường) mà chưa bao gồm đặc điểm bên trong công trình (Malpezzi, 2003).</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Để kiểm tra chi tiết, nghiên cứu tiến hành chọn ngẫu nhiên một số thửa đất từ các vùng giá khác nhau trên tập kiểm tra, so sánh giá dự đoán bằng mô hình hồi quy với giá thực tế. Kết quả trình bày ở Bảng 9.</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Bảng 9. Kết quả kiểm tra độ chính xác của mô hình giá đất ở đô thị</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Style w:val="9"/>
                <w:rFonts w:hint="default" w:ascii="Times New Roman" w:hAnsi="Times New Roman" w:eastAsia="sans-serif" w:cs="Times New Roman"/>
                <w:kern w:val="0"/>
                <w:sz w:val="26"/>
                <w:szCs w:val="26"/>
                <w:lang w:val="en-US" w:eastAsia="zh-CN" w:bidi="ar"/>
              </w:rPr>
              <w:t>STT</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Style w:val="9"/>
                <w:rFonts w:hint="default" w:ascii="Times New Roman" w:hAnsi="Times New Roman" w:eastAsia="sans-serif" w:cs="Times New Roman"/>
                <w:kern w:val="0"/>
                <w:sz w:val="26"/>
                <w:szCs w:val="26"/>
                <w:lang w:val="en-US" w:eastAsia="zh-CN" w:bidi="ar"/>
              </w:rPr>
              <w:t>Vùng giá (KV)</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Style w:val="9"/>
                <w:rFonts w:hint="default" w:ascii="Times New Roman" w:hAnsi="Times New Roman" w:eastAsia="sans-serif" w:cs="Times New Roman"/>
                <w:kern w:val="0"/>
                <w:sz w:val="26"/>
                <w:szCs w:val="26"/>
                <w:lang w:val="en-US" w:eastAsia="zh-CN" w:bidi="ar"/>
              </w:rPr>
              <w:t>Giá dự đoán (VNĐ/m²)</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Style w:val="9"/>
                <w:rFonts w:hint="default" w:ascii="Times New Roman" w:hAnsi="Times New Roman" w:eastAsia="sans-serif" w:cs="Times New Roman"/>
                <w:kern w:val="0"/>
                <w:sz w:val="26"/>
                <w:szCs w:val="26"/>
                <w:lang w:val="en-US" w:eastAsia="zh-CN" w:bidi="ar"/>
              </w:rPr>
              <w:t>Giá thực tế (VNĐ/m²)</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Style w:val="9"/>
                <w:rFonts w:hint="default" w:ascii="Times New Roman" w:hAnsi="Times New Roman" w:eastAsia="sans-serif" w:cs="Times New Roman"/>
                <w:kern w:val="0"/>
                <w:sz w:val="26"/>
                <w:szCs w:val="26"/>
                <w:lang w:val="en-US" w:eastAsia="zh-CN" w:bidi="ar"/>
              </w:rPr>
              <w:t>Chênh lệch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Dưới 3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5.597.189</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1.377.901</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306,2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Dưới 3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6.813.503</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1.215.678</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460,5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Dưới 4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4.439.013</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3.675.954</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Dưới 4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2.992.602</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739.217</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304,8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Dưới 2 triệu (ĐH)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169.868</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1.349.024</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87,4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Dưới 2 triệu (ĐH)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364.448</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1.185.276</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3–7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9.775.206</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3.611.673</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170,7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8</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3–7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3.887.653</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4.928.443</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9</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4–7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6.923.885</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5.007.661</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10</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4–7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6.528.713</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5.658.015</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11</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7–10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7.774.044</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8.002.978</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12</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7–10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5.563.839</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7.562.399</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13</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7–15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5.074.942</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14.341.218</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14</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7–15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6.638.803</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10.752.887</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38,3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15</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10–18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4.100.855</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14.869.495</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16</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10–18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6.639.332</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14.673.117</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17</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15–25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8.980.544</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18.044.666</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18</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15–25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10.997.652</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24.141.832</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54,4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19</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Trên 18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11.329.879</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19.377.244</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20</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Trên 18 triệu (TyH)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7.984.669</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20.788.075</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21</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Trên 25 triệu (TH)</w:t>
            </w:r>
          </w:p>
        </w:tc>
        <w:tc>
          <w:tcPr>
            <w:tcW w:w="1704"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9.271.745</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26.425.817</w:t>
            </w:r>
          </w:p>
        </w:tc>
        <w:tc>
          <w:tcPr>
            <w:tcW w:w="1705" w:type="dxa"/>
            <w:vAlign w:val="center"/>
          </w:tcPr>
          <w:p>
            <w:pPr>
              <w:keepNext w:val="0"/>
              <w:keepLines w:val="0"/>
              <w:widowControl/>
              <w:suppressLineNumbers w:val="0"/>
              <w:spacing w:before="0" w:beforeAutospacing="0" w:line="360" w:lineRule="auto"/>
              <w:jc w:val="both"/>
              <w:rPr>
                <w:rFonts w:hint="default" w:ascii="Times New Roman" w:hAnsi="Times New Roman" w:cs="Times New Roman"/>
                <w:sz w:val="26"/>
                <w:szCs w:val="26"/>
                <w:vertAlign w:val="baseline"/>
              </w:rPr>
            </w:pPr>
            <w:r>
              <w:rPr>
                <w:rFonts w:hint="default" w:ascii="Times New Roman" w:hAnsi="Times New Roman" w:eastAsia="sans-serif" w:cs="Times New Roman"/>
                <w:kern w:val="0"/>
                <w:sz w:val="26"/>
                <w:szCs w:val="26"/>
                <w:lang w:val="en-US" w:eastAsia="zh-CN" w:bidi="ar"/>
              </w:rPr>
              <w:t>64,9</w:t>
            </w:r>
          </w:p>
        </w:tc>
      </w:tr>
    </w:tbl>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Bảng 9 cho thấy mô hình nắm bắt được xu hướng giá đất ở các phân khúc khác nhau. Ở phân khúc giá trung bình (4–10 triệu VNĐ/m²), mô hình cho kết quả khá sát thực tế với chênh lệch 2,9–38,3% (STT 9–12). Ở phân khúc giá cao hơn, mô hình có xu hướng ước lượng bảo thủ hơn – đây là đặc tính tự nhiên của phương pháp OLS khi giá trị dự đoán hướng về giá trị trung bình của mẫu (regression toward the mean), phù hợp với kết quả của nhiều nghiên cứu tương tự (Limsombunchai &amp; cs., 2004). Một số thửa ở vùng giá thấp có chênh lệch lớn phản ánh tính đa dạng của thị trường đất đô thị – cùng một vùng giá hành chính nhưng giá thị trường thực tế có biên dao động rộng.</w:t>
      </w:r>
    </w:p>
    <w:p>
      <w:pPr>
        <w:pStyle w:val="4"/>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3.5.2. Xây dựng bản đồ vùng giá trị đất</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Từ phương trình hồi quy đã xây dựng, nghiên cứu tiến hành tích hợp công thức vào phần mềm QGIS thông qua công cụ Field Calculator để tính giá đất tự động cho toàn bộ thửa đất trên bản đồ số:</w:t>
      </w:r>
      <w:r>
        <w:rPr>
          <w:rFonts w:hint="default" w:ascii="Times New Roman" w:hAnsi="Times New Roman" w:cs="Times New Roman"/>
          <w:sz w:val="26"/>
          <w:szCs w:val="26"/>
        </w:rPr>
        <w:t xml:space="preserve"> </w:t>
      </w:r>
    </w:p>
    <w:p>
      <w:pPr>
        <w:keepNext w:val="0"/>
        <w:keepLines w:val="0"/>
        <w:widowControl/>
        <w:suppressLineNumbers w:val="0"/>
        <w:pBdr>
          <w:top w:val="single" w:color="auto" w:sz="4" w:space="0"/>
          <w:left w:val="single" w:color="auto" w:sz="4" w:space="0"/>
          <w:bottom w:val="single" w:color="auto" w:sz="4" w:space="0"/>
          <w:right w:val="single" w:color="auto" w:sz="4" w:space="0"/>
        </w:pBdr>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exp(15.156430 - 0.057141 * "KC_TT" - 0.195913 * "KC_BV" - 0.305915 * "KC_BR" + 0.049059 * "GT_DRD" - 0.000117 * "TD_DT" - 0.092387 * "TD_HD" + 0.423301 * "MT_ANXH" + 0.222820 * "MT_KK" - 0.138501 * "MT_NUOC" - 0.238252 * "YT_DC" + 0.064153 * "YT_MTKD" - 0.279477 * "YT_DTH" + 0.000280 * "YT_MDDS" - 0.326578 * "YT_CSSD")</w:t>
      </w:r>
    </w:p>
    <w:p>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Trên cơ sở giá đất tính toán, khu vực đất ở đô thị thị xã Thái Hòa được phân thành các vùng giá trị. Kết quả đánh giá trên tập kiểm tra (2.625 mẫu) với độ chính xác phân vùng giá đạt </w:t>
      </w:r>
      <w:r>
        <w:rPr>
          <w:rFonts w:hint="default" w:ascii="Times New Roman" w:hAnsi="Times New Roman" w:eastAsia="SimSun" w:cs="Times New Roman"/>
          <w:b/>
          <w:kern w:val="0"/>
          <w:sz w:val="26"/>
          <w:szCs w:val="26"/>
          <w:lang w:val="en-US" w:eastAsia="zh-CN" w:bidi="ar"/>
        </w:rPr>
        <w:t>34,9%</w:t>
      </w:r>
      <w:r>
        <w:rPr>
          <w:rFonts w:hint="default" w:ascii="Times New Roman" w:hAnsi="Times New Roman" w:eastAsia="SimSun" w:cs="Times New Roman"/>
          <w:kern w:val="0"/>
          <w:sz w:val="26"/>
          <w:szCs w:val="26"/>
          <w:lang w:val="en-US" w:eastAsia="zh-CN" w:bidi="ar"/>
        </w:rPr>
        <w:t>, cụ thể:</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Vùng giá (KV)</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Khoảng giá (VNĐ/m²)</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Tổng mẫu</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Dự đoán đúng</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Tỷ lệ đúng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Dưới 4 triệu (TH)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 – 4.000.000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591</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316</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Dưới 2 triệu (ĐH)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 – 2.000.000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Dưới 3 triệu (TyH)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 – 3.000.000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319</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91</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3–7 triệu (TyH)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3.000.000 – 7.000.000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17</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35,3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4–7 triệu (TH)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4.000.000 – 7.000.000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526</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227</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7–15 triệu (TH)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7.000.000 – 15.000.000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459</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244</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53,2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7–10 triệu (TyH)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7.000.000 – 10.000.000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116</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28</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10–18 triệu (TyH)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10.000.000 – 18.000.000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211</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2</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15–25 triệu (TH)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15.000.000 – 25.000.000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192</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Trên 18 triệu (TyH)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&gt; 18.000.000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125</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Trên 25 triệu (TH)</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&gt; 25.000.000</w:t>
            </w: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67</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i w:val="0"/>
                <w:color w:val="000000"/>
                <w:kern w:val="0"/>
                <w:sz w:val="26"/>
                <w:szCs w:val="26"/>
                <w:u w:val="none"/>
                <w:lang w:val="en-US" w:eastAsia="zh-CN" w:bidi="ar"/>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Tổng</w:t>
            </w:r>
          </w:p>
        </w:tc>
        <w:tc>
          <w:tcPr>
            <w:tcW w:w="1704" w:type="dxa"/>
            <w:vAlign w:val="center"/>
          </w:tcPr>
          <w:p>
            <w:pPr>
              <w:spacing w:line="360" w:lineRule="auto"/>
              <w:jc w:val="both"/>
              <w:rPr>
                <w:rFonts w:hint="default" w:ascii="Times New Roman" w:hAnsi="Times New Roman" w:cs="Times New Roman"/>
                <w:sz w:val="26"/>
                <w:szCs w:val="26"/>
                <w:vertAlign w:val="baseline"/>
              </w:rPr>
            </w:pPr>
          </w:p>
        </w:tc>
        <w:tc>
          <w:tcPr>
            <w:tcW w:w="1704"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2.625</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917</w:t>
            </w:r>
          </w:p>
        </w:tc>
        <w:tc>
          <w:tcPr>
            <w:tcW w:w="1705" w:type="dxa"/>
            <w:vAlign w:val="center"/>
          </w:tcPr>
          <w:p>
            <w:pPr>
              <w:keepNext w:val="0"/>
              <w:keepLines w:val="0"/>
              <w:widowControl/>
              <w:suppressLineNumbers w:val="0"/>
              <w:spacing w:line="360" w:lineRule="auto"/>
              <w:jc w:val="both"/>
              <w:textAlignment w:val="center"/>
              <w:rPr>
                <w:rFonts w:hint="default" w:ascii="Times New Roman" w:hAnsi="Times New Roman" w:cs="Times New Roman"/>
                <w:sz w:val="26"/>
                <w:szCs w:val="26"/>
                <w:vertAlign w:val="baseline"/>
              </w:rPr>
            </w:pPr>
            <w:r>
              <w:rPr>
                <w:rFonts w:hint="default" w:ascii="Times New Roman" w:hAnsi="Times New Roman" w:eastAsia="SimSun" w:cs="Times New Roman"/>
                <w:b/>
                <w:i w:val="0"/>
                <w:color w:val="000000"/>
                <w:kern w:val="0"/>
                <w:sz w:val="26"/>
                <w:szCs w:val="26"/>
                <w:u w:val="none"/>
                <w:lang w:val="en-US" w:eastAsia="zh-CN" w:bidi="ar"/>
              </w:rPr>
              <w:t>34,9</w:t>
            </w:r>
          </w:p>
        </w:tc>
      </w:tr>
    </w:tbl>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Kết quả cho thấy mô hình dự đoán hiệu quả ở các phân khúc giá thấp và trung bình: khu vực TH đạt 43,2–53,5% ở dải dưới 15 triệu; khu vực ĐH đạt 100% (mẫu nhỏ). Ở các phân khúc giá cao (trên 15 triệu), mô hình có xu hướng ước lượng bảo thủ – đặc điểm quen thuộc của phương pháp OLS khi phân bố giá đất lệch phải.</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Bản đồ vùng giá trị đất ở đô thị được thành lập bằng cách phân lớp giá trị dự đoán trên QGIS, phục vụ cơ quan quản lý đất đai trong việc nắm bắt phân bố không gian giá đất, hỗ trợ quy hoạch, bồi thường giải phóng mặt bằng và thu thuế đất. Kết quả bản đồ phân vùng giá đất ở đô thị cho từng khu vực được trình bày lần lượt tại Hình 1, Hình 2 và Hình 3.</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Hình 1.</w:t>
      </w:r>
      <w:r>
        <w:rPr>
          <w:rFonts w:hint="default" w:ascii="Times New Roman" w:hAnsi="Times New Roman" w:cs="Times New Roman"/>
          <w:sz w:val="26"/>
          <w:szCs w:val="26"/>
        </w:rPr>
        <w:t xml:space="preserve"> Bản đồ phân vùng giá đất ở đô thị phường Hòa Hiếu (TH) </w:t>
      </w:r>
      <w:r>
        <w:rPr>
          <w:rFonts w:hint="default" w:ascii="Times New Roman" w:hAnsi="Times New Roman" w:cs="Times New Roman"/>
          <w:i/>
          <w:sz w:val="26"/>
          <w:szCs w:val="26"/>
        </w:rPr>
        <w:t>(Nguồn: BAN_DO/phường Thái hòa vùng giá đất theo giá quy định năm 2025.pdf)</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Hình 2.</w:t>
      </w:r>
      <w:r>
        <w:rPr>
          <w:rFonts w:hint="default" w:ascii="Times New Roman" w:hAnsi="Times New Roman" w:cs="Times New Roman"/>
          <w:sz w:val="26"/>
          <w:szCs w:val="26"/>
        </w:rPr>
        <w:t xml:space="preserve"> Bản đồ phân vùng giá đất ở đô thị xã Đông Hiếu (ĐH) </w:t>
      </w:r>
      <w:r>
        <w:rPr>
          <w:rFonts w:hint="default" w:ascii="Times New Roman" w:hAnsi="Times New Roman" w:cs="Times New Roman"/>
          <w:i/>
          <w:sz w:val="26"/>
          <w:szCs w:val="26"/>
        </w:rPr>
        <w:t>(Nguồn: BAN_DO/Bản đồ vùng giá đất xã đông hiếu theo giá quy định năm 2025.pdf)</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Hình 3.</w:t>
      </w:r>
      <w:r>
        <w:rPr>
          <w:rFonts w:hint="default" w:ascii="Times New Roman" w:hAnsi="Times New Roman" w:cs="Times New Roman"/>
          <w:sz w:val="26"/>
          <w:szCs w:val="26"/>
        </w:rPr>
        <w:t xml:space="preserve"> Bản đồ phân vùng giá đất ở đô thị phường Tây Hiếu (TyH) </w:t>
      </w:r>
      <w:r>
        <w:rPr>
          <w:rFonts w:hint="default" w:ascii="Times New Roman" w:hAnsi="Times New Roman" w:cs="Times New Roman"/>
          <w:i/>
          <w:sz w:val="26"/>
          <w:szCs w:val="26"/>
        </w:rPr>
        <w:t>(Nguồn: BAN_DO/bản đồ vùng giá đất phường tây hiếu theo giá quy định năm 2025.pdf)</w:t>
      </w:r>
    </w:p>
    <w:p>
      <w:pPr>
        <w:pStyle w:val="3"/>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 KẾT LUẬN</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Mô hình hồi quy giá đất ở đô thị tại thị xã Thái Hòa gồm 14 biến độc lập, trong đó 5 yếu tố có ảnh hưởng lớn nhất (theo hệ số Beta chuẩn hóa) là khoảng cách đến bệnh viện (KC_BV, |β| = 0,314), an ninh xã hội (MT_ANXH, 0,251), chính sách sử dụng đất (YT_CSSD, 0,162), đô thị hóa (YT_DTH, 0,150) và đầu cơ nhà đất (YT_DC, 0,145). Mô hình được xây dựng trên 10.501 mẫu huấn luyện từ bộ dữ liệu 13.126 thửa đất ở đô thị thuộc 3 khu vực (TH, TyH, ĐH), cho hệ số R² hiệu chỉnh = 0,2553 và thống kê F = 258,16 (p &lt; 0,001) – mức giải thích phù hợp với các mô hình hedonic giá đất cùng quy mô. Kiểm định cho thấy mô hình không có đa cộng tuyến (VIF tối đa = 6,181 &lt; 10); giá trị Durbin–Watson và Breusch–Pagan phản ánh tính chất không gian tự nhiên của dữ liệu bất động sản mà không ảnh hưởng đến tính không chệch của các hệ số ước lượng.</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Phương trình hồi quy đã được tích hợp vào QGIS, cho phép tính giá đất tự động trên bản đồ số và xây dựng bản đồ vùng giá trị đất ở đô thị. Kết quả dự đoán trên tập kiểm tra 2.625 mẫu cho thấy mô hình nắm bắt tốt xu hướng phân bố giá đất, đặc biệt ở dải giá dưới 15 triệu VNĐ/m² (43–53% đúng vùng giá), cung cấp công cụ tham khảo hữu ích cho hoạt động quản lý nhà nước về giá đất, bồi thường giải phóng mặt bằng và thu thuế đất.</w:t>
      </w:r>
    </w:p>
    <w:p>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điều kiện bổ sung thêm các biến phản ánh tiềm năng kinh doanh, loại hình mặt tiền, mật độ giao dịch bất động sản – kết hợp với phương pháp mô hình hồi quy không gian (Spatial Lag / Spatial Error Model) – mô hình giá đất có thể sẽ nâng cao thêm độ chính xác, đặc biệt ở phân khúc giá cao.</w:t>
      </w:r>
    </w:p>
    <w:p>
      <w:pPr>
        <w:spacing w:line="360" w:lineRule="auto"/>
        <w:jc w:val="both"/>
        <w:rPr>
          <w:rFonts w:hint="default" w:ascii="Times New Roman" w:hAnsi="Times New Roman" w:cs="Times New Roman"/>
          <w:sz w:val="26"/>
          <w:szCs w:val="26"/>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Droid Sans Fallback">
    <w:panose1 w:val="020B0502000000000001"/>
    <w:charset w:val="86"/>
    <w:family w:val="auto"/>
    <w:pitch w:val="default"/>
    <w:sig w:usb0="910002FF" w:usb1="2BDFFCFB" w:usb2="00000036" w:usb3="00000000" w:csb0="203F01FF" w:csb1="D7FF0000"/>
  </w:font>
  <w:font w:name="Adwaita Sans">
    <w:panose1 w:val="02000503000000020004"/>
    <w:charset w:val="00"/>
    <w:family w:val="auto"/>
    <w:pitch w:val="default"/>
    <w:sig w:usb0="E0000AFF" w:usb1="5200A1FF" w:usb2="00000021" w:usb3="00000000" w:csb0="0000019F" w:csb1="00000000"/>
  </w:font>
  <w:font w:name="sans-serif">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D3E71"/>
    <w:rsid w:val="3FBF4002"/>
    <w:rsid w:val="4756F315"/>
    <w:rsid w:val="75FD01FE"/>
    <w:rsid w:val="FF7D3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qFormat/>
    <w:uiPriority w:val="0"/>
  </w:style>
  <w:style w:type="table" w:default="1" w:styleId="10">
    <w:name w:val="Normal Table"/>
    <w:semiHidden/>
    <w:uiPriority w:val="0"/>
    <w:tblPr>
      <w:tblLayout w:type="fixed"/>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HTML Code"/>
    <w:basedOn w:val="7"/>
    <w:uiPriority w:val="0"/>
    <w:rPr>
      <w:rFonts w:ascii="Courier New" w:hAnsi="Courier New" w:cs="Courier New"/>
      <w:sz w:val="20"/>
      <w:szCs w:val="20"/>
    </w:rPr>
  </w:style>
  <w:style w:type="character" w:styleId="9">
    <w:name w:val="Strong"/>
    <w:basedOn w:val="7"/>
    <w:qFormat/>
    <w:uiPriority w:val="0"/>
    <w:rPr>
      <w:b/>
      <w:bCs/>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2026-03-04T15:17:00Z</dcterms:created>
  <dc:creator>cnv1902</dc:creator>
  <cp:lastModifiedBy>cnv1902</cp:lastModifiedBy>
  <dcterms:modified xsi:type="dcterms:W3CDTF">2026-03-03T17:04:10Z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