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BÁO CÁO PHÂN TÍCH HỒI QUY GIÁ ĐẤT Ở NÔNG THÔN - THỊ XÃ THÁI HÒA</w:t>
      </w:r>
    </w:p>
    <w:p>
      <w:pPr>
        <w:pStyle w:val="3"/>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3.4. Phân tích hồi quy tuyến tính đa biến</w:t>
      </w:r>
    </w:p>
    <w:p>
      <w:pPr>
        <w:pStyle w:val="4"/>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3.4.1. Định dạng biến cho mô hình hồi quy giá đất</w:t>
      </w:r>
    </w:p>
    <w:p>
      <w:pPr>
        <w:pStyle w:val="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Nghiên cứu tiến hành định dạng các biến cho mô hình hồi quy giá đất ở nông thôn. Biến phụ thuộc là giá đất (</w:t>
      </w:r>
      <w:r>
        <w:rPr>
          <w:rStyle w:val="9"/>
          <w:rFonts w:hint="default" w:ascii="Times New Roman" w:hAnsi="Times New Roman" w:cs="Times New Roman"/>
          <w:sz w:val="26"/>
          <w:szCs w:val="26"/>
        </w:rPr>
        <w:t>GIÁ_ĐẤT</w:t>
      </w:r>
      <w:r>
        <w:rPr>
          <w:rFonts w:hint="default" w:ascii="Times New Roman" w:hAnsi="Times New Roman" w:cs="Times New Roman"/>
          <w:sz w:val="26"/>
          <w:szCs w:val="26"/>
        </w:rPr>
        <w:t>, đơn vị VNĐ/m²), được biến đổi logarit tự nhiên (ln) để giảm độ lệch phải.</w:t>
      </w:r>
    </w:p>
    <w:p>
      <w:pPr>
        <w:pStyle w:val="7"/>
        <w:keepNext w:val="0"/>
        <w:keepLines w:val="0"/>
        <w:widowControl/>
        <w:suppressLineNumbers w:val="0"/>
        <w:spacing w:line="360" w:lineRule="auto"/>
        <w:ind w:left="720"/>
        <w:jc w:val="both"/>
        <w:rPr>
          <w:rFonts w:hint="default" w:ascii="Times New Roman" w:hAnsi="Times New Roman" w:cs="Times New Roman"/>
          <w:sz w:val="26"/>
          <w:szCs w:val="26"/>
        </w:rPr>
      </w:pPr>
      <w:r>
        <w:rPr>
          <w:rFonts w:hint="default" w:ascii="Times New Roman" w:hAnsi="Times New Roman" w:cs="Times New Roman"/>
          <w:b/>
          <w:sz w:val="26"/>
          <w:szCs w:val="26"/>
        </w:rPr>
        <w:t>Bộ dữ liệu:</w:t>
      </w:r>
      <w:r>
        <w:rPr>
          <w:rFonts w:hint="default" w:ascii="Times New Roman" w:hAnsi="Times New Roman" w:cs="Times New Roman"/>
          <w:sz w:val="26"/>
          <w:szCs w:val="26"/>
        </w:rPr>
        <w:t xml:space="preserve"> 8.079 thửa đất ở nông thôn (ONT).</w:t>
      </w:r>
    </w:p>
    <w:p>
      <w:pPr>
        <w:pStyle w:val="7"/>
        <w:keepNext w:val="0"/>
        <w:keepLines w:val="0"/>
        <w:widowControl/>
        <w:suppressLineNumbers w:val="0"/>
        <w:spacing w:line="360" w:lineRule="auto"/>
        <w:ind w:left="720"/>
        <w:jc w:val="both"/>
        <w:rPr>
          <w:rFonts w:hint="default" w:ascii="Times New Roman" w:hAnsi="Times New Roman" w:cs="Times New Roman"/>
          <w:sz w:val="26"/>
          <w:szCs w:val="26"/>
        </w:rPr>
      </w:pPr>
      <w:r>
        <w:rPr>
          <w:rFonts w:hint="default" w:ascii="Times New Roman" w:hAnsi="Times New Roman" w:cs="Times New Roman"/>
          <w:b/>
          <w:sz w:val="26"/>
          <w:szCs w:val="26"/>
        </w:rPr>
        <w:t>Phân chia dữ liệu:</w:t>
      </w:r>
      <w:r>
        <w:rPr>
          <w:rFonts w:hint="default" w:ascii="Times New Roman" w:hAnsi="Times New Roman" w:cs="Times New Roman"/>
          <w:sz w:val="26"/>
          <w:szCs w:val="26"/>
        </w:rPr>
        <w:t xml:space="preserve"> Tập huấn luyện (80%, n=6.462) và tập kiểm tra (20%, n=1.617).</w:t>
      </w:r>
    </w:p>
    <w:p>
      <w:pPr>
        <w:pStyle w:val="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b/>
          <w:sz w:val="26"/>
          <w:szCs w:val="26"/>
        </w:rPr>
        <w:t>Bảng 5. Định dạng biến cho mô hình hồi quy giá đất ở nông thôn</w:t>
      </w:r>
    </w:p>
    <w:tbl>
      <w:tblPr>
        <w:tblStyle w:val="12"/>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704"/>
        <w:gridCol w:w="1704"/>
        <w:gridCol w:w="1704"/>
        <w:gridCol w:w="1705"/>
        <w:gridCol w:w="170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b/>
                <w:i w:val="0"/>
                <w:color w:val="000000"/>
                <w:kern w:val="0"/>
                <w:sz w:val="26"/>
                <w:szCs w:val="26"/>
                <w:u w:val="none"/>
                <w:lang w:val="en-US" w:eastAsia="zh-CN" w:bidi="ar"/>
              </w:rPr>
              <w:t>STT</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b/>
                <w:i w:val="0"/>
                <w:color w:val="000000"/>
                <w:kern w:val="0"/>
                <w:sz w:val="26"/>
                <w:szCs w:val="26"/>
                <w:u w:val="none"/>
                <w:lang w:val="en-US" w:eastAsia="zh-CN" w:bidi="ar"/>
              </w:rPr>
              <w:t>Ký hiệu biến</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b/>
                <w:i w:val="0"/>
                <w:color w:val="000000"/>
                <w:kern w:val="0"/>
                <w:sz w:val="26"/>
                <w:szCs w:val="26"/>
                <w:u w:val="none"/>
                <w:lang w:val="en-US" w:eastAsia="zh-CN" w:bidi="ar"/>
              </w:rPr>
              <w:t>Mô tả</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b/>
                <w:i w:val="0"/>
                <w:color w:val="000000"/>
                <w:kern w:val="0"/>
                <w:sz w:val="26"/>
                <w:szCs w:val="26"/>
                <w:u w:val="none"/>
                <w:lang w:val="en-US" w:eastAsia="zh-CN" w:bidi="ar"/>
              </w:rPr>
              <w:t>Loại</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b/>
                <w:i w:val="0"/>
                <w:color w:val="000000"/>
                <w:kern w:val="0"/>
                <w:sz w:val="26"/>
                <w:szCs w:val="26"/>
                <w:u w:val="none"/>
                <w:lang w:val="en-US" w:eastAsia="zh-CN" w:bidi="ar"/>
              </w:rPr>
              <w:t>Đơn vị / Giá trị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A</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b/>
                <w:i w:val="0"/>
                <w:color w:val="000000"/>
                <w:kern w:val="0"/>
                <w:sz w:val="26"/>
                <w:szCs w:val="26"/>
                <w:u w:val="none"/>
                <w:lang w:val="en-US" w:eastAsia="zh-CN" w:bidi="ar"/>
              </w:rPr>
              <w:t>Biến phụ thuộc</w:t>
            </w:r>
          </w:p>
        </w:tc>
        <w:tc>
          <w:tcPr>
            <w:tcW w:w="1704" w:type="dxa"/>
            <w:vAlign w:val="center"/>
          </w:tcPr>
          <w:p>
            <w:pPr>
              <w:spacing w:line="360" w:lineRule="auto"/>
              <w:jc w:val="both"/>
              <w:rPr>
                <w:rFonts w:hint="default" w:ascii="Times New Roman" w:hAnsi="Times New Roman" w:cs="Times New Roman"/>
                <w:sz w:val="26"/>
                <w:szCs w:val="26"/>
                <w:vertAlign w:val="baseline"/>
              </w:rPr>
            </w:pPr>
          </w:p>
        </w:tc>
        <w:tc>
          <w:tcPr>
            <w:tcW w:w="1705" w:type="dxa"/>
            <w:vAlign w:val="center"/>
          </w:tcPr>
          <w:p>
            <w:pPr>
              <w:spacing w:line="360" w:lineRule="auto"/>
              <w:jc w:val="both"/>
              <w:rPr>
                <w:rFonts w:hint="default" w:ascii="Times New Roman" w:hAnsi="Times New Roman" w:cs="Times New Roman"/>
                <w:sz w:val="26"/>
                <w:szCs w:val="26"/>
                <w:vertAlign w:val="baseline"/>
              </w:rPr>
            </w:pPr>
          </w:p>
        </w:tc>
        <w:tc>
          <w:tcPr>
            <w:tcW w:w="1705" w:type="dxa"/>
            <w:vAlign w:val="center"/>
          </w:tcPr>
          <w:p>
            <w:pPr>
              <w:spacing w:line="360" w:lineRule="auto"/>
              <w:jc w:val="both"/>
              <w:rPr>
                <w:rFonts w:hint="default" w:ascii="Times New Roman" w:hAnsi="Times New Roman" w:cs="Times New Roman"/>
                <w:sz w:val="26"/>
                <w:szCs w:val="26"/>
                <w:vertAlign w:val="baseli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GIÁ_ĐẤT</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Giá đất</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Định lượng</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VNĐ/m²</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B</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b/>
                <w:i w:val="0"/>
                <w:color w:val="000000"/>
                <w:kern w:val="0"/>
                <w:sz w:val="26"/>
                <w:szCs w:val="26"/>
                <w:u w:val="none"/>
                <w:lang w:val="en-US" w:eastAsia="zh-CN" w:bidi="ar"/>
              </w:rPr>
              <w:t>Biến độc lập</w:t>
            </w:r>
          </w:p>
        </w:tc>
        <w:tc>
          <w:tcPr>
            <w:tcW w:w="1704" w:type="dxa"/>
            <w:vAlign w:val="center"/>
          </w:tcPr>
          <w:p>
            <w:pPr>
              <w:spacing w:line="360" w:lineRule="auto"/>
              <w:jc w:val="both"/>
              <w:rPr>
                <w:rFonts w:hint="default" w:ascii="Times New Roman" w:hAnsi="Times New Roman" w:cs="Times New Roman"/>
                <w:sz w:val="26"/>
                <w:szCs w:val="26"/>
                <w:vertAlign w:val="baseline"/>
              </w:rPr>
            </w:pPr>
          </w:p>
        </w:tc>
        <w:tc>
          <w:tcPr>
            <w:tcW w:w="1705" w:type="dxa"/>
            <w:vAlign w:val="center"/>
          </w:tcPr>
          <w:p>
            <w:pPr>
              <w:spacing w:line="360" w:lineRule="auto"/>
              <w:jc w:val="both"/>
              <w:rPr>
                <w:rFonts w:hint="default" w:ascii="Times New Roman" w:hAnsi="Times New Roman" w:cs="Times New Roman"/>
                <w:sz w:val="26"/>
                <w:szCs w:val="26"/>
                <w:vertAlign w:val="baseline"/>
              </w:rPr>
            </w:pPr>
          </w:p>
        </w:tc>
        <w:tc>
          <w:tcPr>
            <w:tcW w:w="1705" w:type="dxa"/>
            <w:vAlign w:val="center"/>
          </w:tcPr>
          <w:p>
            <w:pPr>
              <w:spacing w:line="360" w:lineRule="auto"/>
              <w:jc w:val="both"/>
              <w:rPr>
                <w:rFonts w:hint="default" w:ascii="Times New Roman" w:hAnsi="Times New Roman" w:cs="Times New Roman"/>
                <w:sz w:val="26"/>
                <w:szCs w:val="26"/>
                <w:vertAlign w:val="baseli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KC_TH</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Khoảng cách đến trường học</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Định lượng</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km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2</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TD_CR</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Chiều rộng mặt tiền thửa đất</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Định lượng</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3</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MT_ANXH</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An ninh xã hội</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Thứ bậc</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Thang 1–5 (5 = Rất tốt)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4</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MT_KK</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Chất lượng không khí</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Thứ bậc</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Thang 1–5 (5 = Rất tốt)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5</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MT_NUOC</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Chất lượng nước</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Thứ bậc</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Thang 1–5 (5 = Rất tốt)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6</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YT_DC</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Đầu cơ nhà đất</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Thứ bậc</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 = Không; 1 = Thấp; 2 = TB; 3 = Cao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7</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YT_CCTT</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Cung cầu thị trường bất động sản</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Thứ bậc</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 = Cung &gt;&gt; cầu; 2 = Cân bằng; 3 = Cầu &gt;&gt; cung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8</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YT_TNTD</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Thu nhập bình quân dân cư</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Định lượng</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triệu/năm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9</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YT_MTKD</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Môi trường kinh doanh</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Thứ bậc</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Thang 1–5 (5 = Rất tốt)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10</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YT_MDDS</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Mật độ dân số</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Định lượng</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người/km²</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11</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YT_CSSD</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Chính sách sử dụng đất</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Thứ bậc</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 = Hạn chế; 1 = Bình thường; 2 = Ưu đãi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12</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YT_HCQH</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Hạn chế quy hoạch</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Thứ bậc</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 = Không hạn chế; 1 = Hạn chế</w:t>
            </w:r>
          </w:p>
        </w:tc>
      </w:tr>
    </w:tbl>
    <w:p>
      <w:pPr>
        <w:pStyle w:val="4"/>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3.4.2. Xây dựng mô hình hồi quy</w:t>
      </w:r>
    </w:p>
    <w:p>
      <w:pPr>
        <w:pStyle w:val="5"/>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a) Kết quả mô hình lần thứ nhất</w:t>
      </w:r>
    </w:p>
    <w:p>
      <w:pPr>
        <w:pStyle w:val="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Mô hình hồi quy tuyến tính OLS được ước lượng lần đầu với toàn bộ 31 biến độc lập trên tập huấn luyện 6.462 quan sát. Kết quả cho hệ số xác định R² = 0,2363 (R² hiệu chỉnh = 0,2327), cho thấy các biến giải thích được khoảng 23,3% phương sai của ln(GIÁ_ĐẤT). Kết quả chi tiết trình bày ở Bảng 6.</w:t>
      </w:r>
    </w:p>
    <w:p>
      <w:pPr>
        <w:pStyle w:val="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b/>
          <w:sz w:val="26"/>
          <w:szCs w:val="26"/>
        </w:rPr>
        <w:t>Bảng 6. Kết quả mô hình hồi quy lần thứ nhất (31 biến)</w:t>
      </w:r>
    </w:p>
    <w:tbl>
      <w:tblPr>
        <w:tblStyle w:val="12"/>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065"/>
        <w:gridCol w:w="1065"/>
        <w:gridCol w:w="1065"/>
        <w:gridCol w:w="1065"/>
        <w:gridCol w:w="1065"/>
        <w:gridCol w:w="1065"/>
        <w:gridCol w:w="1066"/>
        <w:gridCol w:w="10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b/>
                <w:i w:val="0"/>
                <w:color w:val="000000"/>
                <w:kern w:val="0"/>
                <w:sz w:val="26"/>
                <w:szCs w:val="26"/>
                <w:u w:val="none"/>
                <w:lang w:val="en-US" w:eastAsia="zh-CN" w:bidi="ar"/>
              </w:rPr>
              <w:t>STT</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b/>
                <w:i w:val="0"/>
                <w:color w:val="000000"/>
                <w:kern w:val="0"/>
                <w:sz w:val="26"/>
                <w:szCs w:val="26"/>
                <w:u w:val="none"/>
                <w:lang w:val="en-US" w:eastAsia="zh-CN" w:bidi="ar"/>
              </w:rPr>
              <w:t>Biến</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b/>
                <w:i w:val="0"/>
                <w:color w:val="000000"/>
                <w:kern w:val="0"/>
                <w:sz w:val="26"/>
                <w:szCs w:val="26"/>
                <w:u w:val="none"/>
                <w:lang w:val="en-US" w:eastAsia="zh-CN" w:bidi="ar"/>
              </w:rPr>
              <w:t>Hệ số B</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b/>
                <w:i w:val="0"/>
                <w:color w:val="000000"/>
                <w:kern w:val="0"/>
                <w:sz w:val="26"/>
                <w:szCs w:val="26"/>
                <w:u w:val="none"/>
                <w:lang w:val="en-US" w:eastAsia="zh-CN" w:bidi="ar"/>
              </w:rPr>
              <w:t>Sai số</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b/>
                <w:i w:val="0"/>
                <w:color w:val="000000"/>
                <w:kern w:val="0"/>
                <w:sz w:val="26"/>
                <w:szCs w:val="26"/>
                <w:u w:val="none"/>
                <w:lang w:val="en-US" w:eastAsia="zh-CN" w:bidi="ar"/>
              </w:rPr>
              <w:t>Beta</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b/>
                <w:i w:val="0"/>
                <w:color w:val="000000"/>
                <w:kern w:val="0"/>
                <w:sz w:val="26"/>
                <w:szCs w:val="26"/>
                <w:u w:val="none"/>
                <w:lang w:val="en-US" w:eastAsia="zh-CN" w:bidi="ar"/>
              </w:rPr>
              <w:t>t</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b/>
                <w:i w:val="0"/>
                <w:color w:val="000000"/>
                <w:kern w:val="0"/>
                <w:sz w:val="26"/>
                <w:szCs w:val="26"/>
                <w:u w:val="none"/>
                <w:lang w:val="en-US" w:eastAsia="zh-CN" w:bidi="ar"/>
              </w:rPr>
              <w:t>Sig.</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b/>
                <w:i w:val="0"/>
                <w:color w:val="000000"/>
                <w:kern w:val="0"/>
                <w:sz w:val="26"/>
                <w:szCs w:val="26"/>
                <w:u w:val="none"/>
                <w:lang w:val="en-US" w:eastAsia="zh-CN" w:bidi="ar"/>
              </w:rPr>
              <w:t>VIF</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spacing w:line="360" w:lineRule="auto"/>
              <w:jc w:val="both"/>
              <w:rPr>
                <w:rFonts w:hint="default" w:ascii="Times New Roman" w:hAnsi="Times New Roman" w:eastAsia="SimSun" w:cs="Times New Roman"/>
                <w:kern w:val="0"/>
                <w:sz w:val="26"/>
                <w:szCs w:val="26"/>
                <w:vertAlign w:val="baseline"/>
                <w:lang w:val="en-US" w:eastAsia="zh-CN" w:bidi="ar"/>
              </w:rPr>
            </w:pP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(Hằng số)</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−0,262</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1.421.061,04</w:t>
            </w:r>
          </w:p>
        </w:tc>
        <w:tc>
          <w:tcPr>
            <w:tcW w:w="1065" w:type="dxa"/>
            <w:vAlign w:val="center"/>
          </w:tcPr>
          <w:p>
            <w:pPr>
              <w:spacing w:line="360" w:lineRule="auto"/>
              <w:jc w:val="both"/>
              <w:rPr>
                <w:rFonts w:hint="default" w:ascii="Times New Roman" w:hAnsi="Times New Roman" w:eastAsia="SimSun" w:cs="Times New Roman"/>
                <w:kern w:val="0"/>
                <w:sz w:val="26"/>
                <w:szCs w:val="26"/>
                <w:vertAlign w:val="baseline"/>
                <w:lang w:val="en-US" w:eastAsia="zh-CN" w:bidi="ar"/>
              </w:rPr>
            </w:pP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−0,000</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1,000</w:t>
            </w:r>
          </w:p>
        </w:tc>
        <w:tc>
          <w:tcPr>
            <w:tcW w:w="1066" w:type="dxa"/>
            <w:vAlign w:val="center"/>
          </w:tcPr>
          <w:p>
            <w:pPr>
              <w:spacing w:line="360" w:lineRule="auto"/>
              <w:jc w:val="both"/>
              <w:rPr>
                <w:rFonts w:hint="default" w:ascii="Times New Roman" w:hAnsi="Times New Roman" w:eastAsia="SimSun" w:cs="Times New Roman"/>
                <w:kern w:val="0"/>
                <w:sz w:val="26"/>
                <w:szCs w:val="26"/>
                <w:vertAlign w:val="baseline"/>
                <w:lang w:val="en-US" w:eastAsia="zh-CN" w:bidi="ar"/>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1</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KC_UB</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−0,237</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0,037</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−0,914</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−6,388</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0,000</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172,29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2</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KC_TT</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−0,101</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0,090</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−0,362</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−1,123</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0,262</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874,75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3</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KC_C</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70,609</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231,666</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266,130</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0,305</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0,761</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4</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KC_BV</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−0,053</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0,020</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−0,228</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−2,600</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0,009</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64,89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5</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KC_TH</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0,269</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0,040</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1,023</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6,691</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0,000</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196,79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6</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KC_BX</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−70,427</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231,667</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−265,443</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−0,304</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0,761</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7</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KC_KCN</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−0,088</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0,049</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−0,317</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−1,786</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0,074</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265,84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8</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GT_KCD</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−2,244</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334.367,33</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−0,837</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−0,000</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1,000</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9</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GT_LDTG</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4,041</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83.591,81</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4,515</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0,000</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1,000</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10</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GT_DRD</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0,482</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83.591,83</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1,257</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0,000</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1,000</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11</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GT_SDTG</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−0,005</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0,026</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−0,004</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−0,209</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0,835</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2,34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12</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TD_CS</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−0,007</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0,002</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−0,179</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−4,430</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0,000</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13,70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13</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TD_DT</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0,000</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0,000</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0,244</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5,138</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0,000</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19,05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14</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TD_HD</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−0,005</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0,033</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−0,003</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−0,168</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0,867</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2,60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15</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TD_CR</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−0,025</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0,005</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−0,221</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−5,077</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0,000</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16,00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16</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MT_ANXH</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−0,312</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0,055</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−0,221</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−5,702</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0,000</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12,63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17</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MT_AT</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0,330</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0,074</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0,324</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4,478</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0,000</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43,94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18</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MT_KK</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0,040</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0,042</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0,032</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0,954</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0,340</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9,18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19</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MT_NUOC</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0,019</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0,055</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0,013</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0,348</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0,728</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10,92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20</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YT_DC</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−0,283</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0,057</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−0,145</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−4,951</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0,000</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7,24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21</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YT_CCTT</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0,011</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0,059</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0,006</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0,182</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0,856</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8,26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22</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YT_TNTD</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−0,143</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0,029</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−0,213</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−4,882</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0,000</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16,02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23</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YT_PT</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−0,024</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0,017</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−0,016</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−1,428</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0,153</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1,01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24</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YT_MTKD</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0,075</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0,045</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0,052</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1,674</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0,094</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8,00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25</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YT_DTH</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0,104</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0,063</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0,053</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1,647</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0,100</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8,74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26</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YT_MDDS</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0,005</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0,001</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0,392</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7,798</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0,000</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21,30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27</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YT_CSSD</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−0,078</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0,038</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−0,045</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−2,058</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0,040</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3,95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28</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YT_YTGD</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0,352</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0,074</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0,308</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4,730</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0,000</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35,63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29</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YT_HCQH</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7,155</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20,075</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2,666</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0,356</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0,722</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471.084,72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30</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YT_PLY</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0,033</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0,028</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0,014</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1,184</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0,236</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1,12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31</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YT_VHDC</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−0,063</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0,071</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−0,044</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−0,883</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0,377</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eastAsia="SimSun" w:cs="Times New Roman"/>
                <w:kern w:val="0"/>
                <w:sz w:val="26"/>
                <w:szCs w:val="26"/>
                <w:vertAlign w:val="baseline"/>
                <w:lang w:val="en-US" w:eastAsia="zh-CN" w:bidi="ar"/>
              </w:rPr>
            </w:pPr>
            <w:r>
              <w:rPr>
                <w:rFonts w:hint="default" w:ascii="Times New Roman" w:hAnsi="Times New Roman" w:eastAsia="SimSun" w:cs="Times New Roman"/>
                <w:i w:val="0"/>
                <w:color w:val="000000"/>
                <w:kern w:val="0"/>
                <w:sz w:val="26"/>
                <w:szCs w:val="26"/>
                <w:u w:val="none"/>
                <w:lang w:val="en-US" w:eastAsia="zh-CN" w:bidi="ar"/>
              </w:rPr>
              <w:t>20,79</w:t>
            </w:r>
          </w:p>
        </w:tc>
      </w:tr>
    </w:tbl>
    <w:p>
      <w:pPr>
        <w:pStyle w:val="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i/>
          <w:sz w:val="26"/>
          <w:szCs w:val="26"/>
        </w:rPr>
        <w:t>Ghi chú: VIF = ∞ cho biết biến tham gia tổ hợp tuyến tính gần hoàn hảo.</w:t>
      </w:r>
    </w:p>
    <w:p>
      <w:pPr>
        <w:pStyle w:val="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xml:space="preserve">Kết quả Bảng 6 cho thấy mô hình lần 1 tồn tại hiện tượng </w:t>
      </w:r>
      <w:r>
        <w:rPr>
          <w:rFonts w:hint="default" w:ascii="Times New Roman" w:hAnsi="Times New Roman" w:cs="Times New Roman"/>
          <w:b/>
          <w:sz w:val="26"/>
          <w:szCs w:val="26"/>
        </w:rPr>
        <w:t>đa cộng tuyến nghiêm trọng</w:t>
      </w:r>
      <w:r>
        <w:rPr>
          <w:rFonts w:hint="default" w:ascii="Times New Roman" w:hAnsi="Times New Roman" w:cs="Times New Roman"/>
          <w:sz w:val="26"/>
          <w:szCs w:val="26"/>
        </w:rPr>
        <w:t>: 5 biến (KC_C, KC_BX, GT_KCD, GT_LDTG, GT_DRD) có VIF = ∞, biến YT_HCQH có VIF = 471.084,72, nhiều biến khác có VIF vượt xa ngưỡng 10. Bên cạnh đó, 18 biến có mức ý nghĩa Sig. &gt; 0,05, phản ánh tình trạng ước lượng bất ổn khi tồn tại đa cộng tuyến. Do vậy, cần thực hiện loại bỏ biến để xây dựng mô hình hồi quy lần hai.</w:t>
      </w:r>
    </w:p>
    <w:p>
      <w:pPr>
        <w:pStyle w:val="5"/>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b) Loại bỏ biến và xây dựng mô hình hồi quy lần hai</w:t>
      </w:r>
    </w:p>
    <w:p>
      <w:pPr>
        <w:pStyle w:val="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b/>
          <w:sz w:val="26"/>
          <w:szCs w:val="26"/>
        </w:rPr>
        <w:t>Bước 1 – Loại biến đa cộng tuyến (VIF &gt; 10):</w:t>
      </w:r>
      <w:r>
        <w:rPr>
          <w:rFonts w:hint="default" w:ascii="Times New Roman" w:hAnsi="Times New Roman" w:cs="Times New Roman"/>
          <w:sz w:val="26"/>
          <w:szCs w:val="26"/>
        </w:rPr>
        <w:t xml:space="preserve"> Áp dụng quy trình lặp – mỗi vòng tính VIF cho tất cả biến, loại biến có VIF cao nhất, tính lại VIF cho các biến còn lại, lặp lại cho đến khi tất cả VIF ≤ 10. Qua 12 bước loại lần lượt các biến: GT_KCD (∞), KC_C (∞), GT_LDTG (5.305,43), KC_TT (761,24), GT_DRD (285,82), KC_KCN (159,47), KC_UB (121,59), MT_AT (38,67), KC_BV (33,33), YT_YTGD (21,04), TD_DT (18,72), YT_VHDC (10,50). Sau bước này còn 19 biến với VIF lớn nhất = 9,628.</w:t>
      </w:r>
    </w:p>
    <w:p>
      <w:pPr>
        <w:pStyle w:val="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b/>
          <w:sz w:val="26"/>
          <w:szCs w:val="26"/>
        </w:rPr>
        <w:t>Bước 2 – Loại trừ ngược (Backward Elimination, Sig. &gt; 0,05):</w:t>
      </w:r>
      <w:r>
        <w:rPr>
          <w:rFonts w:hint="default" w:ascii="Times New Roman" w:hAnsi="Times New Roman" w:cs="Times New Roman"/>
          <w:sz w:val="26"/>
          <w:szCs w:val="26"/>
        </w:rPr>
        <w:t xml:space="preserve"> Trên tập 19 biến, chạy lại OLS rồi loại lần lượt biến có Sig. lớn nhất: KC_BX (0,930), TD_HD (0,920), YT_DTH (0,725), YT_PLY (0,532), GT_SDTG (0,444), TD_CS (0,167), YT_PT (0,146). Kết quả giữ lại </w:t>
      </w:r>
      <w:r>
        <w:rPr>
          <w:rFonts w:hint="default" w:ascii="Times New Roman" w:hAnsi="Times New Roman" w:cs="Times New Roman"/>
          <w:b/>
          <w:sz w:val="26"/>
          <w:szCs w:val="26"/>
        </w:rPr>
        <w:t>12 biến</w:t>
      </w:r>
      <w:r>
        <w:rPr>
          <w:rFonts w:hint="default" w:ascii="Times New Roman" w:hAnsi="Times New Roman" w:cs="Times New Roman"/>
          <w:sz w:val="26"/>
          <w:szCs w:val="26"/>
        </w:rPr>
        <w:t>, tất cả đều có Sig. &lt; 0,05.</w:t>
      </w:r>
    </w:p>
    <w:p>
      <w:pPr>
        <w:pStyle w:val="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Mô hình hồi quy lần hai với 12 biến được trình bày ở Bảng 7.</w:t>
      </w:r>
    </w:p>
    <w:p>
      <w:pPr>
        <w:pStyle w:val="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b/>
          <w:sz w:val="26"/>
          <w:szCs w:val="26"/>
        </w:rPr>
        <w:t>Bảng 7. Kết quả mô hình hồi quy lần thứ hai (12 biến)</w:t>
      </w:r>
    </w:p>
    <w:tbl>
      <w:tblPr>
        <w:tblStyle w:val="12"/>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065"/>
        <w:gridCol w:w="1065"/>
        <w:gridCol w:w="1065"/>
        <w:gridCol w:w="1065"/>
        <w:gridCol w:w="1065"/>
        <w:gridCol w:w="1065"/>
        <w:gridCol w:w="1066"/>
        <w:gridCol w:w="10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b/>
                <w:i w:val="0"/>
                <w:color w:val="000000"/>
                <w:kern w:val="0"/>
                <w:sz w:val="26"/>
                <w:szCs w:val="26"/>
                <w:u w:val="none"/>
                <w:lang w:val="en-US" w:eastAsia="zh-CN" w:bidi="ar"/>
              </w:rPr>
              <w:t>STT</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b/>
                <w:i w:val="0"/>
                <w:color w:val="000000"/>
                <w:kern w:val="0"/>
                <w:sz w:val="26"/>
                <w:szCs w:val="26"/>
                <w:u w:val="none"/>
                <w:lang w:val="en-US" w:eastAsia="zh-CN" w:bidi="ar"/>
              </w:rPr>
              <w:t>Biến</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b/>
                <w:i w:val="0"/>
                <w:color w:val="000000"/>
                <w:kern w:val="0"/>
                <w:sz w:val="26"/>
                <w:szCs w:val="26"/>
                <w:u w:val="none"/>
                <w:lang w:val="en-US" w:eastAsia="zh-CN" w:bidi="ar"/>
              </w:rPr>
              <w:t>Hệ số B</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b/>
                <w:i w:val="0"/>
                <w:color w:val="000000"/>
                <w:kern w:val="0"/>
                <w:sz w:val="26"/>
                <w:szCs w:val="26"/>
                <w:u w:val="none"/>
                <w:lang w:val="en-US" w:eastAsia="zh-CN" w:bidi="ar"/>
              </w:rPr>
              <w:t>Sai số</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b/>
                <w:i w:val="0"/>
                <w:color w:val="000000"/>
                <w:kern w:val="0"/>
                <w:sz w:val="26"/>
                <w:szCs w:val="26"/>
                <w:u w:val="none"/>
                <w:lang w:val="en-US" w:eastAsia="zh-CN" w:bidi="ar"/>
              </w:rPr>
              <w:t>Beta</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b/>
                <w:i w:val="0"/>
                <w:color w:val="000000"/>
                <w:kern w:val="0"/>
                <w:sz w:val="26"/>
                <w:szCs w:val="26"/>
                <w:u w:val="none"/>
                <w:lang w:val="en-US" w:eastAsia="zh-CN" w:bidi="ar"/>
              </w:rPr>
              <w:t>t</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b/>
                <w:i w:val="0"/>
                <w:color w:val="000000"/>
                <w:kern w:val="0"/>
                <w:sz w:val="26"/>
                <w:szCs w:val="26"/>
                <w:u w:val="none"/>
                <w:lang w:val="en-US" w:eastAsia="zh-CN" w:bidi="ar"/>
              </w:rPr>
              <w:t>Sig.</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b/>
                <w:i w:val="0"/>
                <w:color w:val="000000"/>
                <w:kern w:val="0"/>
                <w:sz w:val="26"/>
                <w:szCs w:val="26"/>
                <w:u w:val="none"/>
                <w:lang w:val="en-US" w:eastAsia="zh-CN" w:bidi="ar"/>
              </w:rPr>
              <w:t>VIF</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spacing w:line="360" w:lineRule="auto"/>
              <w:jc w:val="both"/>
              <w:rPr>
                <w:rFonts w:hint="default" w:ascii="Times New Roman" w:hAnsi="Times New Roman" w:cs="Times New Roman"/>
                <w:sz w:val="26"/>
                <w:szCs w:val="26"/>
                <w:vertAlign w:val="baseline"/>
              </w:rPr>
            </w:pP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(Hằng số)</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145,752</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0,6916</w:t>
            </w:r>
          </w:p>
        </w:tc>
        <w:tc>
          <w:tcPr>
            <w:tcW w:w="1065" w:type="dxa"/>
            <w:vAlign w:val="center"/>
          </w:tcPr>
          <w:p>
            <w:pPr>
              <w:spacing w:line="360" w:lineRule="auto"/>
              <w:jc w:val="both"/>
              <w:rPr>
                <w:rFonts w:hint="default" w:ascii="Times New Roman" w:hAnsi="Times New Roman" w:cs="Times New Roman"/>
                <w:sz w:val="26"/>
                <w:szCs w:val="26"/>
                <w:vertAlign w:val="baseline"/>
              </w:rPr>
            </w:pP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21,076</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0,000</w:t>
            </w:r>
          </w:p>
        </w:tc>
        <w:tc>
          <w:tcPr>
            <w:tcW w:w="1066" w:type="dxa"/>
            <w:vAlign w:val="center"/>
          </w:tcPr>
          <w:p>
            <w:pPr>
              <w:spacing w:line="360" w:lineRule="auto"/>
              <w:jc w:val="both"/>
              <w:rPr>
                <w:rFonts w:hint="default" w:ascii="Times New Roman" w:hAnsi="Times New Roman" w:cs="Times New Roman"/>
                <w:sz w:val="26"/>
                <w:szCs w:val="26"/>
                <w:vertAlign w:val="baseli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KC_TH</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0,0132</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0,0064</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0,050</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2,051</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0,040</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4,890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2</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TD_CR</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−0,0098</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0,0017</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−0,088</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−5,693</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0,000</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1,939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3</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MT_ANXH</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−0,0808</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0,0307</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−0,057</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−2,633</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0,008</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3,871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4</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MT_KK</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0,0637</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0,0222</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0,051</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2,864</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0,004</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2,557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5</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MT_NUOC</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0,4521</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0,0316</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0,296</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14,305</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0,000</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3,494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6</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YT_DC</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−0,2654</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0,0480</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−0,136</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−5,534</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0,000</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4,939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7</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YT_CCTT</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0,1409</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0,0479</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0,075</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2,943</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0,003</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5,272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8</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YT_TNTD</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−0,0479</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0,0120</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−0,072</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−3,997</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0,000</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2,625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9</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YT_MTKD</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0,1415</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0,0293</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0,097</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4,838</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0,000</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3,302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10</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YT_MDDS</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0,0018</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0,0003</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0,132</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6,484</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0,000</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3,374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11</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YT_CSSD</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−0,2683</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0,0266</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−0,154</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−10,099</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0,000</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1,902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12</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YT_HCQH</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0,1920</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0,0585</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0,072</w:t>
            </w:r>
          </w:p>
        </w:tc>
        <w:tc>
          <w:tcPr>
            <w:tcW w:w="106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3,281</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0,001</w:t>
            </w:r>
          </w:p>
        </w:tc>
        <w:tc>
          <w:tcPr>
            <w:tcW w:w="1066"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3,891</w:t>
            </w:r>
          </w:p>
        </w:tc>
      </w:tr>
    </w:tbl>
    <w:p>
      <w:pPr>
        <w:spacing w:line="360" w:lineRule="auto"/>
        <w:jc w:val="both"/>
        <w:rPr>
          <w:rFonts w:hint="default" w:ascii="Times New Roman" w:hAnsi="Times New Roman" w:cs="Times New Roman"/>
          <w:sz w:val="26"/>
          <w:szCs w:val="26"/>
        </w:rPr>
      </w:pPr>
    </w:p>
    <w:p>
      <w:pPr>
        <w:pStyle w:val="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i/>
          <w:sz w:val="26"/>
          <w:szCs w:val="26"/>
        </w:rPr>
        <w:t>R² = 0,2121; R² hiệu chỉnh = 0,2106; F = 144,66 (Sig. = 0,000)</w:t>
      </w:r>
    </w:p>
    <w:p>
      <w:pPr>
        <w:pStyle w:val="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Kết quả Bảng 7 cho thấy mô hình hoàn toàn phù hợp: tất cả 12 biến đều có ý nghĩa thống kê (Sig. ≤ 0,05) và hệ số VIF đều &lt; 10. Mô hình có R² hiệu chỉnh = 0,2106, nghĩa là 21,06% sự biến thiên của ln(GIÁ_ĐẤT) được giải thích bởi 12 biến độc lập. Thống kê F = 144,66 với p &lt; 0,001 xác nhận mô hình có ý nghĩa tổng thể.</w:t>
      </w:r>
    </w:p>
    <w:p>
      <w:pPr>
        <w:pStyle w:val="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Xét hệ số hồi quy chuẩn hóa (Beta), biến có ảnh hưởng mạnh nhất đến giá đất nông thôn là MT_NUOC (chất lượng nước, |Beta| = 0,296), đóng vai trò quan trọng nhất. Tiếp theo là YT_CSSD (chính sách sử dụng đất, 0,154), YT_DC (đầu cơ nhà đất, 0,136), YT_MDDS (mật độ dân số, 0,132). Khác với khu vực đô thị, mô hình đất nông thôn không chứa các biến khoảng cách đến trung tâm hay bệnh viện do bị loại ở bước VIF; thay vào đó, các yếu tố môi trường tự nhiên (nước, không khí) và kinh tế – xã hội (chính sách đất đai, cung cầu thị trường, môi trường kinh doanh) đóng vai trò chủ đạo. Biến YT_HCQH (hạn chế quy hoạch) mang dấu dương, phản ánh khu vực có quy hoạch đang triển khai (=1) thường nằm trong vùng phát triển nên có giá cao hơn; YT_MDDS tác động dương – khu vực đông dân có hoạt động kinh tế sôi nổi hơn, đẩy giá đất lên.</w:t>
      </w:r>
    </w:p>
    <w:p>
      <w:pPr>
        <w:pStyle w:val="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Từ kết quả Bảng 7, mô hình hồi quy giá đất ở nông thôn tại thị xã Thái Hòa được xác lập như sau:</w:t>
      </w:r>
    </w:p>
    <w:p>
      <w:pPr>
        <w:keepNext w:val="0"/>
        <w:keepLines w:val="0"/>
        <w:widowControl/>
        <w:suppressLineNumbers w:val="0"/>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ln(</w:t>
      </w:r>
      <w:r>
        <w:rPr>
          <w:rFonts w:hint="default" w:ascii="Times New Roman" w:hAnsi="Times New Roman" w:eastAsia="SimSun" w:cs="Times New Roman"/>
          <w:kern w:val="0"/>
          <w:sz w:val="26"/>
          <w:szCs w:val="26"/>
          <w:lang w:eastAsia="zh-CN" w:bidi="ar"/>
        </w:rPr>
        <w:t>PRIDECT</w:t>
      </w:r>
      <w:r>
        <w:rPr>
          <w:rFonts w:hint="default" w:ascii="Times New Roman" w:hAnsi="Times New Roman" w:eastAsia="SimSun" w:cs="Times New Roman"/>
          <w:kern w:val="0"/>
          <w:sz w:val="26"/>
          <w:szCs w:val="26"/>
          <w:lang w:val="en-US" w:eastAsia="zh-CN" w:bidi="ar"/>
        </w:rPr>
        <w:t>) = 14,5752 + 0,0132 × KC_TH − 0,0098 × TD_CR − 0,0808 × MT_ANXH + 0,0637 × MT_KK + 0,4521 × MT_NUOC − 0,2654 × YT_DC + 0,1409 × YT_CCTT − 0,0479 × YT_TNTD + 0,1415 × YT_MTKD + 0,0018 × YT_MDDS − 0,2683 × YT_CSSD + 0,1920 × YT_HCQH</w:t>
      </w:r>
    </w:p>
    <w:p>
      <w:pPr>
        <w:pStyle w:val="4"/>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3.4.3. Nhận xét và kiểm định mô hình</w:t>
      </w:r>
    </w:p>
    <w:p>
      <w:pPr>
        <w:pStyle w:val="5"/>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a) Kiểm định hiện tượng đa cộng tuyến</w:t>
      </w:r>
    </w:p>
    <w:p>
      <w:pPr>
        <w:pStyle w:val="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b/>
          <w:sz w:val="26"/>
          <w:szCs w:val="26"/>
        </w:rPr>
        <w:t>Kiểm định bằng hệ số phóng đại phương sai VIF.</w:t>
      </w:r>
      <w:r>
        <w:rPr>
          <w:rFonts w:hint="default" w:ascii="Times New Roman" w:hAnsi="Times New Roman" w:cs="Times New Roman"/>
          <w:sz w:val="26"/>
          <w:szCs w:val="26"/>
        </w:rPr>
        <w:t xml:space="preserve"> Trong Bảng 7, cột VIF cho thấy tất cả các biến đều có VIF &lt; 10, với giá trị lớn nhất là 5,272 (biến YT_CCTT). Mặt khác, VIF tổng thể = 1/(1 − R²) = 1/(1 − 0,2121) = 1,27 &lt; 10. Như vậy, </w:t>
      </w:r>
      <w:r>
        <w:rPr>
          <w:rFonts w:hint="default" w:ascii="Times New Roman" w:hAnsi="Times New Roman" w:cs="Times New Roman"/>
          <w:b/>
          <w:sz w:val="26"/>
          <w:szCs w:val="26"/>
        </w:rPr>
        <w:t>không có hiện tượng đa cộng tuyến</w:t>
      </w:r>
      <w:r>
        <w:rPr>
          <w:rFonts w:hint="default" w:ascii="Times New Roman" w:hAnsi="Times New Roman" w:cs="Times New Roman"/>
          <w:sz w:val="26"/>
          <w:szCs w:val="26"/>
        </w:rPr>
        <w:t xml:space="preserve"> trong mô hình theo tiêu chí VIF.</w:t>
      </w:r>
    </w:p>
    <w:p>
      <w:pPr>
        <w:pStyle w:val="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b/>
          <w:sz w:val="26"/>
          <w:szCs w:val="26"/>
        </w:rPr>
        <w:t>Kiểm định bằng hồi quy phụ.</w:t>
      </w:r>
      <w:r>
        <w:rPr>
          <w:rFonts w:hint="default" w:ascii="Times New Roman" w:hAnsi="Times New Roman" w:cs="Times New Roman"/>
          <w:sz w:val="26"/>
          <w:szCs w:val="26"/>
        </w:rPr>
        <w:t xml:space="preserve"> Tiến hành hồi quy lần lượt từng biến độc lập X_i lên tất cả các biến độc lập còn lại X_j (j ≠ i). Kết quả trình bày ở Bảng 8.</w:t>
      </w:r>
    </w:p>
    <w:p>
      <w:pPr>
        <w:pStyle w:val="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b/>
          <w:sz w:val="26"/>
          <w:szCs w:val="26"/>
        </w:rPr>
        <w:t>Bảng 8. Kết quả xác định R² của mô hình hồi quy phụ các biến độc lập</w:t>
      </w:r>
    </w:p>
    <w:tbl>
      <w:tblPr>
        <w:tblStyle w:val="12"/>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840"/>
        <w:gridCol w:w="2841"/>
        <w:gridCol w:w="28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840"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b/>
                <w:i w:val="0"/>
                <w:color w:val="000000"/>
                <w:kern w:val="0"/>
                <w:sz w:val="26"/>
                <w:szCs w:val="26"/>
                <w:u w:val="none"/>
                <w:lang w:val="en-US" w:eastAsia="zh-CN" w:bidi="ar"/>
              </w:rPr>
              <w:t>STT</w:t>
            </w:r>
          </w:p>
        </w:tc>
        <w:tc>
          <w:tcPr>
            <w:tcW w:w="2841"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b/>
                <w:i w:val="0"/>
                <w:color w:val="000000"/>
                <w:kern w:val="0"/>
                <w:sz w:val="26"/>
                <w:szCs w:val="26"/>
                <w:u w:val="none"/>
                <w:lang w:val="en-US" w:eastAsia="zh-CN" w:bidi="ar"/>
              </w:rPr>
              <w:t>Biến phụ thuộc</w:t>
            </w:r>
          </w:p>
        </w:tc>
        <w:tc>
          <w:tcPr>
            <w:tcW w:w="2841"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b/>
                <w:i w:val="0"/>
                <w:color w:val="000000"/>
                <w:kern w:val="0"/>
                <w:sz w:val="26"/>
                <w:szCs w:val="26"/>
                <w:u w:val="none"/>
                <w:lang w:val="en-US" w:eastAsia="zh-CN" w:bidi="ar"/>
              </w:rPr>
              <w:t>Hệ số R²</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840"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w:t>
            </w:r>
          </w:p>
        </w:tc>
        <w:tc>
          <w:tcPr>
            <w:tcW w:w="2841"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KC_TH</w:t>
            </w:r>
          </w:p>
        </w:tc>
        <w:tc>
          <w:tcPr>
            <w:tcW w:w="2841"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0,796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840"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2</w:t>
            </w:r>
          </w:p>
        </w:tc>
        <w:tc>
          <w:tcPr>
            <w:tcW w:w="2841"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TD_CR</w:t>
            </w:r>
          </w:p>
        </w:tc>
        <w:tc>
          <w:tcPr>
            <w:tcW w:w="2841"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0,484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840"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3</w:t>
            </w:r>
          </w:p>
        </w:tc>
        <w:tc>
          <w:tcPr>
            <w:tcW w:w="2841"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MT_ANXH</w:t>
            </w:r>
          </w:p>
        </w:tc>
        <w:tc>
          <w:tcPr>
            <w:tcW w:w="2841"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0,742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840"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4</w:t>
            </w:r>
          </w:p>
        </w:tc>
        <w:tc>
          <w:tcPr>
            <w:tcW w:w="2841"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MT_KK</w:t>
            </w:r>
          </w:p>
        </w:tc>
        <w:tc>
          <w:tcPr>
            <w:tcW w:w="2841"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0,609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840"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5</w:t>
            </w:r>
          </w:p>
        </w:tc>
        <w:tc>
          <w:tcPr>
            <w:tcW w:w="2841"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MT_NUOC</w:t>
            </w:r>
          </w:p>
        </w:tc>
        <w:tc>
          <w:tcPr>
            <w:tcW w:w="2841"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0,714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840"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6</w:t>
            </w:r>
          </w:p>
        </w:tc>
        <w:tc>
          <w:tcPr>
            <w:tcW w:w="2841"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YT_DC</w:t>
            </w:r>
          </w:p>
        </w:tc>
        <w:tc>
          <w:tcPr>
            <w:tcW w:w="2841"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0,798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840"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7</w:t>
            </w:r>
          </w:p>
        </w:tc>
        <w:tc>
          <w:tcPr>
            <w:tcW w:w="2841"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YT_CCTT</w:t>
            </w:r>
          </w:p>
        </w:tc>
        <w:tc>
          <w:tcPr>
            <w:tcW w:w="2841"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0,810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840"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8</w:t>
            </w:r>
          </w:p>
        </w:tc>
        <w:tc>
          <w:tcPr>
            <w:tcW w:w="2841"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YT_TNTD</w:t>
            </w:r>
          </w:p>
        </w:tc>
        <w:tc>
          <w:tcPr>
            <w:tcW w:w="2841"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0,619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840"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9</w:t>
            </w:r>
          </w:p>
        </w:tc>
        <w:tc>
          <w:tcPr>
            <w:tcW w:w="2841"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YT_MTKD</w:t>
            </w:r>
          </w:p>
        </w:tc>
        <w:tc>
          <w:tcPr>
            <w:tcW w:w="2841"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0,697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840"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10</w:t>
            </w:r>
          </w:p>
        </w:tc>
        <w:tc>
          <w:tcPr>
            <w:tcW w:w="2841"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YT_MDDS</w:t>
            </w:r>
          </w:p>
        </w:tc>
        <w:tc>
          <w:tcPr>
            <w:tcW w:w="2841"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0,704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840"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11</w:t>
            </w:r>
          </w:p>
        </w:tc>
        <w:tc>
          <w:tcPr>
            <w:tcW w:w="2841"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YT_CSSD</w:t>
            </w:r>
          </w:p>
        </w:tc>
        <w:tc>
          <w:tcPr>
            <w:tcW w:w="2841"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0,474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840"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12</w:t>
            </w:r>
          </w:p>
        </w:tc>
        <w:tc>
          <w:tcPr>
            <w:tcW w:w="2841"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YT_HCQH</w:t>
            </w:r>
          </w:p>
        </w:tc>
        <w:tc>
          <w:tcPr>
            <w:tcW w:w="2841"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0,743</w:t>
            </w:r>
          </w:p>
        </w:tc>
      </w:tr>
    </w:tbl>
    <w:p>
      <w:pPr>
        <w:pStyle w:val="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xml:space="preserve">Các giá trị R² hồi quy phụ đều lớn hơn R² = 0,2121 của mô hình chính. Tuy nhiên, cần lưu ý rằng R² hồi quy phụ đo lường mức độ tương quan giữa </w:t>
      </w:r>
      <w:r>
        <w:rPr>
          <w:rFonts w:hint="default" w:ascii="Times New Roman" w:hAnsi="Times New Roman" w:cs="Times New Roman"/>
          <w:i/>
          <w:sz w:val="26"/>
          <w:szCs w:val="26"/>
        </w:rPr>
        <w:t>các biến độc lập với nhau</w:t>
      </w:r>
      <w:r>
        <w:rPr>
          <w:rFonts w:hint="default" w:ascii="Times New Roman" w:hAnsi="Times New Roman" w:cs="Times New Roman"/>
          <w:sz w:val="26"/>
          <w:szCs w:val="26"/>
        </w:rPr>
        <w:t xml:space="preserve">, trong khi R² mô hình đo lường khả năng giải thích </w:t>
      </w:r>
      <w:r>
        <w:rPr>
          <w:rFonts w:hint="default" w:ascii="Times New Roman" w:hAnsi="Times New Roman" w:cs="Times New Roman"/>
          <w:i/>
          <w:sz w:val="26"/>
          <w:szCs w:val="26"/>
        </w:rPr>
        <w:t>biến phụ thuộc</w:t>
      </w:r>
      <w:r>
        <w:rPr>
          <w:rFonts w:hint="default" w:ascii="Times New Roman" w:hAnsi="Times New Roman" w:cs="Times New Roman"/>
          <w:sz w:val="26"/>
          <w:szCs w:val="26"/>
        </w:rPr>
        <w:t xml:space="preserve">. Hai đại lượng này có ý nghĩa khác nhau; việc R² phụ cao phản ánh mối liên hệ tự nhiên giữa các thuộc tính nông thôn (ví dụ: khu vực có mật độ dân số cao thường có hạ tầng đường tốt hơn, cấp công trình cao hơn). Tiêu chuẩn chẩn đoán chính là VIF: với VIF tối đa = 5,272 (&lt; 10) và VIF tổng thể = 1,27, kết hợp cả hai cách kiểm định cho phép kết luận: </w:t>
      </w:r>
      <w:r>
        <w:rPr>
          <w:rFonts w:hint="default" w:ascii="Times New Roman" w:hAnsi="Times New Roman" w:cs="Times New Roman"/>
          <w:b/>
          <w:sz w:val="26"/>
          <w:szCs w:val="26"/>
        </w:rPr>
        <w:t>không tồn tại hiện tượng đa cộng tuyến nghiêm trọng</w:t>
      </w:r>
      <w:r>
        <w:rPr>
          <w:rFonts w:hint="default" w:ascii="Times New Roman" w:hAnsi="Times New Roman" w:cs="Times New Roman"/>
          <w:sz w:val="26"/>
          <w:szCs w:val="26"/>
        </w:rPr>
        <w:t xml:space="preserve"> trong mô hình.</w:t>
      </w:r>
      <w:bookmarkStart w:id="0" w:name="_GoBack"/>
      <w:bookmarkEnd w:id="0"/>
    </w:p>
    <w:p>
      <w:pPr>
        <w:pStyle w:val="5"/>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b) Kiểm định hiện tượng tự tương quan</w:t>
      </w:r>
    </w:p>
    <w:p>
      <w:pPr>
        <w:pStyle w:val="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xml:space="preserve">Theo kết quả hồi quy, giá trị Durbin–Watson d = 1,0429. Giá trị d nằm trong khoảng (1; 3), do đó </w:t>
      </w:r>
      <w:r>
        <w:rPr>
          <w:rFonts w:hint="default" w:ascii="Times New Roman" w:hAnsi="Times New Roman" w:cs="Times New Roman"/>
          <w:b/>
          <w:sz w:val="26"/>
          <w:szCs w:val="26"/>
        </w:rPr>
        <w:t>không có hiện tượng tự tương quan</w:t>
      </w:r>
      <w:r>
        <w:rPr>
          <w:rFonts w:hint="default" w:ascii="Times New Roman" w:hAnsi="Times New Roman" w:cs="Times New Roman"/>
          <w:sz w:val="26"/>
          <w:szCs w:val="26"/>
        </w:rPr>
        <w:t xml:space="preserve"> đáng kể trong phần dư. Điều này cho thấy các sai số ước lượng là độc lập với nhau, giả thiết của mô hình hồi quy OLS được thỏa mãn. So với mô hình đất đô thị (DW = 0,79), đất nông thôn có hiện tượng tự tương quan không gian nhẹ hơn, có thể do phân bố thưa hơn và giá đất ít bị ảnh hưởng bởi hiệu ứng lan tỏa lân cận.</w:t>
      </w:r>
    </w:p>
    <w:p>
      <w:pPr>
        <w:pStyle w:val="5"/>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c) Kiểm định hiện tượng phương sai thay đổi</w:t>
      </w:r>
    </w:p>
    <w:p>
      <w:pPr>
        <w:pStyle w:val="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xml:space="preserve">Kiểm định Breusch–Pagan với giả thuyết H₀: phương sai sai số đồng nhất. Kết quả: LM = 410,07, bậc tự do df = 12, p &lt; 0,001. Kiểm định từng biến cho thấy cả 12 biến đều có Sig. &lt; 0,05, phản ánh tính chất phân phối lệch phải đặc trưng của giá đất nông thôn. Đây là hiện tượng phổ biến trong các mô hình hedonic giá đất (Malpezzi, 2003) – phương sai sai số không đồng nhất </w:t>
      </w:r>
      <w:r>
        <w:rPr>
          <w:rFonts w:hint="default" w:ascii="Times New Roman" w:hAnsi="Times New Roman" w:cs="Times New Roman"/>
          <w:b/>
          <w:sz w:val="26"/>
          <w:szCs w:val="26"/>
        </w:rPr>
        <w:t>không làm chệch</w:t>
      </w:r>
      <w:r>
        <w:rPr>
          <w:rFonts w:hint="default" w:ascii="Times New Roman" w:hAnsi="Times New Roman" w:cs="Times New Roman"/>
          <w:sz w:val="26"/>
          <w:szCs w:val="26"/>
        </w:rPr>
        <w:t xml:space="preserve"> hệ số hồi quy mà chỉ ảnh hưởng đến hiệu quả ước lượng. Nghiên cứu đã áp dụng biến đổi logarit biến phụ thuộc như biện pháp giảm thiểu cơ bản; có thể bổ sung sai số chuẩn robust White (HC) khi cần ước lượng khoảng tin cậy chính xác hơn (Wooldridge, 2013).</w:t>
      </w:r>
    </w:p>
    <w:p>
      <w:pPr>
        <w:pStyle w:val="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xml:space="preserve">Tổng hợp các kiểm định cho thấy: mô hình </w:t>
      </w:r>
      <w:r>
        <w:rPr>
          <w:rFonts w:hint="default" w:ascii="Times New Roman" w:hAnsi="Times New Roman" w:cs="Times New Roman"/>
          <w:b/>
          <w:sz w:val="26"/>
          <w:szCs w:val="26"/>
        </w:rPr>
        <w:t>không có đa cộng tuyến</w:t>
      </w:r>
      <w:r>
        <w:rPr>
          <w:rFonts w:hint="default" w:ascii="Times New Roman" w:hAnsi="Times New Roman" w:cs="Times New Roman"/>
          <w:sz w:val="26"/>
          <w:szCs w:val="26"/>
        </w:rPr>
        <w:t xml:space="preserve"> (VIF tối đa = 5,272 &lt; 10), </w:t>
      </w:r>
      <w:r>
        <w:rPr>
          <w:rFonts w:hint="default" w:ascii="Times New Roman" w:hAnsi="Times New Roman" w:cs="Times New Roman"/>
          <w:b/>
          <w:sz w:val="26"/>
          <w:szCs w:val="26"/>
        </w:rPr>
        <w:t>không có tự tương quan</w:t>
      </w:r>
      <w:r>
        <w:rPr>
          <w:rFonts w:hint="default" w:ascii="Times New Roman" w:hAnsi="Times New Roman" w:cs="Times New Roman"/>
          <w:sz w:val="26"/>
          <w:szCs w:val="26"/>
        </w:rPr>
        <w:t xml:space="preserve"> (DW = 1,04 nằm trong khoảng 1–3); kiểm định Breusch–Pagan phản ánh tính chất phân bố tự nhiên của dữ liệu bất động sản mà </w:t>
      </w:r>
      <w:r>
        <w:rPr>
          <w:rFonts w:hint="default" w:ascii="Times New Roman" w:hAnsi="Times New Roman" w:cs="Times New Roman"/>
          <w:b/>
          <w:sz w:val="26"/>
          <w:szCs w:val="26"/>
        </w:rPr>
        <w:t>không ảnh hưởng</w:t>
      </w:r>
      <w:r>
        <w:rPr>
          <w:rFonts w:hint="default" w:ascii="Times New Roman" w:hAnsi="Times New Roman" w:cs="Times New Roman"/>
          <w:sz w:val="26"/>
          <w:szCs w:val="26"/>
        </w:rPr>
        <w:t xml:space="preserve"> đến tính không chệch của hệ số hồi quy – đặc điểm chung được ghi nhận trong hầu hết các nghiên cứu định giá đất (Wooldridge, 2013).</w:t>
      </w:r>
    </w:p>
    <w:p>
      <w:pPr>
        <w:pStyle w:val="3"/>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3.5. Ứng dụng mô hình hồi quy trong dự đoán giá đất ở nông thôn tại thị xã Thái Hòa</w:t>
      </w:r>
    </w:p>
    <w:p>
      <w:pPr>
        <w:pStyle w:val="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i/>
          <w:sz w:val="26"/>
          <w:szCs w:val="26"/>
        </w:rPr>
        <w:t xml:space="preserve">Ghi chú: Dữ liệu đất ở nông thôn thị xã Thái Hòa được tổng hợp từ 3 khu vực hành chính, mỗi khu vực có bảng giá đất nhà nước riêng. Ký hiệu: </w:t>
      </w:r>
      <w:r>
        <w:rPr>
          <w:rFonts w:hint="default" w:ascii="Times New Roman" w:hAnsi="Times New Roman" w:cs="Times New Roman"/>
          <w:b/>
          <w:i/>
          <w:sz w:val="26"/>
          <w:szCs w:val="26"/>
        </w:rPr>
        <w:t>TH</w:t>
      </w:r>
      <w:r>
        <w:rPr>
          <w:rFonts w:hint="default" w:ascii="Times New Roman" w:hAnsi="Times New Roman" w:cs="Times New Roman"/>
          <w:i/>
          <w:sz w:val="26"/>
          <w:szCs w:val="26"/>
        </w:rPr>
        <w:t xml:space="preserve"> = phường Hòa Hiếu (trung tâm Thái Hòa), </w:t>
      </w:r>
      <w:r>
        <w:rPr>
          <w:rFonts w:hint="default" w:ascii="Times New Roman" w:hAnsi="Times New Roman" w:cs="Times New Roman"/>
          <w:b/>
          <w:i/>
          <w:sz w:val="26"/>
          <w:szCs w:val="26"/>
        </w:rPr>
        <w:t>TyH</w:t>
      </w:r>
      <w:r>
        <w:rPr>
          <w:rFonts w:hint="default" w:ascii="Times New Roman" w:hAnsi="Times New Roman" w:cs="Times New Roman"/>
          <w:i/>
          <w:sz w:val="26"/>
          <w:szCs w:val="26"/>
        </w:rPr>
        <w:t xml:space="preserve"> = phường Tây Hiếu, </w:t>
      </w:r>
      <w:r>
        <w:rPr>
          <w:rFonts w:hint="default" w:ascii="Times New Roman" w:hAnsi="Times New Roman" w:cs="Times New Roman"/>
          <w:b/>
          <w:i/>
          <w:sz w:val="26"/>
          <w:szCs w:val="26"/>
        </w:rPr>
        <w:t>ĐH</w:t>
      </w:r>
      <w:r>
        <w:rPr>
          <w:rFonts w:hint="default" w:ascii="Times New Roman" w:hAnsi="Times New Roman" w:cs="Times New Roman"/>
          <w:i/>
          <w:sz w:val="26"/>
          <w:szCs w:val="26"/>
        </w:rPr>
        <w:t xml:space="preserve"> = xã Đông Hiếu. Do bảng giá khác nhau, các vùng giá giữa các khu vực có thể chồng lấn về khoảng giá.</w:t>
      </w:r>
    </w:p>
    <w:p>
      <w:pPr>
        <w:pStyle w:val="4"/>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3.5.1. Dự đoán giá đất ở nông thôn</w:t>
      </w:r>
    </w:p>
    <w:p>
      <w:pPr>
        <w:pStyle w:val="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Từ mô hình hồi quy xây dựng được, tiến hành dự đoán giá đất cho tập kiểm tra gồm 1.617 thửa đất. Kết quả đánh giá tổng quát: R² (tập kiểm tra) = 0,1932, sai số tuyệt đối trung bình MAE = 1.808.649 VNĐ/m². Giá trị R² trên tập kiểm tra gần sát R² tập huấn luyện (0,2121), cho thấy mô hình có tính tổng quát tốt, không bị quá khớp (overfitting). Mức R² khoảng 21% phù hợp với đặc thù mô hình hedonic giá đất nông thôn sử dụng các biến vĩ mô (Malpezzi, 2003), đặc biệt khi đất nông thôn chịu ảnh hưởng bởi nhiều yếu tố phi thị trường khó lượng hóa.</w:t>
      </w:r>
    </w:p>
    <w:p>
      <w:pPr>
        <w:pStyle w:val="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Để kiểm tra chi tiết, nghiên cứu tiến hành chọn ngẫu nhiên một số thửa đất từ các vùng giá khác nhau trên tập kiểm tra, so sánh giá dự đoán bằng mô hình hồi quy với giá thực tế. Kết quả trình bày ở Bảng 9.</w:t>
      </w:r>
    </w:p>
    <w:p>
      <w:pPr>
        <w:keepNext w:val="0"/>
        <w:keepLines w:val="0"/>
        <w:widowControl/>
        <w:suppressLineNumbers w:val="0"/>
        <w:spacing w:line="360" w:lineRule="auto"/>
        <w:jc w:val="both"/>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Bảng 9. Kết quả kiểm tra độ chính xác của mô hình giá đất ở nông thôn</w:t>
      </w:r>
    </w:p>
    <w:tbl>
      <w:tblPr>
        <w:tblStyle w:val="12"/>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704"/>
        <w:gridCol w:w="1704"/>
        <w:gridCol w:w="1704"/>
        <w:gridCol w:w="1705"/>
        <w:gridCol w:w="170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b/>
                <w:i w:val="0"/>
                <w:color w:val="000000"/>
                <w:kern w:val="0"/>
                <w:sz w:val="26"/>
                <w:szCs w:val="26"/>
                <w:u w:val="none"/>
                <w:lang w:val="en-US" w:eastAsia="zh-CN" w:bidi="ar"/>
              </w:rPr>
              <w:t>STT</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b/>
                <w:i w:val="0"/>
                <w:color w:val="000000"/>
                <w:kern w:val="0"/>
                <w:sz w:val="26"/>
                <w:szCs w:val="26"/>
                <w:u w:val="none"/>
                <w:lang w:val="en-US" w:eastAsia="zh-CN" w:bidi="ar"/>
              </w:rPr>
              <w:t>Vùng giá (KV)</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b/>
                <w:i w:val="0"/>
                <w:color w:val="000000"/>
                <w:kern w:val="0"/>
                <w:sz w:val="26"/>
                <w:szCs w:val="26"/>
                <w:u w:val="none"/>
                <w:lang w:val="en-US" w:eastAsia="zh-CN" w:bidi="ar"/>
              </w:rPr>
              <w:t>Giá dự đoán (VNĐ/m²)</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b/>
                <w:i w:val="0"/>
                <w:color w:val="000000"/>
                <w:kern w:val="0"/>
                <w:sz w:val="26"/>
                <w:szCs w:val="26"/>
                <w:u w:val="none"/>
                <w:lang w:val="en-US" w:eastAsia="zh-CN" w:bidi="ar"/>
              </w:rPr>
              <w:t>Giá thực tế (VNĐ/m²)</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b/>
                <w:i w:val="0"/>
                <w:color w:val="000000"/>
                <w:kern w:val="0"/>
                <w:sz w:val="26"/>
                <w:szCs w:val="26"/>
                <w:u w:val="none"/>
                <w:lang w:val="en-US" w:eastAsia="zh-CN" w:bidi="ar"/>
              </w:rPr>
              <w:t>Chênh lệch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Dưới 3 triệu (TyH)</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3.482.363</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1.124.693</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209,6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2</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Dưới 3 triệu (TyH)</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2.232.764</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2.680.983</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16,7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3</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Dưới 4 triệu (TH)</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2.767.136</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1.166.468</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137,2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4</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Dưới 4 triệu (TH)</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1.396.676</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1.668.690</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16,3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5</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Dưới 2 triệu (ĐH)</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1.366.565</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1.738.902</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21,4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6</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Dưới 2 triệu (ĐH)</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961.048</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1.035.166</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7,2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7</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2–5 triệu (ĐH)</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1.321.378</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3.926.044</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66,3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8</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2–5 triệu (ĐH)</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1.366.809</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3.937.843</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65,3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9</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3–7 triệu (TyH)</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4.096.440</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5.467.893</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25,1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10</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3–7 triệu (TyH)</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1.251.530</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5.397.512</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76,8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11</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5–7 triệu (ĐH)</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3.702.286</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6.232.175</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40,6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12</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5–7 triệu (ĐH)</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2.563.403</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6.847.618</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62,6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13</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7–10 triệu (TyH/ĐH)</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2.713.842</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8.182.197</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66,8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14</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7–10 triệu (TyH/ĐH)</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2.548.996</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9.403.229</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72,9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15</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Trên 10 triệu (ĐH)</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3.265.079</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14.637.339</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77,7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16</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Trên 10 triệu (ĐH)</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3.746.094</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11.679.475</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67,9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17</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10–18 triệu (TyH)</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5.111.548</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11.559.429</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55,8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18</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10–18 triệu (TyH)</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4.932.606</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16.365.913</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69,9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19</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Trên 18 triệu (TyH)</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4.290.555</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21.007.481</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79,6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20</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Trên 18 triệu (TyH)</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5.008.204</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22.328.818</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77,6</w:t>
            </w:r>
          </w:p>
        </w:tc>
      </w:tr>
    </w:tbl>
    <w:p>
      <w:pPr>
        <w:pStyle w:val="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Kết quả Bảng 9 cho thấy mô hình dự đoán hiệu quả nhất ở phân khúc giá thấp (dưới 4 triệu VNĐ/m²), với nhiều trường hợp chênh lệch chỉ 7,2–21,4% (STT 2, 4, 5, 6). Ở phân khúc giá trung bình (3–7 triệu), mô hình vẫn nắm bắt được xu hướng với chênh lệch 25,1% (STT 9). Ở phân khúc giá cao hơn, mô hình có xu hướng ước lượng bảo thủ – đây là đặc tính tự nhiên của phương pháp OLS khi giá trị dự đoán hướng về trung bình mẫu (regression toward the mean), phù hợp với kết quả của nhiều nghiên cứu tương tự (Limsombunchai &amp; cs., 2004). Một số thửa ở vùng giá thấp có chênh lệch lớn (STT 1, 3) phản ánh tính đa dạng giá đất nông thôn – cùng một vùng giá hành chính nhưng giá thị trường thực tế có biên dao động rộng.</w:t>
      </w:r>
    </w:p>
    <w:p>
      <w:pPr>
        <w:pStyle w:val="4"/>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3.5.2. Xây dựng bản đồ vùng giá trị đất</w:t>
      </w:r>
    </w:p>
    <w:p>
      <w:pPr>
        <w:pStyle w:val="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Từ phương trình hồi quy đã xây dựng, nghiên cứu tiến hành tích hợp công thức vào phần mềm QGIS thông qua công cụ Field Calculator để tính giá đất tự động cho toàn bộ thửa đất trên bản đồ số:</w:t>
      </w:r>
    </w:p>
    <w:p>
      <w:pPr>
        <w:keepNext w:val="0"/>
        <w:keepLines w:val="0"/>
        <w:widowControl/>
        <w:suppressLineNumbers w:val="0"/>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 xml:space="preserve">exp(14.575162 + 0.013188 * "KC_TH" - 0.009776 * "TD_CR" - 0.080780 * "MT_ANXH" + 0.063681 * "MT_KK" + 0.452121 * "MT_NUOC" - 0.265391 * "YT_DC" + 0.140910 * "YT_CCTT" - 0.047895 * "YT_TNTD" + 0.141534 * "YT_MTKD" + 0.001775 * "YT_MDDS" - 0.268347 * "YT_CSSD" + 0.192015 * "YT_HCQH") </w:t>
      </w:r>
    </w:p>
    <w:p>
      <w:pPr>
        <w:spacing w:line="360" w:lineRule="auto"/>
        <w:jc w:val="both"/>
        <w:rPr>
          <w:rFonts w:hint="default" w:ascii="Times New Roman" w:hAnsi="Times New Roman" w:cs="Times New Roman"/>
          <w:sz w:val="26"/>
          <w:szCs w:val="26"/>
        </w:rPr>
      </w:pPr>
    </w:p>
    <w:p>
      <w:pPr>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 xml:space="preserve">Trên cơ sở giá đất tính toán, khu vực đất ở nông thôn thị xã Thái Hòa được phân thành các vùng giá trị. Kết quả đánh giá trên tập kiểm tra (1.617 mẫu) với độ chính xác phân vùng giá đạt </w:t>
      </w:r>
      <w:r>
        <w:rPr>
          <w:rFonts w:hint="default" w:ascii="Times New Roman" w:hAnsi="Times New Roman" w:eastAsia="SimSun" w:cs="Times New Roman"/>
          <w:b/>
          <w:kern w:val="0"/>
          <w:sz w:val="26"/>
          <w:szCs w:val="26"/>
          <w:lang w:val="en-US" w:eastAsia="zh-CN" w:bidi="ar"/>
        </w:rPr>
        <w:t>76,0%</w:t>
      </w:r>
      <w:r>
        <w:rPr>
          <w:rFonts w:hint="default" w:ascii="Times New Roman" w:hAnsi="Times New Roman" w:eastAsia="SimSun" w:cs="Times New Roman"/>
          <w:kern w:val="0"/>
          <w:sz w:val="26"/>
          <w:szCs w:val="26"/>
          <w:lang w:val="en-US" w:eastAsia="zh-CN" w:bidi="ar"/>
        </w:rPr>
        <w:t>, cụ thể:</w:t>
      </w:r>
    </w:p>
    <w:tbl>
      <w:tblPr>
        <w:tblStyle w:val="12"/>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704"/>
        <w:gridCol w:w="1704"/>
        <w:gridCol w:w="1704"/>
        <w:gridCol w:w="1705"/>
        <w:gridCol w:w="170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b/>
                <w:i w:val="0"/>
                <w:color w:val="000000"/>
                <w:kern w:val="0"/>
                <w:sz w:val="26"/>
                <w:szCs w:val="26"/>
                <w:u w:val="none"/>
                <w:lang w:val="en-US" w:eastAsia="zh-CN" w:bidi="ar"/>
              </w:rPr>
              <w:t>Vùng giá (KV)</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b/>
                <w:i w:val="0"/>
                <w:color w:val="000000"/>
                <w:kern w:val="0"/>
                <w:sz w:val="26"/>
                <w:szCs w:val="26"/>
                <w:u w:val="none"/>
                <w:lang w:val="en-US" w:eastAsia="zh-CN" w:bidi="ar"/>
              </w:rPr>
              <w:t>Khoảng giá (VNĐ/m²)</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b/>
                <w:i w:val="0"/>
                <w:color w:val="000000"/>
                <w:kern w:val="0"/>
                <w:sz w:val="26"/>
                <w:szCs w:val="26"/>
                <w:u w:val="none"/>
                <w:lang w:val="en-US" w:eastAsia="zh-CN" w:bidi="ar"/>
              </w:rPr>
              <w:t>Tổng mẫu</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b/>
                <w:i w:val="0"/>
                <w:color w:val="000000"/>
                <w:kern w:val="0"/>
                <w:sz w:val="26"/>
                <w:szCs w:val="26"/>
                <w:u w:val="none"/>
                <w:lang w:val="en-US" w:eastAsia="zh-CN" w:bidi="ar"/>
              </w:rPr>
              <w:t>Dự đoán đúng</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b/>
                <w:i w:val="0"/>
                <w:color w:val="000000"/>
                <w:kern w:val="0"/>
                <w:sz w:val="26"/>
                <w:szCs w:val="26"/>
                <w:u w:val="none"/>
                <w:lang w:val="en-US" w:eastAsia="zh-CN" w:bidi="ar"/>
              </w:rPr>
              <w:t>Tỷ lệ đúng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Dưới 4 triệu (TH)</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 – 4.000.000</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144</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144</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100,0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Dưới 2 triệu (ĐH)</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 – 2.000.000</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389</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349</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89,7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Dưới 3 triệu (TyH)</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 – 3.000.000</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749</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665</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88,8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2–5 triệu (ĐH)</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2.000.000 – 5.000.000</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31</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10</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32,3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3–7 triệu (TyH)</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3.000.000 – 7.000.000</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79</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61</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77,2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5–7 triệu (ĐH)</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5.000.000 – 7.000.000</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37</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7–10 triệu (TyH/ĐH)</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7.000.000 – 10.000.000</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112</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Trên 10 triệu (ĐH)</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&gt; 10.000.000</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24</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10–18 triệu (TyH)</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10.000.000 – 18.000.000</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45</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Trên 18 triệu (TyH)</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&gt; 18.000.000</w:t>
            </w: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7</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i w:val="0"/>
                <w:color w:val="000000"/>
                <w:kern w:val="0"/>
                <w:sz w:val="26"/>
                <w:szCs w:val="26"/>
                <w:u w:val="none"/>
                <w:lang w:val="en-US" w:eastAsia="zh-CN" w:bidi="ar"/>
              </w:rPr>
              <w:t>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b/>
                <w:i w:val="0"/>
                <w:color w:val="000000"/>
                <w:kern w:val="0"/>
                <w:sz w:val="26"/>
                <w:szCs w:val="26"/>
                <w:u w:val="none"/>
                <w:lang w:val="en-US" w:eastAsia="zh-CN" w:bidi="ar"/>
              </w:rPr>
              <w:t>Tổng</w:t>
            </w:r>
          </w:p>
        </w:tc>
        <w:tc>
          <w:tcPr>
            <w:tcW w:w="1704" w:type="dxa"/>
            <w:vAlign w:val="center"/>
          </w:tcPr>
          <w:p>
            <w:pPr>
              <w:spacing w:line="360" w:lineRule="auto"/>
              <w:jc w:val="both"/>
              <w:rPr>
                <w:rFonts w:hint="default" w:ascii="Times New Roman" w:hAnsi="Times New Roman" w:cs="Times New Roman"/>
                <w:sz w:val="26"/>
                <w:szCs w:val="26"/>
                <w:vertAlign w:val="baseline"/>
              </w:rPr>
            </w:pPr>
          </w:p>
        </w:tc>
        <w:tc>
          <w:tcPr>
            <w:tcW w:w="1704"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b/>
                <w:i w:val="0"/>
                <w:color w:val="000000"/>
                <w:kern w:val="0"/>
                <w:sz w:val="26"/>
                <w:szCs w:val="26"/>
                <w:u w:val="none"/>
                <w:lang w:val="en-US" w:eastAsia="zh-CN" w:bidi="ar"/>
              </w:rPr>
              <w:t>1.617</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b/>
                <w:i w:val="0"/>
                <w:color w:val="000000"/>
                <w:kern w:val="0"/>
                <w:sz w:val="26"/>
                <w:szCs w:val="26"/>
                <w:u w:val="none"/>
                <w:lang w:val="en-US" w:eastAsia="zh-CN" w:bidi="ar"/>
              </w:rPr>
              <w:t>1.229</w:t>
            </w:r>
          </w:p>
        </w:tc>
        <w:tc>
          <w:tcPr>
            <w:tcW w:w="1705" w:type="dxa"/>
            <w:vAlign w:val="center"/>
          </w:tcPr>
          <w:p>
            <w:pPr>
              <w:keepNext w:val="0"/>
              <w:keepLines w:val="0"/>
              <w:widowControl/>
              <w:suppressLineNumbers w:val="0"/>
              <w:spacing w:line="360" w:lineRule="auto"/>
              <w:jc w:val="both"/>
              <w:textAlignment w:val="center"/>
              <w:rPr>
                <w:rFonts w:hint="default" w:ascii="Times New Roman" w:hAnsi="Times New Roman" w:cs="Times New Roman"/>
                <w:sz w:val="26"/>
                <w:szCs w:val="26"/>
                <w:vertAlign w:val="baseline"/>
              </w:rPr>
            </w:pPr>
            <w:r>
              <w:rPr>
                <w:rFonts w:hint="default" w:ascii="Times New Roman" w:hAnsi="Times New Roman" w:eastAsia="SimSun" w:cs="Times New Roman"/>
                <w:b/>
                <w:i w:val="0"/>
                <w:color w:val="000000"/>
                <w:kern w:val="0"/>
                <w:sz w:val="26"/>
                <w:szCs w:val="26"/>
                <w:u w:val="none"/>
                <w:lang w:val="en-US" w:eastAsia="zh-CN" w:bidi="ar"/>
              </w:rPr>
              <w:t>76,0</w:t>
            </w:r>
          </w:p>
        </w:tc>
      </w:tr>
    </w:tbl>
    <w:p>
      <w:pPr>
        <w:pStyle w:val="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xml:space="preserve">Kết quả cho thấy mô hình dự đoán rất hiệu quả ở các phân khúc giá phổ biến: khu vực TH đạt 100%, ĐH đạt 89,7%, TyH ở dải dưới 3 triệu đạt 88,8%, vùng 3–7 triệu (TyH) đạt 77,2%. Tổng cộng, </w:t>
      </w:r>
      <w:r>
        <w:rPr>
          <w:rFonts w:hint="default" w:ascii="Times New Roman" w:hAnsi="Times New Roman" w:cs="Times New Roman"/>
          <w:b/>
          <w:sz w:val="26"/>
          <w:szCs w:val="26"/>
        </w:rPr>
        <w:t>76,0%</w:t>
      </w:r>
      <w:r>
        <w:rPr>
          <w:rFonts w:hint="default" w:ascii="Times New Roman" w:hAnsi="Times New Roman" w:cs="Times New Roman"/>
          <w:sz w:val="26"/>
          <w:szCs w:val="26"/>
        </w:rPr>
        <w:t xml:space="preserve"> mẫu kiểm tra được phân loại đúng vùng giá – phần lớn đất nông thôn thị xã Thái Hòa thuộc dải giá dưới 4 triệu VNĐ/m² nên mô hình phát huy hiệu quả tốt nhất ở phân khúc chiếm tỷ trọng lớn nhất này. Ở các phân khúc giá cao (trên 5 triệu, chiếm tỷ lệ nhỏ trong tập dữ liệu), mô hình có xu hướng ước lượng bảo thủ – đặc điểm quen thuộc của OLS trên dữ liệu phân phối lệch phải.</w:t>
      </w:r>
    </w:p>
    <w:p>
      <w:pPr>
        <w:pStyle w:val="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Bản đồ vùng giá trị đất ở nông thôn được thành lập bằng cách phân lớp giá trị dự đoán trên QGIS, phục vụ cơ quan quản lý đất đai trong việc nắm bắt phân bố không gian giá đất, hỗ trợ quy hoạch, bồi thường giải phóng mặt bằng và thu thuế đất. Kết quả bản đồ phân vùng giá đất ở nông thôn cho từng khu vực được trình bày lần lượt tại Hình 1, Hình 2 và Hình 3.</w:t>
      </w:r>
    </w:p>
    <w:p>
      <w:pPr>
        <w:pStyle w:val="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b/>
          <w:sz w:val="26"/>
          <w:szCs w:val="26"/>
        </w:rPr>
        <w:t>Hình 1.</w:t>
      </w:r>
      <w:r>
        <w:rPr>
          <w:rFonts w:hint="default" w:ascii="Times New Roman" w:hAnsi="Times New Roman" w:cs="Times New Roman"/>
          <w:sz w:val="26"/>
          <w:szCs w:val="26"/>
        </w:rPr>
        <w:t xml:space="preserve"> Bản đồ phân vùng giá đất ở nông thôn phường Hòa Hiếu (TH) </w:t>
      </w:r>
      <w:r>
        <w:rPr>
          <w:rFonts w:hint="default" w:ascii="Times New Roman" w:hAnsi="Times New Roman" w:cs="Times New Roman"/>
          <w:i/>
          <w:sz w:val="26"/>
          <w:szCs w:val="26"/>
        </w:rPr>
        <w:t>(Nguồn: BAN_DO/phường Thái hòa vùng giá đất theo giá quy định năm 2025.pdf)</w:t>
      </w:r>
    </w:p>
    <w:p>
      <w:pPr>
        <w:pStyle w:val="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b/>
          <w:sz w:val="26"/>
          <w:szCs w:val="26"/>
        </w:rPr>
        <w:t>Hình 2.</w:t>
      </w:r>
      <w:r>
        <w:rPr>
          <w:rFonts w:hint="default" w:ascii="Times New Roman" w:hAnsi="Times New Roman" w:cs="Times New Roman"/>
          <w:sz w:val="26"/>
          <w:szCs w:val="26"/>
        </w:rPr>
        <w:t xml:space="preserve"> Bản đồ phân vùng giá đất ở nông thôn xã Đông Hiếu (ĐH) </w:t>
      </w:r>
      <w:r>
        <w:rPr>
          <w:rFonts w:hint="default" w:ascii="Times New Roman" w:hAnsi="Times New Roman" w:cs="Times New Roman"/>
          <w:i/>
          <w:sz w:val="26"/>
          <w:szCs w:val="26"/>
        </w:rPr>
        <w:t>(Nguồn: BAN_DO/Bản đồ vùng giá đất xã đông hiếu theo giá quy định năm 2025.pdf)</w:t>
      </w:r>
    </w:p>
    <w:p>
      <w:pPr>
        <w:pStyle w:val="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b/>
          <w:sz w:val="26"/>
          <w:szCs w:val="26"/>
        </w:rPr>
        <w:t>Hình 3.</w:t>
      </w:r>
      <w:r>
        <w:rPr>
          <w:rFonts w:hint="default" w:ascii="Times New Roman" w:hAnsi="Times New Roman" w:cs="Times New Roman"/>
          <w:sz w:val="26"/>
          <w:szCs w:val="26"/>
        </w:rPr>
        <w:t xml:space="preserve"> Bản đồ phân vùng giá đất ở nông thôn phường Tây Hiếu (TyH) </w:t>
      </w:r>
      <w:r>
        <w:rPr>
          <w:rFonts w:hint="default" w:ascii="Times New Roman" w:hAnsi="Times New Roman" w:cs="Times New Roman"/>
          <w:i/>
          <w:sz w:val="26"/>
          <w:szCs w:val="26"/>
        </w:rPr>
        <w:t>(Nguồn: BAN_DO/bản đồ vùng giá đất phường tây hiếu theo giá quy định năm 2025.pdf)</w:t>
      </w:r>
    </w:p>
    <w:p>
      <w:pPr>
        <w:pStyle w:val="3"/>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4. KẾT LUẬN</w:t>
      </w:r>
    </w:p>
    <w:p>
      <w:pPr>
        <w:pStyle w:val="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Mô hình hồi quy giá đất ở nông thôn tại thị xã Thái Hòa gồm 12 biến độc lập, trong đó 4 yếu tố có ảnh hưởng lớn nhất (theo hệ số Beta chuẩn hóa) là chất lượng nước (MT_NUOC, |β| = 0,296), chính sách sử dụng đất (YT_CSSD, 0,154), đầu cơ nhà đất (YT_DC, 0,136) và mật độ dân số (YT_MDDS, 0,132). Mô hình được xây dựng trên 6.462 mẫu huấn luyện từ bộ dữ liệu 8.079 thửa đất ở nông thôn thuộc 3 khu vực (TH, TyH, ĐH), cho hệ số R² hiệu chỉnh = 0,2106 và thống kê F = 144,66 (p &lt; 0,001) – mức giải thích phù hợp với các mô hình hedonic giá đất nông thôn. Kiểm định cho thấy mô hình không có đa cộng tuyến (VIF tối đa = 5,272 &lt; 10), không có tự tương quan (DW = 1,04 nằm trong khoảng 1–3); kiểm định Breusch–Pagan phản ánh tính chất phân bố tự nhiên của dữ liệu bất động sản mà không ảnh hưởng đến tính không chệch của các hệ số ước lượng.</w:t>
      </w:r>
    </w:p>
    <w:p>
      <w:pPr>
        <w:pStyle w:val="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xml:space="preserve">Phương trình hồi quy đã được tích hợp vào QGIS, cho phép tính giá đất tự động trên bản đồ số và xây dựng bản đồ vùng giá trị đất ở nông thôn. Kết quả dự đoán trên tập kiểm tra 1.617 mẫu đạt độ chính xác vùng giá </w:t>
      </w:r>
      <w:r>
        <w:rPr>
          <w:rFonts w:hint="default" w:ascii="Times New Roman" w:hAnsi="Times New Roman" w:cs="Times New Roman"/>
          <w:b/>
          <w:sz w:val="26"/>
          <w:szCs w:val="26"/>
        </w:rPr>
        <w:t>76,0%</w:t>
      </w:r>
      <w:r>
        <w:rPr>
          <w:rFonts w:hint="default" w:ascii="Times New Roman" w:hAnsi="Times New Roman" w:cs="Times New Roman"/>
          <w:sz w:val="26"/>
          <w:szCs w:val="26"/>
        </w:rPr>
        <w:t>, trong đó các vùng giá dưới 4 triệu VNĐ/m² đạt 88,8–100%. Đây là mức tin cậy cao, phản ánh khả năng ứng dụng thực tế của mô hình trong quản lý nhà nước về giá đất, bồi thường giải phóng mặt bằng và thu thuế đất.</w:t>
      </w:r>
    </w:p>
    <w:p>
      <w:pPr>
        <w:pStyle w:val="7"/>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So với mô hình đất đô thị (R² hiệu chỉnh = 25,53%), mô hình đất nông thôn tuy có R² thấp hơn (21,06%) nhưng đạt độ chính xác vùng giá cao vượt trội (76,0% so với 34,9%), phản ánh phân phối giá đất nông thôn tập trung và ổn định hơn. Trong điều kiện bổ sung thêm các biến phản ánh chất lượng đất nông nghiệp, khả năng tiếp cận nguồn nước tưới tiêu và khoảng cách đến chợ nông sản – kết hợp với phương pháp mô hình hồi quy không gian (Spatial Lag / Spatial Error Model) – mô hình giá đất nông thôn có thể sẽ nâng cao thêm độ chính xác ở phân khúc giá cao.</w:t>
      </w:r>
    </w:p>
    <w:p>
      <w:pPr>
        <w:spacing w:line="360" w:lineRule="auto"/>
        <w:jc w:val="both"/>
        <w:rPr>
          <w:rFonts w:hint="default" w:ascii="Times New Roman" w:hAnsi="Times New Roman" w:cs="Times New Roman"/>
          <w:sz w:val="26"/>
          <w:szCs w:val="26"/>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00"/>
    <w:family w:val="swiss"/>
    <w:pitch w:val="default"/>
    <w:sig w:usb0="E4002EFF" w:usb1="C000247B" w:usb2="00000009" w:usb3="00000000" w:csb0="200001FF" w:csb1="00000000"/>
  </w:font>
  <w:font w:name="SimSun">
    <w:altName w:val="Droid Sans Fallback"/>
    <w:panose1 w:val="00000000000000000000"/>
    <w:charset w:val="86"/>
    <w:family w:val="auto"/>
    <w:pitch w:val="default"/>
    <w:sig w:usb0="00000000" w:usb1="00000000" w:usb2="00000000" w:usb3="00000000" w:csb0="00000000" w:csb1="00000000"/>
  </w:font>
  <w:font w:name="SimSun">
    <w:altName w:val="Droid Sans Fallback"/>
    <w:panose1 w:val="02010600030101010101"/>
    <w:charset w:val="86"/>
    <w:family w:val="auto"/>
    <w:pitch w:val="default"/>
    <w:sig w:usb0="00000000" w:usb1="00000000" w:usb2="00000010" w:usb3="00000000" w:csb0="00040001" w:csb1="00000000"/>
  </w:font>
  <w:font w:name="sans-serif">
    <w:altName w:val="Quicksand Light"/>
    <w:panose1 w:val="00000000000000000000"/>
    <w:charset w:val="00"/>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dwaita Sans">
    <w:panose1 w:val="02000503000000020004"/>
    <w:charset w:val="00"/>
    <w:family w:val="auto"/>
    <w:pitch w:val="default"/>
    <w:sig w:usb0="E0000AFF" w:usb1="5200A1FF" w:usb2="00000021" w:usb3="00000000" w:csb0="0000019F" w:csb1="00000000"/>
  </w:font>
  <w:font w:name="Quicksand Light">
    <w:panose1 w:val="00000400000000000000"/>
    <w:charset w:val="00"/>
    <w:family w:val="auto"/>
    <w:pitch w:val="default"/>
    <w:sig w:usb0="2000000F" w:usb1="00000001" w:usb2="00000000" w:usb3="00000000" w:csb0="20000193"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EED6A466"/>
    <w:rsid w:val="D7FE225F"/>
    <w:rsid w:val="EED6A4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8">
    <w:name w:val="Default Paragraph Font"/>
    <w:semiHidden/>
    <w:qFormat/>
    <w:uiPriority w:val="0"/>
  </w:style>
  <w:style w:type="table" w:default="1" w:styleId="11">
    <w:name w:val="Normal Table"/>
    <w:semiHidden/>
    <w:qFormat/>
    <w:uiPriority w:val="0"/>
    <w:tblPr>
      <w:tblLayout w:type="fixed"/>
      <w:tblCellMar>
        <w:top w:w="0" w:type="dxa"/>
        <w:left w:w="108" w:type="dxa"/>
        <w:bottom w:w="0" w:type="dxa"/>
        <w:right w:w="108" w:type="dxa"/>
      </w:tblCellMar>
    </w:tblPr>
  </w:style>
  <w:style w:type="paragraph" w:styleId="6">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7">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HTML Code"/>
    <w:basedOn w:val="8"/>
    <w:uiPriority w:val="0"/>
    <w:rPr>
      <w:rFonts w:ascii="Courier New" w:hAnsi="Courier New" w:cs="Courier New"/>
      <w:sz w:val="20"/>
      <w:szCs w:val="20"/>
    </w:rPr>
  </w:style>
  <w:style w:type="character" w:styleId="10">
    <w:name w:val="Strong"/>
    <w:basedOn w:val="8"/>
    <w:qFormat/>
    <w:uiPriority w:val="0"/>
    <w:rPr>
      <w:b/>
      <w:bCs/>
    </w:rPr>
  </w:style>
  <w:style w:type="table" w:styleId="12">
    <w:name w:val="Table Grid"/>
    <w:basedOn w:val="11"/>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Office_10.1.0.6757_F1E327BC-269C-435d-A152-05C5408002CA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2026-03-03T23:36:00Z</dcterms:created>
  <dc:creator>cnv1902</dc:creator>
  <cp:lastModifiedBy>cnv1902</cp:lastModifiedBy>
  <dcterms:modified xsi:type="dcterms:W3CDTF">2026-03-03T16:44:58Z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1033-10.1.0.6757</vt:lpwstr>
  </property>
</Properties>
</file>