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vAlign w:val="center"/>
            <w:shd w:fill="171719"/>
            <w:tcMar>
              <w:top w:w="260" w:type="dxa"/>
              <w:start w:w="260" w:type="dxa"/>
              <w:bottom w:w="260" w:type="dxa"/>
              <w:end w:w="260" w:type="dxa"/>
            </w:tcMar>
          </w:tcPr>
          <w:p>
            <w:pPr>
              <w:jc w:val="left"/>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cnvrt-logo.png"/>
                          <pic:cNvPicPr/>
                        </pic:nvPicPr>
                        <pic:blipFill>
                          <a:blip r:embed="rId11"/>
                          <a:stretch>
                            <a:fillRect/>
                          </a:stretch>
                        </pic:blipFill>
                        <pic:spPr>
                          <a:xfrm>
                            <a:off x="0" y="0"/>
                            <a:ext cx="1417320" cy="354330"/>
                          </a:xfrm>
                          <a:prstGeom prst="rect"/>
                        </pic:spPr>
                      </pic:pic>
                    </a:graphicData>
                  </a:graphic>
                </wp:inline>
              </w:drawing>
            </w:r>
          </w:p>
        </w:tc>
      </w:tr>
    </w:tbl>
    <w:p>
      <w:pPr>
        <w:spacing w:before="0" w:after="200" w:line="298" w:lineRule="auto"/>
      </w:pPr>
      <w:r>
        <w:rPr>
          <w:rFonts w:ascii="Arial" w:hAnsi="Arial"/>
          <w:b/>
          <w:i w:val="0"/>
          <w:color w:val="8063A4"/>
          <w:sz w:val="18"/>
        </w:rPr>
        <w:t>WEBSITE PROJECT PROPOSAL</w:t>
      </w:r>
    </w:p>
    <w:p>
      <w:pPr>
        <w:spacing w:before="0" w:after="240" w:line="298" w:lineRule="auto"/>
      </w:pPr>
      <w:r>
        <w:rPr>
          <w:rFonts w:ascii="Arial" w:hAnsi="Arial"/>
          <w:b/>
          <w:i w:val="0"/>
          <w:color w:val="171719"/>
          <w:sz w:val="50"/>
        </w:rPr>
        <w:t>A clearer digital patient journey</w:t>
        <w:br/>
        <w:t>for hair restoration and medical aesthetics.</w:t>
      </w:r>
    </w:p>
    <w:p>
      <w:pPr>
        <w:spacing w:before="0" w:after="520" w:line="298" w:lineRule="auto"/>
      </w:pPr>
      <w:r>
        <w:rPr>
          <w:rFonts w:ascii="Arial" w:hAnsi="Arial"/>
          <w:b w:val="0"/>
          <w:i w:val="0"/>
          <w:color w:val="66636B"/>
          <w:sz w:val="26"/>
        </w:rPr>
        <w:t>Prepared for {{CLIENT_NAME}}</w:t>
      </w:r>
    </w:p>
    <w:p>
      <w:pPr>
        <w:spacing w:before="60" w:after="240"/>
        <w:pBdr>
          <w:bottom w:val="single" w:sz="10" w:color="C7B6DA"/>
        </w:pBdr>
      </w:pPr>
    </w:p>
    <w:tbl>
      <w:tblPr>
        <w:tblW w:type="auto" w:w="0"/>
        <w:jc w:val="center"/>
        <w:tblLayout w:type="fixed"/>
        <w:tblLook w:firstColumn="1" w:firstRow="1" w:lastColumn="0" w:lastRow="0" w:noHBand="0" w:noVBand="1" w:val="04A0"/>
      </w:tblPr>
      <w:tblGrid>
        <w:gridCol w:w="4968"/>
        <w:gridCol w:w="4968"/>
      </w:tblGrid>
      <w:tr>
        <w:tc>
          <w:tcPr>
            <w:tcW w:type="dxa" w:w="2232"/>
            <w:tcMar>
              <w:top w:w="80" w:type="dxa"/>
              <w:start w:w="100" w:type="dxa"/>
              <w:bottom w:w="80" w:type="dxa"/>
              <w:end w:w="100" w:type="dxa"/>
            </w:tcMar>
          </w:tcPr>
          <w:p>
            <w:r>
              <w:rPr>
                <w:rFonts w:ascii="Arial" w:hAnsi="Arial"/>
                <w:b/>
                <w:i w:val="0"/>
                <w:color w:val="66636B"/>
                <w:sz w:val="19"/>
              </w:rPr>
              <w:t>Client</w:t>
            </w:r>
          </w:p>
        </w:tc>
        <w:tc>
          <w:tcPr>
            <w:tcW w:type="dxa" w:w="7560"/>
            <w:tcMar>
              <w:top w:w="80" w:type="dxa"/>
              <w:start w:w="100" w:type="dxa"/>
              <w:bottom w:w="80" w:type="dxa"/>
              <w:end w:w="100" w:type="dxa"/>
            </w:tcMar>
          </w:tcPr>
          <w:p>
            <w:r>
              <w:rPr>
                <w:rFonts w:ascii="Arial" w:hAnsi="Arial"/>
                <w:b w:val="0"/>
                <w:i w:val="0"/>
                <w:color w:val="171719"/>
                <w:sz w:val="19"/>
              </w:rPr>
              <w:t>{{CLIENT_NAME}}</w:t>
            </w:r>
          </w:p>
        </w:tc>
      </w:tr>
      <w:tr>
        <w:tc>
          <w:tcPr>
            <w:tcW w:type="dxa" w:w="2232"/>
            <w:tcMar>
              <w:top w:w="80" w:type="dxa"/>
              <w:start w:w="100" w:type="dxa"/>
              <w:bottom w:w="80" w:type="dxa"/>
              <w:end w:w="100" w:type="dxa"/>
            </w:tcMar>
          </w:tcPr>
          <w:p>
            <w:r>
              <w:rPr>
                <w:rFonts w:ascii="Arial" w:hAnsi="Arial"/>
                <w:b/>
                <w:i w:val="0"/>
                <w:color w:val="66636B"/>
                <w:sz w:val="19"/>
              </w:rPr>
              <w:t>Contact</w:t>
            </w:r>
          </w:p>
        </w:tc>
        <w:tc>
          <w:tcPr>
            <w:tcW w:type="dxa" w:w="7560"/>
            <w:tcMar>
              <w:top w:w="80" w:type="dxa"/>
              <w:start w:w="100" w:type="dxa"/>
              <w:bottom w:w="80" w:type="dxa"/>
              <w:end w:w="100" w:type="dxa"/>
            </w:tcMar>
          </w:tcPr>
          <w:p>
            <w:r>
              <w:rPr>
                <w:rFonts w:ascii="Arial" w:hAnsi="Arial"/>
                <w:b w:val="0"/>
                <w:i w:val="0"/>
                <w:color w:val="171719"/>
                <w:sz w:val="19"/>
              </w:rPr>
              <w:t>{{CLIENT_CONTACT}}</w:t>
            </w:r>
          </w:p>
        </w:tc>
      </w:tr>
      <w:tr>
        <w:tc>
          <w:tcPr>
            <w:tcW w:type="dxa" w:w="2232"/>
            <w:tcMar>
              <w:top w:w="80" w:type="dxa"/>
              <w:start w:w="100" w:type="dxa"/>
              <w:bottom w:w="80" w:type="dxa"/>
              <w:end w:w="100" w:type="dxa"/>
            </w:tcMar>
          </w:tcPr>
          <w:p>
            <w:r>
              <w:rPr>
                <w:rFonts w:ascii="Arial" w:hAnsi="Arial"/>
                <w:b/>
                <w:i w:val="0"/>
                <w:color w:val="66636B"/>
                <w:sz w:val="19"/>
              </w:rPr>
              <w:t>Prepared</w:t>
            </w:r>
          </w:p>
        </w:tc>
        <w:tc>
          <w:tcPr>
            <w:tcW w:type="dxa" w:w="7560"/>
            <w:tcMar>
              <w:top w:w="80" w:type="dxa"/>
              <w:start w:w="100" w:type="dxa"/>
              <w:bottom w:w="80" w:type="dxa"/>
              <w:end w:w="100" w:type="dxa"/>
            </w:tcMar>
          </w:tcPr>
          <w:p>
            <w:r>
              <w:rPr>
                <w:rFonts w:ascii="Arial" w:hAnsi="Arial"/>
                <w:b w:val="0"/>
                <w:i w:val="0"/>
                <w:color w:val="171719"/>
                <w:sz w:val="19"/>
              </w:rPr>
              <w:t>{{PROPOSAL_DATE}}</w:t>
            </w:r>
          </w:p>
        </w:tc>
      </w:tr>
      <w:tr>
        <w:tc>
          <w:tcPr>
            <w:tcW w:type="dxa" w:w="2232"/>
            <w:tcMar>
              <w:top w:w="80" w:type="dxa"/>
              <w:start w:w="100" w:type="dxa"/>
              <w:bottom w:w="80" w:type="dxa"/>
              <w:end w:w="100" w:type="dxa"/>
            </w:tcMar>
          </w:tcPr>
          <w:p>
            <w:r>
              <w:rPr>
                <w:rFonts w:ascii="Arial" w:hAnsi="Arial"/>
                <w:b/>
                <w:i w:val="0"/>
                <w:color w:val="66636B"/>
                <w:sz w:val="19"/>
              </w:rPr>
              <w:t>Reference</w:t>
            </w:r>
          </w:p>
        </w:tc>
        <w:tc>
          <w:tcPr>
            <w:tcW w:type="dxa" w:w="7560"/>
            <w:tcMar>
              <w:top w:w="80" w:type="dxa"/>
              <w:start w:w="100" w:type="dxa"/>
              <w:bottom w:w="80" w:type="dxa"/>
              <w:end w:w="100" w:type="dxa"/>
            </w:tcMar>
          </w:tcPr>
          <w:p>
            <w:r>
              <w:rPr>
                <w:rFonts w:ascii="Arial" w:hAnsi="Arial"/>
                <w:b w:val="0"/>
                <w:i w:val="0"/>
                <w:color w:val="171719"/>
                <w:sz w:val="19"/>
              </w:rPr>
              <w:t>{{PROPOSAL_REFERENCE}}</w:t>
            </w:r>
          </w:p>
        </w:tc>
      </w:tr>
    </w:tbl>
    <w:p>
      <w:pPr>
        <w:spacing w:before="0" w:after="0" w:line="298" w:lineRule="auto"/>
        <w:jc w:val="center"/>
      </w:pPr>
      <w:r>
        <w:rPr>
          <w:rFonts w:ascii="Arial" w:hAnsi="Arial"/>
          <w:b w:val="0"/>
          <w:i w:val="0"/>
          <w:color w:val="66636B"/>
          <w:sz w:val="19"/>
        </w:rPr>
        <w:t>Prepared by Daniel Lyons, Founder &amp; Growth Specialist, CNVRT</w:t>
      </w:r>
    </w:p>
    <w:p>
      <w:r>
        <w:br w:type="page"/>
      </w:r>
    </w:p>
    <w:p>
      <w:pPr>
        <w:pStyle w:val="Heading1"/>
        <w:keepNext/>
      </w:pPr>
      <w:r>
        <w:rPr>
          <w:rFonts w:ascii="Arial" w:hAnsi="Arial"/>
          <w:b/>
          <w:i w:val="0"/>
          <w:color w:val="171719"/>
          <w:sz w:val="36"/>
        </w:rPr>
        <w:t>The opportunity</w:t>
      </w:r>
    </w:p>
    <w:p>
      <w:pPr>
        <w:spacing w:before="0" w:after="160" w:line="298" w:lineRule="auto"/>
      </w:pPr>
      <w:r>
        <w:rPr>
          <w:rFonts w:ascii="Arial" w:hAnsi="Arial"/>
          <w:b w:val="0"/>
          <w:i w:val="0"/>
          <w:color w:val="171719"/>
          <w:sz w:val="21"/>
        </w:rPr>
        <w:t>The current website contains substantial treatment knowledge and proof, but the patient journey is fragmented across older treatment pages, Wix booking services, inconsistent location signals and multiple contact details. The new website should make the clinic easier to trust, understand and book, while giving the business a maintainable foundation for search visibility and follow-up.</w:t>
      </w:r>
    </w:p>
    <w:p>
      <w:pPr>
        <w:spacing w:before="0" w:after="80" w:line="298" w:lineRule="auto"/>
      </w:pPr>
      <w:r>
        <w:rPr>
          <w:rFonts w:ascii="Arial" w:hAnsi="Arial"/>
          <w:b/>
          <w:i w:val="0"/>
          <w:color w:val="8063A4"/>
          <w:sz w:val="18"/>
        </w:rPr>
        <w:t>Recommended position</w:t>
      </w:r>
    </w:p>
    <w:p>
      <w:pPr>
        <w:spacing w:before="0" w:after="240" w:line="298" w:lineRule="auto"/>
      </w:pPr>
      <w:r>
        <w:rPr>
          <w:rFonts w:ascii="Arial" w:hAnsi="Arial"/>
          <w:b/>
          <w:i w:val="0"/>
          <w:color w:val="171719"/>
          <w:sz w:val="24"/>
        </w:rPr>
        <w:t>Lead with doctor-led hair restoration. Present medical aesthetics as a strong, clearly organised secondary service line.</w:t>
      </w:r>
    </w:p>
    <w:p>
      <w:pPr>
        <w:pStyle w:val="Heading2"/>
        <w:keepNext/>
      </w:pPr>
      <w:r>
        <w:rPr>
          <w:rFonts w:ascii="Arial" w:hAnsi="Arial"/>
          <w:b/>
          <w:i w:val="0"/>
          <w:color w:val="171719"/>
          <w:sz w:val="27"/>
        </w:rPr>
        <w:t>Project objectives</w:t>
      </w:r>
    </w:p>
    <w:p>
      <w:pPr>
        <w:pStyle w:val="ListBullet"/>
        <w:spacing w:after="80" w:line="283" w:lineRule="auto"/>
      </w:pPr>
      <w:r>
        <w:rPr>
          <w:rFonts w:ascii="Arial" w:hAnsi="Arial"/>
          <w:b w:val="0"/>
          <w:i w:val="0"/>
          <w:color w:val="171719"/>
          <w:sz w:val="20"/>
        </w:rPr>
        <w:t xml:space="preserve">  Increase qualified consultation bookings, particularly for hair restoration.</w:t>
      </w:r>
    </w:p>
    <w:p>
      <w:pPr>
        <w:pStyle w:val="ListBullet"/>
        <w:spacing w:after="80" w:line="283" w:lineRule="auto"/>
      </w:pPr>
      <w:r>
        <w:rPr>
          <w:rFonts w:ascii="Arial" w:hAnsi="Arial"/>
          <w:b w:val="0"/>
          <w:i w:val="0"/>
          <w:color w:val="171719"/>
          <w:sz w:val="20"/>
        </w:rPr>
        <w:t xml:space="preserve">  Establish Dr Jamie’s medical credibility, personal experience and natural-results philosophy.</w:t>
      </w:r>
    </w:p>
    <w:p>
      <w:pPr>
        <w:pStyle w:val="ListBullet"/>
        <w:spacing w:after="80" w:line="283" w:lineRule="auto"/>
      </w:pPr>
      <w:r>
        <w:rPr>
          <w:rFonts w:ascii="Arial" w:hAnsi="Arial"/>
          <w:b w:val="0"/>
          <w:i w:val="0"/>
          <w:color w:val="171719"/>
          <w:sz w:val="20"/>
        </w:rPr>
        <w:t xml:space="preserve">  Give each priority treatment a clear, accurate and commercially useful patient journey.</w:t>
      </w:r>
    </w:p>
    <w:p>
      <w:pPr>
        <w:pStyle w:val="ListBullet"/>
        <w:spacing w:after="80" w:line="283" w:lineRule="auto"/>
      </w:pPr>
      <w:r>
        <w:rPr>
          <w:rFonts w:ascii="Arial" w:hAnsi="Arial"/>
          <w:b w:val="0"/>
          <w:i w:val="0"/>
          <w:color w:val="171719"/>
          <w:sz w:val="20"/>
        </w:rPr>
        <w:t xml:space="preserve">  Replace inconsistent location, pricing and contact information with one approved source of truth.</w:t>
      </w:r>
    </w:p>
    <w:p>
      <w:pPr>
        <w:pStyle w:val="ListBullet"/>
        <w:spacing w:after="80" w:line="283" w:lineRule="auto"/>
      </w:pPr>
      <w:r>
        <w:rPr>
          <w:rFonts w:ascii="Arial" w:hAnsi="Arial"/>
          <w:b w:val="0"/>
          <w:i w:val="0"/>
          <w:color w:val="171719"/>
          <w:sz w:val="20"/>
        </w:rPr>
        <w:t xml:space="preserve">  Create an SEO-ready structure for Manchester, Bury and any other confirmed clinic locations.</w:t>
      </w:r>
    </w:p>
    <w:p>
      <w:pPr>
        <w:pStyle w:val="ListBullet"/>
        <w:spacing w:after="80" w:line="283" w:lineRule="auto"/>
      </w:pPr>
      <w:r>
        <w:rPr>
          <w:rFonts w:ascii="Arial" w:hAnsi="Arial"/>
          <w:b w:val="0"/>
          <w:i w:val="0"/>
          <w:color w:val="171719"/>
          <w:sz w:val="20"/>
        </w:rPr>
        <w:t xml:space="preserve">  Provide a practical enquiry and consultation-management view without storing confidential clinical records.</w:t>
      </w:r>
    </w:p>
    <w:p>
      <w:pPr>
        <w:pStyle w:val="Heading1"/>
        <w:keepNext/>
      </w:pPr>
      <w:r>
        <w:rPr>
          <w:rFonts w:ascii="Arial" w:hAnsi="Arial"/>
          <w:b/>
          <w:i w:val="0"/>
          <w:color w:val="171719"/>
          <w:sz w:val="36"/>
        </w:rPr>
        <w:t>What the project will deliver</w:t>
      </w:r>
    </w:p>
    <w:p>
      <w:pPr>
        <w:pStyle w:val="Heading2"/>
        <w:keepNext/>
      </w:pPr>
      <w:r>
        <w:rPr>
          <w:rFonts w:ascii="Arial" w:hAnsi="Arial"/>
          <w:b/>
          <w:i w:val="0"/>
          <w:color w:val="171719"/>
          <w:sz w:val="27"/>
        </w:rPr>
        <w:t>Strategy and structure</w:t>
      </w:r>
    </w:p>
    <w:p>
      <w:pPr>
        <w:spacing w:before="0" w:after="160" w:line="298" w:lineRule="auto"/>
      </w:pPr>
      <w:r>
        <w:rPr>
          <w:rFonts w:ascii="Arial" w:hAnsi="Arial"/>
          <w:b w:val="0"/>
          <w:i w:val="0"/>
          <w:color w:val="171719"/>
          <w:sz w:val="21"/>
        </w:rPr>
        <w:t>CNVRT will define the website architecture around the questions patients ask before choosing a clinic.</w:t>
      </w:r>
    </w:p>
    <w:p>
      <w:pPr>
        <w:pStyle w:val="ListBullet"/>
        <w:spacing w:after="80" w:line="283" w:lineRule="auto"/>
      </w:pPr>
      <w:r>
        <w:rPr>
          <w:rFonts w:ascii="Arial" w:hAnsi="Arial"/>
          <w:b w:val="0"/>
          <w:i w:val="0"/>
          <w:color w:val="171719"/>
          <w:sz w:val="20"/>
        </w:rPr>
        <w:t xml:space="preserve">  Priority treatment and location architecture</w:t>
      </w:r>
    </w:p>
    <w:p>
      <w:pPr>
        <w:pStyle w:val="ListBullet"/>
        <w:spacing w:after="80" w:line="283" w:lineRule="auto"/>
      </w:pPr>
      <w:r>
        <w:rPr>
          <w:rFonts w:ascii="Arial" w:hAnsi="Arial"/>
          <w:b w:val="0"/>
          <w:i w:val="0"/>
          <w:color w:val="171719"/>
          <w:sz w:val="20"/>
        </w:rPr>
        <w:t xml:space="preserve">  Hair restoration and medical aesthetics navigation</w:t>
      </w:r>
    </w:p>
    <w:p>
      <w:pPr>
        <w:pStyle w:val="ListBullet"/>
        <w:spacing w:after="80" w:line="283" w:lineRule="auto"/>
      </w:pPr>
      <w:r>
        <w:rPr>
          <w:rFonts w:ascii="Arial" w:hAnsi="Arial"/>
          <w:b w:val="0"/>
          <w:i w:val="0"/>
          <w:color w:val="171719"/>
          <w:sz w:val="20"/>
        </w:rPr>
        <w:t xml:space="preserve">  Conversion paths for consultations, calls, WhatsApp and forms</w:t>
      </w:r>
    </w:p>
    <w:p>
      <w:pPr>
        <w:pStyle w:val="Heading2"/>
        <w:keepNext/>
      </w:pPr>
      <w:r>
        <w:rPr>
          <w:rFonts w:ascii="Arial" w:hAnsi="Arial"/>
          <w:b/>
          <w:i w:val="0"/>
          <w:color w:val="171719"/>
          <w:sz w:val="27"/>
        </w:rPr>
        <w:t>Design and responsive build</w:t>
      </w:r>
    </w:p>
    <w:p>
      <w:pPr>
        <w:spacing w:before="0" w:after="160" w:line="298" w:lineRule="auto"/>
      </w:pPr>
      <w:r>
        <w:rPr>
          <w:rFonts w:ascii="Arial" w:hAnsi="Arial"/>
          <w:b w:val="0"/>
          <w:i w:val="0"/>
          <w:color w:val="171719"/>
          <w:sz w:val="21"/>
        </w:rPr>
        <w:t>A bespoke, mobile-first website will be designed and developed in a premium clinical style that feels credible, human and distinctive.</w:t>
      </w:r>
    </w:p>
    <w:p>
      <w:pPr>
        <w:pStyle w:val="ListBullet"/>
        <w:spacing w:after="80" w:line="283" w:lineRule="auto"/>
      </w:pPr>
      <w:r>
        <w:rPr>
          <w:rFonts w:ascii="Arial" w:hAnsi="Arial"/>
          <w:b w:val="0"/>
          <w:i w:val="0"/>
          <w:color w:val="171719"/>
          <w:sz w:val="20"/>
        </w:rPr>
        <w:t xml:space="preserve">  Core page design system</w:t>
      </w:r>
    </w:p>
    <w:p>
      <w:pPr>
        <w:pStyle w:val="ListBullet"/>
        <w:spacing w:after="80" w:line="283" w:lineRule="auto"/>
      </w:pPr>
      <w:r>
        <w:rPr>
          <w:rFonts w:ascii="Arial" w:hAnsi="Arial"/>
          <w:b w:val="0"/>
          <w:i w:val="0"/>
          <w:color w:val="171719"/>
          <w:sz w:val="20"/>
        </w:rPr>
        <w:t xml:space="preserve">  Responsive templates for treatment, practitioner, result and article content</w:t>
      </w:r>
    </w:p>
    <w:p>
      <w:pPr>
        <w:pStyle w:val="ListBullet"/>
        <w:spacing w:after="80" w:line="283" w:lineRule="auto"/>
      </w:pPr>
      <w:r>
        <w:rPr>
          <w:rFonts w:ascii="Arial" w:hAnsi="Arial"/>
          <w:b w:val="0"/>
          <w:i w:val="0"/>
          <w:color w:val="171719"/>
          <w:sz w:val="20"/>
        </w:rPr>
        <w:t xml:space="preserve">  Accessible interaction and clear calls to action</w:t>
      </w:r>
    </w:p>
    <w:p>
      <w:pPr>
        <w:pStyle w:val="Heading2"/>
        <w:keepNext/>
      </w:pPr>
      <w:r>
        <w:rPr>
          <w:rFonts w:ascii="Arial" w:hAnsi="Arial"/>
          <w:b/>
          <w:i w:val="0"/>
          <w:color w:val="171719"/>
          <w:sz w:val="27"/>
        </w:rPr>
        <w:t>Content restructuring</w:t>
      </w:r>
    </w:p>
    <w:p>
      <w:pPr>
        <w:spacing w:before="0" w:after="160" w:line="298" w:lineRule="auto"/>
      </w:pPr>
      <w:r>
        <w:rPr>
          <w:rFonts w:ascii="Arial" w:hAnsi="Arial"/>
          <w:b w:val="0"/>
          <w:i w:val="0"/>
          <w:color w:val="171719"/>
          <w:sz w:val="21"/>
        </w:rPr>
        <w:t>Existing website content will be audited, consolidated and rewritten for clarity, subject to Dr Jamie’s medical approval.</w:t>
      </w:r>
    </w:p>
    <w:p>
      <w:pPr>
        <w:pStyle w:val="ListBullet"/>
        <w:spacing w:after="80" w:line="283" w:lineRule="auto"/>
      </w:pPr>
      <w:r>
        <w:rPr>
          <w:rFonts w:ascii="Arial" w:hAnsi="Arial"/>
          <w:b w:val="0"/>
          <w:i w:val="0"/>
          <w:color w:val="171719"/>
          <w:sz w:val="20"/>
        </w:rPr>
        <w:t xml:space="preserve">  Homepage and Dr Jamie narrative</w:t>
      </w:r>
    </w:p>
    <w:p>
      <w:pPr>
        <w:pStyle w:val="ListBullet"/>
        <w:spacing w:after="80" w:line="283" w:lineRule="auto"/>
      </w:pPr>
      <w:r>
        <w:rPr>
          <w:rFonts w:ascii="Arial" w:hAnsi="Arial"/>
          <w:b w:val="0"/>
          <w:i w:val="0"/>
          <w:color w:val="171719"/>
          <w:sz w:val="20"/>
        </w:rPr>
        <w:t xml:space="preserve">  Priority service and treatment pages</w:t>
      </w:r>
    </w:p>
    <w:p>
      <w:pPr>
        <w:pStyle w:val="ListBullet"/>
        <w:spacing w:after="80" w:line="283" w:lineRule="auto"/>
      </w:pPr>
      <w:r>
        <w:rPr>
          <w:rFonts w:ascii="Arial" w:hAnsi="Arial"/>
          <w:b w:val="0"/>
          <w:i w:val="0"/>
          <w:color w:val="171719"/>
          <w:sz w:val="20"/>
        </w:rPr>
        <w:t xml:space="preserve">  Trust, safety, consultation and FAQ content</w:t>
      </w:r>
    </w:p>
    <w:p>
      <w:pPr>
        <w:pStyle w:val="ListBullet"/>
        <w:spacing w:after="80" w:line="283" w:lineRule="auto"/>
      </w:pPr>
      <w:r>
        <w:rPr>
          <w:rFonts w:ascii="Arial" w:hAnsi="Arial"/>
          <w:b w:val="0"/>
          <w:i w:val="0"/>
          <w:color w:val="171719"/>
          <w:sz w:val="20"/>
        </w:rPr>
        <w:t xml:space="preserve">  Initial four SEO-led articles</w:t>
      </w:r>
    </w:p>
    <w:p>
      <w:pPr>
        <w:pStyle w:val="Heading2"/>
        <w:keepNext/>
      </w:pPr>
      <w:r>
        <w:rPr>
          <w:rFonts w:ascii="Arial" w:hAnsi="Arial"/>
          <w:b/>
          <w:i w:val="0"/>
          <w:color w:val="171719"/>
          <w:sz w:val="27"/>
        </w:rPr>
        <w:t>Migration and launch</w:t>
      </w:r>
    </w:p>
    <w:p>
      <w:pPr>
        <w:spacing w:before="0" w:after="160" w:line="298" w:lineRule="auto"/>
      </w:pPr>
      <w:r>
        <w:rPr>
          <w:rFonts w:ascii="Arial" w:hAnsi="Arial"/>
          <w:b w:val="0"/>
          <w:i w:val="0"/>
          <w:color w:val="171719"/>
          <w:sz w:val="21"/>
        </w:rPr>
        <w:t>CNVRT will prepare the agreed content, redirects and measurement foundation needed to move away from the current Wix structure.</w:t>
      </w:r>
    </w:p>
    <w:p>
      <w:pPr>
        <w:pStyle w:val="ListBullet"/>
        <w:spacing w:after="80" w:line="283" w:lineRule="auto"/>
      </w:pPr>
      <w:r>
        <w:rPr>
          <w:rFonts w:ascii="Arial" w:hAnsi="Arial"/>
          <w:b w:val="0"/>
          <w:i w:val="0"/>
          <w:color w:val="171719"/>
          <w:sz w:val="20"/>
        </w:rPr>
        <w:t xml:space="preserve">  Content and media migration within the agreed scope</w:t>
      </w:r>
    </w:p>
    <w:p>
      <w:pPr>
        <w:pStyle w:val="ListBullet"/>
        <w:spacing w:after="80" w:line="283" w:lineRule="auto"/>
      </w:pPr>
      <w:r>
        <w:rPr>
          <w:rFonts w:ascii="Arial" w:hAnsi="Arial"/>
          <w:b w:val="0"/>
          <w:i w:val="0"/>
          <w:color w:val="171719"/>
          <w:sz w:val="20"/>
        </w:rPr>
        <w:t xml:space="preserve">  Core on-page SEO and redirect plan</w:t>
      </w:r>
    </w:p>
    <w:p>
      <w:pPr>
        <w:pStyle w:val="ListBullet"/>
        <w:spacing w:after="80" w:line="283" w:lineRule="auto"/>
      </w:pPr>
      <w:r>
        <w:rPr>
          <w:rFonts w:ascii="Arial" w:hAnsi="Arial"/>
          <w:b w:val="0"/>
          <w:i w:val="0"/>
          <w:color w:val="171719"/>
          <w:sz w:val="20"/>
        </w:rPr>
        <w:t xml:space="preserve">  Analytics and Search Console connection</w:t>
      </w:r>
    </w:p>
    <w:p>
      <w:pPr>
        <w:pStyle w:val="ListBullet"/>
        <w:spacing w:after="80" w:line="283" w:lineRule="auto"/>
      </w:pPr>
      <w:r>
        <w:rPr>
          <w:rFonts w:ascii="Arial" w:hAnsi="Arial"/>
          <w:b w:val="0"/>
          <w:i w:val="0"/>
          <w:color w:val="171719"/>
          <w:sz w:val="20"/>
        </w:rPr>
        <w:t xml:space="preserve">  Launch checks and handover</w:t>
      </w:r>
    </w:p>
    <w:p>
      <w:pPr>
        <w:pStyle w:val="Heading1"/>
        <w:keepNext/>
      </w:pPr>
      <w:r>
        <w:rPr>
          <w:rFonts w:ascii="Arial" w:hAnsi="Arial"/>
          <w:b/>
          <w:i w:val="0"/>
          <w:color w:val="171719"/>
          <w:sz w:val="36"/>
        </w:rPr>
        <w:t>Patient journeys and management</w:t>
      </w:r>
    </w:p>
    <w:p>
      <w:pPr>
        <w:spacing w:before="0" w:after="160" w:line="298" w:lineRule="auto"/>
      </w:pPr>
      <w:r>
        <w:rPr>
          <w:rFonts w:ascii="Arial" w:hAnsi="Arial"/>
          <w:b w:val="0"/>
          <w:i w:val="0"/>
          <w:color w:val="171719"/>
          <w:sz w:val="21"/>
        </w:rPr>
        <w:t>The new system will separate marketing operations from clinical records. It can organise enquiries, consultations and follow-up activity, but confidential medical information must remain in the clinic’s dedicated clinical system.</w:t>
      </w:r>
    </w:p>
    <w:p>
      <w:pPr>
        <w:pStyle w:val="Heading2"/>
        <w:keepNext/>
      </w:pPr>
      <w:r>
        <w:rPr>
          <w:rFonts w:ascii="Arial" w:hAnsi="Arial"/>
          <w:b/>
          <w:i w:val="0"/>
          <w:color w:val="171719"/>
          <w:sz w:val="27"/>
        </w:rPr>
        <w:t>Patient-facing journey</w:t>
      </w:r>
    </w:p>
    <w:p>
      <w:pPr>
        <w:pStyle w:val="ListBullet"/>
        <w:spacing w:after="80" w:line="283" w:lineRule="auto"/>
      </w:pPr>
      <w:r>
        <w:rPr>
          <w:rFonts w:ascii="Arial" w:hAnsi="Arial"/>
          <w:b w:val="0"/>
          <w:i w:val="0"/>
          <w:color w:val="171719"/>
          <w:sz w:val="20"/>
        </w:rPr>
        <w:t xml:space="preserve">  Discover the right treatment</w:t>
      </w:r>
    </w:p>
    <w:p>
      <w:pPr>
        <w:pStyle w:val="ListBullet"/>
        <w:spacing w:after="80" w:line="283" w:lineRule="auto"/>
      </w:pPr>
      <w:r>
        <w:rPr>
          <w:rFonts w:ascii="Arial" w:hAnsi="Arial"/>
          <w:b w:val="0"/>
          <w:i w:val="0"/>
          <w:color w:val="171719"/>
          <w:sz w:val="20"/>
        </w:rPr>
        <w:t xml:space="preserve">  Understand suitability, process, price guidance and risks</w:t>
      </w:r>
    </w:p>
    <w:p>
      <w:pPr>
        <w:pStyle w:val="ListBullet"/>
        <w:spacing w:after="80" w:line="283" w:lineRule="auto"/>
      </w:pPr>
      <w:r>
        <w:rPr>
          <w:rFonts w:ascii="Arial" w:hAnsi="Arial"/>
          <w:b w:val="0"/>
          <w:i w:val="0"/>
          <w:color w:val="171719"/>
          <w:sz w:val="20"/>
        </w:rPr>
        <w:t xml:space="preserve">  Choose an online or in-clinic consultation</w:t>
      </w:r>
    </w:p>
    <w:p>
      <w:pPr>
        <w:pStyle w:val="ListBullet"/>
        <w:spacing w:after="80" w:line="283" w:lineRule="auto"/>
      </w:pPr>
      <w:r>
        <w:rPr>
          <w:rFonts w:ascii="Arial" w:hAnsi="Arial"/>
          <w:b w:val="0"/>
          <w:i w:val="0"/>
          <w:color w:val="171719"/>
          <w:sz w:val="20"/>
        </w:rPr>
        <w:t xml:space="preserve">  Submit an enquiry or booking request</w:t>
      </w:r>
    </w:p>
    <w:p>
      <w:pPr>
        <w:pStyle w:val="ListBullet"/>
        <w:spacing w:after="80" w:line="283" w:lineRule="auto"/>
      </w:pPr>
      <w:r>
        <w:rPr>
          <w:rFonts w:ascii="Arial" w:hAnsi="Arial"/>
          <w:b w:val="0"/>
          <w:i w:val="0"/>
          <w:color w:val="171719"/>
          <w:sz w:val="20"/>
        </w:rPr>
        <w:t xml:space="preserve">  Receive clear confirmation and next steps</w:t>
      </w:r>
    </w:p>
    <w:p>
      <w:pPr>
        <w:pStyle w:val="Heading2"/>
        <w:keepNext/>
      </w:pPr>
      <w:r>
        <w:rPr>
          <w:rFonts w:ascii="Arial" w:hAnsi="Arial"/>
          <w:b/>
          <w:i w:val="0"/>
          <w:color w:val="171719"/>
          <w:sz w:val="27"/>
        </w:rPr>
        <w:t>Admin-facing journey</w:t>
      </w:r>
    </w:p>
    <w:p>
      <w:pPr>
        <w:pStyle w:val="ListBullet"/>
        <w:spacing w:after="80" w:line="283" w:lineRule="auto"/>
      </w:pPr>
      <w:r>
        <w:rPr>
          <w:rFonts w:ascii="Arial" w:hAnsi="Arial"/>
          <w:b w:val="0"/>
          <w:i w:val="0"/>
          <w:color w:val="171719"/>
          <w:sz w:val="20"/>
        </w:rPr>
        <w:t xml:space="preserve">  View website enquiries and booking sources</w:t>
      </w:r>
    </w:p>
    <w:p>
      <w:pPr>
        <w:pStyle w:val="ListBullet"/>
        <w:spacing w:after="80" w:line="283" w:lineRule="auto"/>
      </w:pPr>
      <w:r>
        <w:rPr>
          <w:rFonts w:ascii="Arial" w:hAnsi="Arial"/>
          <w:b w:val="0"/>
          <w:i w:val="0"/>
          <w:color w:val="171719"/>
          <w:sz w:val="20"/>
        </w:rPr>
        <w:t xml:space="preserve">  Move patients through an agreed enquiry pipeline</w:t>
      </w:r>
    </w:p>
    <w:p>
      <w:pPr>
        <w:pStyle w:val="ListBullet"/>
        <w:spacing w:after="80" w:line="283" w:lineRule="auto"/>
      </w:pPr>
      <w:r>
        <w:rPr>
          <w:rFonts w:ascii="Arial" w:hAnsi="Arial"/>
          <w:b w:val="0"/>
          <w:i w:val="0"/>
          <w:color w:val="171719"/>
          <w:sz w:val="20"/>
        </w:rPr>
        <w:t xml:space="preserve">  Record notes and follow-up actions</w:t>
      </w:r>
    </w:p>
    <w:p>
      <w:pPr>
        <w:pStyle w:val="ListBullet"/>
        <w:spacing w:after="80" w:line="283" w:lineRule="auto"/>
      </w:pPr>
      <w:r>
        <w:rPr>
          <w:rFonts w:ascii="Arial" w:hAnsi="Arial"/>
          <w:b w:val="0"/>
          <w:i w:val="0"/>
          <w:color w:val="171719"/>
          <w:sz w:val="20"/>
        </w:rPr>
        <w:t xml:space="preserve">  Review booking and conversion activity</w:t>
      </w:r>
    </w:p>
    <w:p>
      <w:pPr>
        <w:pStyle w:val="ListBullet"/>
        <w:spacing w:after="80" w:line="283" w:lineRule="auto"/>
      </w:pPr>
      <w:r>
        <w:rPr>
          <w:rFonts w:ascii="Arial" w:hAnsi="Arial"/>
          <w:b w:val="0"/>
          <w:i w:val="0"/>
          <w:color w:val="171719"/>
          <w:sz w:val="20"/>
        </w:rPr>
        <w:t xml:space="preserve">  Manage approved website content and patient results within the agreed system scope</w:t>
      </w:r>
    </w:p>
    <w:p>
      <w:pPr>
        <w:pStyle w:val="Heading1"/>
        <w:keepNext/>
      </w:pPr>
      <w:r>
        <w:rPr>
          <w:rFonts w:ascii="Arial" w:hAnsi="Arial"/>
          <w:b/>
          <w:i w:val="0"/>
          <w:color w:val="171719"/>
          <w:sz w:val="36"/>
        </w:rPr>
        <w:t>Delivery approach</w:t>
      </w:r>
    </w:p>
    <w:p>
      <w:pPr>
        <w:pStyle w:val="Heading3"/>
        <w:keepNext/>
      </w:pPr>
      <w:r>
        <w:rPr>
          <w:rFonts w:ascii="Arial" w:hAnsi="Arial"/>
          <w:b/>
          <w:i w:val="0"/>
          <w:color w:val="171719"/>
          <w:sz w:val="23"/>
        </w:rPr>
        <w:t>01 · Discovery and approval</w:t>
      </w:r>
    </w:p>
    <w:p>
      <w:pPr>
        <w:spacing w:before="0" w:after="160" w:line="298" w:lineRule="auto"/>
      </w:pPr>
      <w:r>
        <w:rPr>
          <w:rFonts w:ascii="Arial" w:hAnsi="Arial"/>
          <w:b w:val="0"/>
          <w:i w:val="0"/>
          <w:color w:val="171719"/>
          <w:sz w:val="21"/>
        </w:rPr>
        <w:t>Confirm treatments, locations, pricing, booking rules, credentials, access and regulatory information.</w:t>
      </w:r>
    </w:p>
    <w:p>
      <w:pPr>
        <w:pStyle w:val="Heading3"/>
        <w:keepNext/>
      </w:pPr>
      <w:r>
        <w:rPr>
          <w:rFonts w:ascii="Arial" w:hAnsi="Arial"/>
          <w:b/>
          <w:i w:val="0"/>
          <w:color w:val="171719"/>
          <w:sz w:val="23"/>
        </w:rPr>
        <w:t>02 · Structure and content</w:t>
      </w:r>
    </w:p>
    <w:p>
      <w:pPr>
        <w:spacing w:before="0" w:after="160" w:line="298" w:lineRule="auto"/>
      </w:pPr>
      <w:r>
        <w:rPr>
          <w:rFonts w:ascii="Arial" w:hAnsi="Arial"/>
          <w:b w:val="0"/>
          <w:i w:val="0"/>
          <w:color w:val="171719"/>
          <w:sz w:val="21"/>
        </w:rPr>
        <w:t>Agree the sitemap and patient journeys, then prepare the priority page content for medical review.</w:t>
      </w:r>
    </w:p>
    <w:p>
      <w:pPr>
        <w:pStyle w:val="Heading3"/>
        <w:keepNext/>
      </w:pPr>
      <w:r>
        <w:rPr>
          <w:rFonts w:ascii="Arial" w:hAnsi="Arial"/>
          <w:b/>
          <w:i w:val="0"/>
          <w:color w:val="171719"/>
          <w:sz w:val="23"/>
        </w:rPr>
        <w:t>03 · Design and build</w:t>
      </w:r>
    </w:p>
    <w:p>
      <w:pPr>
        <w:spacing w:before="0" w:after="160" w:line="298" w:lineRule="auto"/>
      </w:pPr>
      <w:r>
        <w:rPr>
          <w:rFonts w:ascii="Arial" w:hAnsi="Arial"/>
          <w:b w:val="0"/>
          <w:i w:val="0"/>
          <w:color w:val="171719"/>
          <w:sz w:val="21"/>
        </w:rPr>
        <w:t>Design the responsive interface and build the approved page system, booking routes and admin requirements.</w:t>
      </w:r>
    </w:p>
    <w:p>
      <w:pPr>
        <w:pStyle w:val="Heading3"/>
        <w:keepNext/>
      </w:pPr>
      <w:r>
        <w:rPr>
          <w:rFonts w:ascii="Arial" w:hAnsi="Arial"/>
          <w:b/>
          <w:i w:val="0"/>
          <w:color w:val="171719"/>
          <w:sz w:val="23"/>
        </w:rPr>
        <w:t>04 · Review and launch</w:t>
      </w:r>
    </w:p>
    <w:p>
      <w:pPr>
        <w:spacing w:before="0" w:after="160" w:line="298" w:lineRule="auto"/>
      </w:pPr>
      <w:r>
        <w:rPr>
          <w:rFonts w:ascii="Arial" w:hAnsi="Arial"/>
          <w:b w:val="0"/>
          <w:i w:val="0"/>
          <w:color w:val="171719"/>
          <w:sz w:val="21"/>
        </w:rPr>
        <w:t>Complete content approval, responsive QA, analytics, redirects, access checks and launch handover.</w:t>
      </w:r>
    </w:p>
    <w:p>
      <w:pPr>
        <w:spacing w:before="0" w:after="160" w:line="298" w:lineRule="auto"/>
      </w:pPr>
      <w:r>
        <w:rPr>
          <w:rFonts w:ascii="Arial" w:hAnsi="Arial"/>
          <w:b w:val="0"/>
          <w:i/>
          <w:color w:val="66636B"/>
          <w:sz w:val="21"/>
        </w:rPr>
        <w:t>Target delivery sequence: approximately 6–8 weeks from receipt of the deposit, completed questionnaire, required access and timely content approvals. A dated schedule will be confirmed after discovery.</w:t>
      </w:r>
    </w:p>
    <w:p>
      <w:r>
        <w:br w:type="page"/>
      </w:r>
    </w:p>
    <w:p>
      <w:pPr>
        <w:pStyle w:val="Heading1"/>
        <w:keepNext/>
      </w:pPr>
      <w:r>
        <w:rPr>
          <w:rFonts w:ascii="Arial" w:hAnsi="Arial"/>
          <w:b/>
          <w:i w:val="0"/>
          <w:color w:val="171719"/>
          <w:sz w:val="36"/>
        </w:rPr>
        <w:t>Investment</w:t>
      </w:r>
    </w:p>
    <w:p>
      <w:pPr>
        <w:spacing w:before="0" w:after="160" w:line="298" w:lineRule="auto"/>
      </w:pPr>
      <w:r>
        <w:rPr>
          <w:rFonts w:ascii="Arial" w:hAnsi="Arial"/>
          <w:b w:val="0"/>
          <w:i w:val="0"/>
          <w:color w:val="171719"/>
          <w:sz w:val="21"/>
        </w:rPr>
        <w:t>A fixed project investment covering the agreed phase-one website scope.</w:t>
      </w:r>
    </w:p>
    <w:tbl>
      <w:tblPr>
        <w:tblW w:type="auto" w:w="0"/>
        <w:jc w:val="center"/>
        <w:tblLayout w:type="fixed"/>
        <w:tblLook w:firstColumn="1" w:firstRow="1" w:lastColumn="0" w:lastRow="0" w:noHBand="0" w:noVBand="1" w:val="04A0"/>
      </w:tblPr>
      <w:tblGrid>
        <w:gridCol w:w="7416"/>
        <w:gridCol w:w="2376"/>
      </w:tblGrid>
      <w:tr>
        <w:tc>
          <w:tcPr>
            <w:tcW w:type="dxa" w:w="4968"/>
            <w:shd w:fill="171719"/>
            <w:tcMar>
              <w:top w:w="140" w:type="dxa"/>
              <w:start w:w="180" w:type="dxa"/>
              <w:bottom w:w="140" w:type="dxa"/>
              <w:end w:w="180" w:type="dxa"/>
            </w:tcMar>
          </w:tcPr>
          <w:p>
            <w:pPr>
              <w:jc w:val="left"/>
            </w:pPr>
            <w:r>
              <w:rPr>
                <w:rFonts w:ascii="Arial" w:hAnsi="Arial"/>
                <w:b/>
                <w:i w:val="0"/>
                <w:color w:val="FFFFFF"/>
                <w:sz w:val="19"/>
              </w:rPr>
              <w:t>Investment</w:t>
            </w:r>
          </w:p>
        </w:tc>
        <w:tc>
          <w:tcPr>
            <w:tcW w:type="dxa" w:w="4968"/>
            <w:shd w:fill="171719"/>
            <w:tcMar>
              <w:top w:w="140" w:type="dxa"/>
              <w:start w:w="180" w:type="dxa"/>
              <w:bottom w:w="140" w:type="dxa"/>
              <w:end w:w="180" w:type="dxa"/>
            </w:tcMar>
          </w:tcPr>
          <w:p>
            <w:pPr>
              <w:jc w:val="right"/>
            </w:pPr>
            <w:r>
              <w:rPr>
                <w:rFonts w:ascii="Arial" w:hAnsi="Arial"/>
                <w:b/>
                <w:i w:val="0"/>
                <w:color w:val="FFFFFF"/>
                <w:sz w:val="19"/>
              </w:rPr>
              <w:t>Amount</w:t>
            </w:r>
          </w:p>
        </w:tc>
      </w:tr>
      <w:tr>
        <w:tc>
          <w:tcPr>
            <w:tcW w:type="dxa" w:w="7416"/>
            <w:tcMar>
              <w:top w:w="140" w:type="dxa"/>
              <w:start w:w="180" w:type="dxa"/>
              <w:bottom w:w="140" w:type="dxa"/>
              <w:end w:w="180" w:type="dxa"/>
            </w:tcMar>
            <w:shd w:fill="F4F0F8"/>
          </w:tcPr>
          <w:p>
            <w:r>
              <w:rPr>
                <w:rFonts w:ascii="Arial" w:hAnsi="Arial"/>
                <w:b/>
                <w:i w:val="0"/>
                <w:color w:val="171719"/>
                <w:sz w:val="19"/>
              </w:rPr>
              <w:t>Website strategy, design, development and launch</w:t>
            </w:r>
          </w:p>
        </w:tc>
        <w:tc>
          <w:tcPr>
            <w:tcW w:type="dxa" w:w="2376"/>
            <w:tcMar>
              <w:top w:w="140" w:type="dxa"/>
              <w:start w:w="180" w:type="dxa"/>
              <w:bottom w:w="140" w:type="dxa"/>
              <w:end w:w="180" w:type="dxa"/>
            </w:tcMar>
            <w:shd w:fill="F4F0F8"/>
          </w:tcPr>
          <w:p>
            <w:pPr>
              <w:jc w:val="right"/>
            </w:pPr>
            <w:r>
              <w:rPr>
                <w:rFonts w:ascii="Arial" w:hAnsi="Arial"/>
                <w:b/>
                <w:i w:val="0"/>
                <w:color w:val="171719"/>
                <w:sz w:val="19"/>
              </w:rPr>
              <w:t>{{TOTAL_INVESTMENT}}</w:t>
            </w:r>
          </w:p>
        </w:tc>
      </w:tr>
      <w:tr>
        <w:tc>
          <w:tcPr>
            <w:tcW w:type="dxa" w:w="7416"/>
            <w:tcMar>
              <w:top w:w="140" w:type="dxa"/>
              <w:start w:w="180" w:type="dxa"/>
              <w:bottom w:w="140" w:type="dxa"/>
              <w:end w:w="180" w:type="dxa"/>
            </w:tcMar>
            <w:shd w:fill="FFFFFF"/>
          </w:tcPr>
          <w:p>
            <w:r>
              <w:rPr>
                <w:rFonts w:ascii="Arial" w:hAnsi="Arial"/>
                <w:b w:val="0"/>
                <w:i w:val="0"/>
                <w:color w:val="171719"/>
                <w:sz w:val="19"/>
              </w:rPr>
              <w:t>Deposit to schedule the project</w:t>
            </w:r>
          </w:p>
        </w:tc>
        <w:tc>
          <w:tcPr>
            <w:tcW w:type="dxa" w:w="2376"/>
            <w:tcMar>
              <w:top w:w="140" w:type="dxa"/>
              <w:start w:w="180" w:type="dxa"/>
              <w:bottom w:w="140" w:type="dxa"/>
              <w:end w:w="180" w:type="dxa"/>
            </w:tcMar>
            <w:shd w:fill="FFFFFF"/>
          </w:tcPr>
          <w:p>
            <w:pPr>
              <w:jc w:val="right"/>
            </w:pPr>
            <w:r>
              <w:rPr>
                <w:rFonts w:ascii="Arial" w:hAnsi="Arial"/>
                <w:b/>
                <w:i w:val="0"/>
                <w:color w:val="171719"/>
                <w:sz w:val="19"/>
              </w:rPr>
              <w:t>{{DEPOSIT}}</w:t>
            </w:r>
          </w:p>
        </w:tc>
      </w:tr>
      <w:tr>
        <w:tc>
          <w:tcPr>
            <w:tcW w:type="dxa" w:w="7416"/>
            <w:tcMar>
              <w:top w:w="140" w:type="dxa"/>
              <w:start w:w="180" w:type="dxa"/>
              <w:bottom w:w="140" w:type="dxa"/>
              <w:end w:w="180" w:type="dxa"/>
            </w:tcMar>
            <w:shd w:fill="F4F0F8"/>
          </w:tcPr>
          <w:p>
            <w:r>
              <w:rPr>
                <w:rFonts w:ascii="Arial" w:hAnsi="Arial"/>
                <w:b w:val="0"/>
                <w:i w:val="0"/>
                <w:color w:val="171719"/>
                <w:sz w:val="19"/>
              </w:rPr>
              <w:t>Balance due before launch</w:t>
            </w:r>
          </w:p>
        </w:tc>
        <w:tc>
          <w:tcPr>
            <w:tcW w:type="dxa" w:w="2376"/>
            <w:tcMar>
              <w:top w:w="140" w:type="dxa"/>
              <w:start w:w="180" w:type="dxa"/>
              <w:bottom w:w="140" w:type="dxa"/>
              <w:end w:w="180" w:type="dxa"/>
            </w:tcMar>
            <w:shd w:fill="F4F0F8"/>
          </w:tcPr>
          <w:p>
            <w:pPr>
              <w:jc w:val="right"/>
            </w:pPr>
            <w:r>
              <w:rPr>
                <w:rFonts w:ascii="Arial" w:hAnsi="Arial"/>
                <w:b/>
                <w:i w:val="0"/>
                <w:color w:val="171719"/>
                <w:sz w:val="19"/>
              </w:rPr>
              <w:t>{{BALANCE}}</w:t>
            </w:r>
          </w:p>
        </w:tc>
      </w:tr>
    </w:tbl>
    <w:p>
      <w:pPr>
        <w:pStyle w:val="Heading2"/>
        <w:keepNext/>
      </w:pPr>
      <w:r>
        <w:rPr>
          <w:rFonts w:ascii="Arial" w:hAnsi="Arial"/>
          <w:b/>
          <w:i w:val="0"/>
          <w:color w:val="171719"/>
          <w:sz w:val="27"/>
        </w:rPr>
        <w:t>Included</w:t>
      </w:r>
    </w:p>
    <w:p>
      <w:pPr>
        <w:pStyle w:val="ListBullet"/>
        <w:spacing w:after="80" w:line="283" w:lineRule="auto"/>
      </w:pPr>
      <w:r>
        <w:rPr>
          <w:rFonts w:ascii="Arial" w:hAnsi="Arial"/>
          <w:b w:val="0"/>
          <w:i w:val="0"/>
          <w:color w:val="171719"/>
          <w:sz w:val="20"/>
        </w:rPr>
        <w:t xml:space="preserve">  The phase-one strategy, design, development and content scope described in this proposal.</w:t>
      </w:r>
    </w:p>
    <w:p>
      <w:pPr>
        <w:pStyle w:val="ListBullet"/>
        <w:spacing w:after="80" w:line="283" w:lineRule="auto"/>
      </w:pPr>
      <w:r>
        <w:rPr>
          <w:rFonts w:ascii="Arial" w:hAnsi="Arial"/>
          <w:b w:val="0"/>
          <w:i w:val="0"/>
          <w:color w:val="171719"/>
          <w:sz w:val="20"/>
        </w:rPr>
        <w:t xml:space="preserve">  Two structured review rounds at the design/content stage.</w:t>
      </w:r>
    </w:p>
    <w:p>
      <w:pPr>
        <w:pStyle w:val="ListBullet"/>
        <w:spacing w:after="80" w:line="283" w:lineRule="auto"/>
      </w:pPr>
      <w:r>
        <w:rPr>
          <w:rFonts w:ascii="Arial" w:hAnsi="Arial"/>
          <w:b w:val="0"/>
          <w:i w:val="0"/>
          <w:color w:val="171719"/>
          <w:sz w:val="20"/>
        </w:rPr>
        <w:t xml:space="preserve">  Responsive and launch-quality checks for current desktop and mobile browsers.</w:t>
      </w:r>
    </w:p>
    <w:p>
      <w:pPr>
        <w:pStyle w:val="ListBullet"/>
        <w:spacing w:after="80" w:line="283" w:lineRule="auto"/>
      </w:pPr>
      <w:r>
        <w:rPr>
          <w:rFonts w:ascii="Arial" w:hAnsi="Arial"/>
          <w:b w:val="0"/>
          <w:i w:val="0"/>
          <w:color w:val="171719"/>
          <w:sz w:val="20"/>
        </w:rPr>
        <w:t xml:space="preserve">  Thirty days of reasonable post-launch defect support.</w:t>
      </w:r>
    </w:p>
    <w:p>
      <w:pPr>
        <w:pStyle w:val="Heading2"/>
        <w:keepNext/>
      </w:pPr>
      <w:r>
        <w:rPr>
          <w:rFonts w:ascii="Arial" w:hAnsi="Arial"/>
          <w:b/>
          <w:i w:val="0"/>
          <w:color w:val="171719"/>
          <w:sz w:val="27"/>
        </w:rPr>
        <w:t>Not included unless agreed</w:t>
      </w:r>
    </w:p>
    <w:p>
      <w:pPr>
        <w:pStyle w:val="ListBullet"/>
        <w:spacing w:after="80" w:line="283" w:lineRule="auto"/>
      </w:pPr>
      <w:r>
        <w:rPr>
          <w:rFonts w:ascii="Arial" w:hAnsi="Arial"/>
          <w:b w:val="0"/>
          <w:i w:val="0"/>
          <w:color w:val="171719"/>
          <w:sz w:val="20"/>
        </w:rPr>
        <w:t xml:space="preserve">  Third-party software, hosting, domain, SMS, WhatsApp, email or booking-platform charges.</w:t>
      </w:r>
    </w:p>
    <w:p>
      <w:pPr>
        <w:pStyle w:val="ListBullet"/>
        <w:spacing w:after="80" w:line="283" w:lineRule="auto"/>
      </w:pPr>
      <w:r>
        <w:rPr>
          <w:rFonts w:ascii="Arial" w:hAnsi="Arial"/>
          <w:b w:val="0"/>
          <w:i w:val="0"/>
          <w:color w:val="171719"/>
          <w:sz w:val="20"/>
        </w:rPr>
        <w:t xml:space="preserve">  Paid advertising spend, ongoing SEO retainers or ongoing content production.</w:t>
      </w:r>
    </w:p>
    <w:p>
      <w:pPr>
        <w:pStyle w:val="ListBullet"/>
        <w:spacing w:after="80" w:line="283" w:lineRule="auto"/>
      </w:pPr>
      <w:r>
        <w:rPr>
          <w:rFonts w:ascii="Arial" w:hAnsi="Arial"/>
          <w:b w:val="0"/>
          <w:i w:val="0"/>
          <w:color w:val="171719"/>
          <w:sz w:val="20"/>
        </w:rPr>
        <w:t xml:space="preserve">  Clinical record storage or migration into the website CRM.</w:t>
      </w:r>
    </w:p>
    <w:p>
      <w:pPr>
        <w:pStyle w:val="ListBullet"/>
        <w:spacing w:after="80" w:line="283" w:lineRule="auto"/>
      </w:pPr>
      <w:r>
        <w:rPr>
          <w:rFonts w:ascii="Arial" w:hAnsi="Arial"/>
          <w:b w:val="0"/>
          <w:i w:val="0"/>
          <w:color w:val="171719"/>
          <w:sz w:val="20"/>
        </w:rPr>
        <w:t xml:space="preserve">  New professional photography, video production or legal/regulatory advice.</w:t>
      </w:r>
    </w:p>
    <w:p>
      <w:pPr>
        <w:pStyle w:val="ListBullet"/>
        <w:spacing w:after="80" w:line="283" w:lineRule="auto"/>
      </w:pPr>
      <w:r>
        <w:rPr>
          <w:rFonts w:ascii="Arial" w:hAnsi="Arial"/>
          <w:b w:val="0"/>
          <w:i w:val="0"/>
          <w:color w:val="171719"/>
          <w:sz w:val="20"/>
        </w:rPr>
        <w:t xml:space="preserve">  Material scope additions requested after approval.</w:t>
      </w:r>
    </w:p>
    <w:p>
      <w:pPr>
        <w:pStyle w:val="Heading2"/>
        <w:keepNext/>
      </w:pPr>
      <w:r>
        <w:rPr>
          <w:rFonts w:ascii="Arial" w:hAnsi="Arial"/>
          <w:b/>
          <w:i w:val="0"/>
          <w:color w:val="171719"/>
          <w:sz w:val="27"/>
        </w:rPr>
        <w:t>Client responsibilities</w:t>
      </w:r>
    </w:p>
    <w:p>
      <w:pPr>
        <w:pStyle w:val="ListBullet"/>
        <w:spacing w:after="80" w:line="283" w:lineRule="auto"/>
      </w:pPr>
      <w:r>
        <w:rPr>
          <w:rFonts w:ascii="Arial" w:hAnsi="Arial"/>
          <w:b w:val="0"/>
          <w:i w:val="0"/>
          <w:color w:val="171719"/>
          <w:sz w:val="20"/>
        </w:rPr>
        <w:t xml:space="preserve">  Provide complete and accurate clinic, pricing, policy, qualification, GMC and CQC information.</w:t>
      </w:r>
    </w:p>
    <w:p>
      <w:pPr>
        <w:pStyle w:val="ListBullet"/>
        <w:spacing w:after="80" w:line="283" w:lineRule="auto"/>
      </w:pPr>
      <w:r>
        <w:rPr>
          <w:rFonts w:ascii="Arial" w:hAnsi="Arial"/>
          <w:b w:val="0"/>
          <w:i w:val="0"/>
          <w:color w:val="171719"/>
          <w:sz w:val="20"/>
        </w:rPr>
        <w:t xml:space="preserve">  Supply original media and confirm written patient permission for every result or testimonial used.</w:t>
      </w:r>
    </w:p>
    <w:p>
      <w:pPr>
        <w:pStyle w:val="ListBullet"/>
        <w:spacing w:after="80" w:line="283" w:lineRule="auto"/>
      </w:pPr>
      <w:r>
        <w:rPr>
          <w:rFonts w:ascii="Arial" w:hAnsi="Arial"/>
          <w:b w:val="0"/>
          <w:i w:val="0"/>
          <w:color w:val="171719"/>
          <w:sz w:val="20"/>
        </w:rPr>
        <w:t xml:space="preserve">  Review medical content and provide consolidated feedback within agreed review windows.</w:t>
      </w:r>
    </w:p>
    <w:p>
      <w:pPr>
        <w:pStyle w:val="ListBullet"/>
        <w:spacing w:after="80" w:line="283" w:lineRule="auto"/>
      </w:pPr>
      <w:r>
        <w:rPr>
          <w:rFonts w:ascii="Arial" w:hAnsi="Arial"/>
          <w:b w:val="0"/>
          <w:i w:val="0"/>
          <w:color w:val="171719"/>
          <w:sz w:val="20"/>
        </w:rPr>
        <w:t xml:space="preserve">  Provide access to Wix, domain, booking tools, Analytics, Search Console and Google Business Profile.</w:t>
      </w:r>
    </w:p>
    <w:p>
      <w:pPr>
        <w:pStyle w:val="ListBullet"/>
        <w:spacing w:after="80" w:line="283" w:lineRule="auto"/>
      </w:pPr>
      <w:r>
        <w:rPr>
          <w:rFonts w:ascii="Arial" w:hAnsi="Arial"/>
          <w:b w:val="0"/>
          <w:i w:val="0"/>
          <w:color w:val="171719"/>
          <w:sz w:val="20"/>
        </w:rPr>
        <w:t xml:space="preserve">  Nominate one person with final authority to approve design, content and launch.</w:t>
      </w:r>
    </w:p>
    <w:p>
      <w:r>
        <w:br w:type="page"/>
      </w:r>
    </w:p>
    <w:p>
      <w:pPr>
        <w:pStyle w:val="Heading1"/>
        <w:keepNext/>
      </w:pPr>
      <w:r>
        <w:rPr>
          <w:rFonts w:ascii="Arial" w:hAnsi="Arial"/>
          <w:b/>
          <w:i w:val="0"/>
          <w:color w:val="171719"/>
          <w:sz w:val="36"/>
        </w:rPr>
        <w:t>Agreement</w:t>
      </w:r>
    </w:p>
    <w:p>
      <w:pPr>
        <w:spacing w:before="0" w:after="160" w:line="298" w:lineRule="auto"/>
      </w:pPr>
      <w:r>
        <w:rPr>
          <w:rFonts w:ascii="Arial" w:hAnsi="Arial"/>
          <w:b w:val="0"/>
          <w:i w:val="0"/>
          <w:color w:val="171719"/>
          <w:sz w:val="21"/>
        </w:rPr>
        <w:t>Approval confirms the project direction, investment and responsibilities described in this proposal. The detailed discovery response and approved sitemap will form the working delivery scope. Any material additions will be estimated and agreed before work proceeds.</w:t>
      </w:r>
    </w:p>
    <w:p>
      <w:pPr>
        <w:pStyle w:val="Heading2"/>
        <w:keepNext/>
      </w:pPr>
      <w:r>
        <w:rPr>
          <w:rFonts w:ascii="Arial" w:hAnsi="Arial"/>
          <w:b/>
          <w:i w:val="0"/>
          <w:color w:val="171719"/>
          <w:sz w:val="27"/>
        </w:rPr>
        <w:t>Key terms</w:t>
      </w:r>
    </w:p>
    <w:p>
      <w:pPr>
        <w:pStyle w:val="ListBullet"/>
        <w:spacing w:after="80" w:line="283" w:lineRule="auto"/>
      </w:pPr>
      <w:r>
        <w:rPr>
          <w:rFonts w:ascii="Arial" w:hAnsi="Arial"/>
          <w:b w:val="0"/>
          <w:i w:val="0"/>
          <w:color w:val="171719"/>
          <w:sz w:val="20"/>
        </w:rPr>
        <w:t xml:space="preserve">  The £1,000 deposit is required to reserve the project and begin delivery.</w:t>
      </w:r>
    </w:p>
    <w:p>
      <w:pPr>
        <w:pStyle w:val="ListBullet"/>
        <w:spacing w:after="80" w:line="283" w:lineRule="auto"/>
      </w:pPr>
      <w:r>
        <w:rPr>
          <w:rFonts w:ascii="Arial" w:hAnsi="Arial"/>
          <w:b w:val="0"/>
          <w:i w:val="0"/>
          <w:color w:val="171719"/>
          <w:sz w:val="20"/>
        </w:rPr>
        <w:t xml:space="preserve">  The remaining £1,000 is due before the website is launched or transferred.</w:t>
      </w:r>
    </w:p>
    <w:p>
      <w:pPr>
        <w:pStyle w:val="ListBullet"/>
        <w:spacing w:after="80" w:line="283" w:lineRule="auto"/>
      </w:pPr>
      <w:r>
        <w:rPr>
          <w:rFonts w:ascii="Arial" w:hAnsi="Arial"/>
          <w:b w:val="0"/>
          <w:i w:val="0"/>
          <w:color w:val="171719"/>
          <w:sz w:val="20"/>
        </w:rPr>
        <w:t xml:space="preserve">  Invoices are payable within seven days unless otherwise agreed in writing.</w:t>
      </w:r>
    </w:p>
    <w:p>
      <w:pPr>
        <w:pStyle w:val="ListBullet"/>
        <w:spacing w:after="80" w:line="283" w:lineRule="auto"/>
      </w:pPr>
      <w:r>
        <w:rPr>
          <w:rFonts w:ascii="Arial" w:hAnsi="Arial"/>
          <w:b w:val="0"/>
          <w:i w:val="0"/>
          <w:color w:val="171719"/>
          <w:sz w:val="20"/>
        </w:rPr>
        <w:t xml:space="preserve">  CNVRT retains ownership of working files and unpublished work until invoices are paid in full.</w:t>
      </w:r>
    </w:p>
    <w:p>
      <w:pPr>
        <w:pStyle w:val="ListBullet"/>
        <w:spacing w:after="80" w:line="283" w:lineRule="auto"/>
      </w:pPr>
      <w:r>
        <w:rPr>
          <w:rFonts w:ascii="Arial" w:hAnsi="Arial"/>
          <w:b w:val="0"/>
          <w:i w:val="0"/>
          <w:color w:val="171719"/>
          <w:sz w:val="20"/>
        </w:rPr>
        <w:t xml:space="preserve">  The client is responsible for final medical, legal, regulatory and factual approval.</w:t>
      </w:r>
    </w:p>
    <w:p>
      <w:pPr>
        <w:pStyle w:val="ListBullet"/>
        <w:spacing w:after="80" w:line="283" w:lineRule="auto"/>
      </w:pPr>
      <w:r>
        <w:rPr>
          <w:rFonts w:ascii="Arial" w:hAnsi="Arial"/>
          <w:b w:val="0"/>
          <w:i w:val="0"/>
          <w:color w:val="171719"/>
          <w:sz w:val="20"/>
        </w:rPr>
        <w:t xml:space="preserve">  Either party may pause the project where required information, access, approval or payment is outstanding.</w:t>
      </w:r>
    </w:p>
    <w:p>
      <w:pPr>
        <w:spacing w:before="0" w:after="280" w:line="298" w:lineRule="auto"/>
      </w:pPr>
      <w:r>
        <w:rPr>
          <w:rFonts w:ascii="Arial" w:hAnsi="Arial"/>
          <w:b/>
          <w:i w:val="0"/>
          <w:color w:val="66636B"/>
          <w:sz w:val="18"/>
        </w:rPr>
        <w:t>Accepted for and on behalf of the client</w:t>
      </w:r>
    </w:p>
    <w:p>
      <w:pPr>
        <w:spacing w:after="360"/>
      </w:pPr>
      <w:r>
        <w:rPr>
          <w:rFonts w:ascii="Arial" w:hAnsi="Arial"/>
          <w:b/>
          <w:i w:val="0"/>
          <w:color w:val="171719"/>
          <w:sz w:val="20"/>
        </w:rPr>
        <w:t xml:space="preserve">Name: </w:t>
      </w:r>
      <w:r>
        <w:rPr>
          <w:rFonts w:ascii="Arial" w:hAnsi="Arial"/>
          <w:b w:val="0"/>
          <w:i w:val="0"/>
          <w:color w:val="66636B"/>
          <w:sz w:val="20"/>
        </w:rPr>
        <w:t>____________________________________________________________</w:t>
      </w:r>
    </w:p>
    <w:p>
      <w:pPr>
        <w:spacing w:after="360"/>
      </w:pPr>
      <w:r>
        <w:rPr>
          <w:rFonts w:ascii="Arial" w:hAnsi="Arial"/>
          <w:b/>
          <w:i w:val="0"/>
          <w:color w:val="171719"/>
          <w:sz w:val="20"/>
        </w:rPr>
        <w:t xml:space="preserve">Signature: </w:t>
      </w:r>
      <w:r>
        <w:rPr>
          <w:rFonts w:ascii="Arial" w:hAnsi="Arial"/>
          <w:b w:val="0"/>
          <w:i w:val="0"/>
          <w:color w:val="66636B"/>
          <w:sz w:val="20"/>
        </w:rPr>
        <w:t>____________________________________________________________</w:t>
      </w:r>
    </w:p>
    <w:p>
      <w:pPr>
        <w:spacing w:after="360"/>
      </w:pPr>
      <w:r>
        <w:rPr>
          <w:rFonts w:ascii="Arial" w:hAnsi="Arial"/>
          <w:b/>
          <w:i w:val="0"/>
          <w:color w:val="171719"/>
          <w:sz w:val="20"/>
        </w:rPr>
        <w:t xml:space="preserve">Date: </w:t>
      </w:r>
      <w:r>
        <w:rPr>
          <w:rFonts w:ascii="Arial" w:hAnsi="Arial"/>
          <w:b w:val="0"/>
          <w:i w:val="0"/>
          <w:color w:val="66636B"/>
          <w:sz w:val="20"/>
        </w:rPr>
        <w:t>____________________________________________________________</w:t>
      </w:r>
    </w:p>
    <w:p>
      <w:pPr>
        <w:spacing w:before="60" w:after="240"/>
        <w:pBdr>
          <w:bottom w:val="single" w:sz="10" w:color="C7B6DA"/>
        </w:pBdr>
      </w:pPr>
    </w:p>
    <w:p>
      <w:pPr>
        <w:spacing w:before="0" w:after="60" w:line="298" w:lineRule="auto"/>
      </w:pPr>
      <w:r>
        <w:rPr>
          <w:rFonts w:ascii="Arial" w:hAnsi="Arial"/>
          <w:b/>
          <w:i w:val="0"/>
          <w:color w:val="171719"/>
          <w:sz w:val="28"/>
        </w:rPr>
        <w:t>CNVRT</w:t>
      </w:r>
    </w:p>
    <w:p>
      <w:pPr>
        <w:spacing w:before="0" w:after="0" w:line="298" w:lineRule="auto"/>
      </w:pPr>
      <w:r>
        <w:rPr>
          <w:rFonts w:ascii="Arial" w:hAnsi="Arial"/>
          <w:b w:val="0"/>
          <w:i w:val="0"/>
          <w:color w:val="66636B"/>
          <w:sz w:val="19"/>
        </w:rPr>
        <w:t>Daniel Lyons · Founder &amp; Growth Specialist</w:t>
        <w:br/>
        <w:t>hello@cnvrtdigital.co.uk · 07742 119 335 · cnvrtdigital.co.uk</w:t>
      </w:r>
    </w:p>
    <w:sectPr w:rsidR="00FC693F" w:rsidRPr="0006063C" w:rsidSect="00034616">
      <w:headerReference w:type="default" r:id="rId9"/>
      <w:footerReference w:type="default" r:id="rId10"/>
      <w:pgSz w:w="12240" w:h="15840"/>
      <w:pgMar w:top="1037" w:right="1152" w:bottom="1037"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36B"/>
        <w:sz w:val="16"/>
      </w:rPr>
      <w:t>CNVRT · Manchester, UK · hello@cnvrtdigital.co.uk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636B"/>
        <w:sz w:val="16"/>
      </w:rPr>
      <w:t>CNVRT  /  PRIVATE CLIENT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7171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7171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17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