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智慧园区系统功能状况说明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EAF2F8"/>
          </w:tcPr>
          <w:p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>
      <w:pPr>
        <w:pStyle w:val="Heading1"/>
        <w:spacing w:before="280" w:after="160"/>
        <w:pBdr>
          <w:bottom w:val="single" w:sz="8" w:space="5" w:color="5B9BD5"/>
        </w:pBdr>
      </w:pPr>
      <w:r>
        <w:t>一、设备状态概况查询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7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二、工单情况查询</w:t>
      </w:r>
    </w:p>
    <w:p>
      <w:pPr>
        <w:pStyle w:val="Heading2"/>
        <w:spacing w:before="200" w:after="160"/>
      </w:pPr>
      <w:r>
        <w:t>2.1 对话查询与明细下钻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>
      <w:pPr>
        <w:pStyle w:val="Heading2"/>
        <w:spacing w:before="200" w:after="160"/>
      </w:pPr>
      <w:r>
        <w:t>2.2 多时间范围统计核对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92555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3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>
      <w:pPr>
        <w:pStyle w:val="Heading2"/>
        <w:spacing w:before="200" w:after="160"/>
      </w:pPr>
      <w:r>
        <w:t>2.3 工单列表、创建与确认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5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3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三、设备状态联动与远程查看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2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7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>
      <w:pPr>
        <w:sectPr>
          <w:footerReference w:type="default" r:id="rId26"/>
          <w:pgSz w:w="12240" w:h="15840"/>
          <w:pgMar w:top="1020" w:right="1247" w:bottom="1020" w:left="1247" w:header="454" w:footer="454" w:gutter="0"/>
          <w:cols w:space="720"/>
          <w:docGrid w:linePitch="360"/>
        </w:sectPr>
      </w:pPr>
    </w:p>
    <w:p>
      <w:pPr>
        <w:pStyle w:val="Heading1"/>
        <w:spacing w:before="0" w:after="140"/>
      </w:pPr>
      <w:r>
        <w:t>四、能力验证结果汇总</w:t>
      </w:r>
    </w:p>
    <w:p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92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type="dxa" w:w="79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type="dxa" w:w="476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type="dxa" w:w="510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机组106可靠性99.79%、可用率96.77%、故障71起、故障率4.63%。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7E6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sectPr w:rsidR="00FC693F" w:rsidRPr="0006063C" w:rsidSect="00034616">
      <w:pgSz w:w="16838" w:h="11906" w:orient="landscape"/>
      <w:pgMar w:top="737" w:right="737" w:bottom="737" w:left="73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智慧园区系统功能状况说明</dc:title>
  <dc:subject>设备状态、工单管理与能力验证结果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