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6D" w:rsidRPr="00AB1370" w:rsidRDefault="0015396D" w:rsidP="0015396D">
      <w:pPr>
        <w:spacing w:after="0"/>
        <w:jc w:val="both"/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Thread: </w:t>
      </w:r>
      <w:r w:rsidRPr="00AB1370">
        <w:rPr>
          <w:rFonts w:cstheme="minorHAnsi"/>
          <w:sz w:val="21"/>
          <w:szCs w:val="21"/>
        </w:rPr>
        <w:t>Professional</w:t>
      </w:r>
      <w:r w:rsidRPr="00AB1370">
        <w:rPr>
          <w:rFonts w:cstheme="minorHAnsi"/>
          <w:b/>
          <w:sz w:val="21"/>
          <w:szCs w:val="21"/>
        </w:rPr>
        <w:tab/>
      </w:r>
    </w:p>
    <w:p w:rsidR="0015396D" w:rsidRPr="00AB1370" w:rsidRDefault="0015396D" w:rsidP="0015396D">
      <w:pPr>
        <w:spacing w:after="0"/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Subgroup: </w:t>
      </w:r>
      <w:r w:rsidRPr="00AB1370">
        <w:rPr>
          <w:rFonts w:cstheme="minorHAnsi"/>
          <w:sz w:val="21"/>
          <w:szCs w:val="21"/>
        </w:rPr>
        <w:t>Individual/Group</w:t>
      </w:r>
      <w:r w:rsidRPr="00AB1370">
        <w:rPr>
          <w:rFonts w:cstheme="minorHAnsi"/>
          <w:b/>
          <w:sz w:val="21"/>
          <w:szCs w:val="21"/>
        </w:rPr>
        <w:tab/>
      </w:r>
    </w:p>
    <w:p w:rsidR="0015396D" w:rsidRPr="00AB1370" w:rsidRDefault="0015396D" w:rsidP="0015396D">
      <w:pPr>
        <w:tabs>
          <w:tab w:val="left" w:pos="3683"/>
          <w:tab w:val="left" w:pos="6740"/>
        </w:tabs>
        <w:spacing w:after="0"/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Foci: </w:t>
      </w:r>
      <w:r w:rsidRPr="00AB1370">
        <w:rPr>
          <w:rFonts w:cstheme="minorHAnsi"/>
          <w:sz w:val="21"/>
          <w:szCs w:val="21"/>
        </w:rPr>
        <w:t>Faculty and Staff</w:t>
      </w:r>
    </w:p>
    <w:p w:rsidR="0015396D" w:rsidRPr="00AB1370" w:rsidRDefault="0015396D" w:rsidP="0015396D">
      <w:pPr>
        <w:spacing w:after="0"/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Program Title:     </w:t>
      </w:r>
      <w:r w:rsidRPr="00AB1370">
        <w:rPr>
          <w:rFonts w:cstheme="minorHAnsi"/>
          <w:sz w:val="21"/>
          <w:szCs w:val="21"/>
        </w:rPr>
        <w:t>No Child Left Behind Equitable Share</w:t>
      </w:r>
      <w:r w:rsidRPr="00AB1370">
        <w:rPr>
          <w:rFonts w:cstheme="minorHAnsi"/>
          <w:b/>
          <w:sz w:val="21"/>
          <w:szCs w:val="21"/>
        </w:rPr>
        <w:tab/>
      </w:r>
    </w:p>
    <w:p w:rsidR="0015396D" w:rsidRDefault="0015396D" w:rsidP="0015396D">
      <w:pPr>
        <w:spacing w:after="0"/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Contact Person/Office:  </w:t>
      </w:r>
      <w:r w:rsidRPr="00AB1370">
        <w:rPr>
          <w:rFonts w:cstheme="minorHAnsi"/>
          <w:sz w:val="21"/>
          <w:szCs w:val="21"/>
        </w:rPr>
        <w:t>Bill Burke, AVP</w:t>
      </w:r>
    </w:p>
    <w:p w:rsidR="0015396D" w:rsidRPr="0015396D" w:rsidRDefault="0015396D" w:rsidP="0015396D">
      <w:pPr>
        <w:tabs>
          <w:tab w:val="left" w:pos="2607"/>
        </w:tabs>
        <w:rPr>
          <w:rFonts w:cstheme="minorHAnsi"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Program Description: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rFonts w:cstheme="minorHAnsi"/>
          <w:sz w:val="21"/>
          <w:szCs w:val="21"/>
        </w:rPr>
        <w:t>The Portland (ME) Public Schools provide Cheverus High School with an equitable share of its NCLB Title IIA Grant money which is then used for professional development purposes.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Rationale: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 xml:space="preserve">The money received from the grant for the 2011-2012 fiscal </w:t>
      </w:r>
      <w:proofErr w:type="gramStart"/>
      <w:r w:rsidRPr="00AB1370">
        <w:rPr>
          <w:sz w:val="21"/>
          <w:szCs w:val="21"/>
        </w:rPr>
        <w:t>year</w:t>
      </w:r>
      <w:proofErr w:type="gramEnd"/>
      <w:r w:rsidRPr="00AB1370">
        <w:rPr>
          <w:sz w:val="21"/>
          <w:szCs w:val="21"/>
        </w:rPr>
        <w:t xml:space="preserve"> is being used to support professional development in the following areas: aligning curriculum in core content areas, ensuring that all staff members are highly qualified (supporting advanced degrees) and establishing a framework for </w:t>
      </w:r>
      <w:r>
        <w:rPr>
          <w:sz w:val="21"/>
          <w:szCs w:val="21"/>
        </w:rPr>
        <w:t xml:space="preserve">a </w:t>
      </w:r>
      <w:r w:rsidRPr="00AB1370">
        <w:rPr>
          <w:sz w:val="21"/>
          <w:szCs w:val="21"/>
        </w:rPr>
        <w:t>collaborative approach to professional development.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Leadership: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>The decision to support professional development in the areas listed above was determined by the academic administration and then submitted by the Academic Vice-Principal to the NCLB coordinator for the Portland Public Schools for approval.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Implementation:</w:t>
      </w:r>
      <w:r>
        <w:rPr>
          <w:rFonts w:cstheme="minorHAnsi"/>
          <w:b/>
          <w:sz w:val="21"/>
          <w:szCs w:val="21"/>
        </w:rPr>
        <w:t xml:space="preserve">  </w:t>
      </w:r>
      <w:r>
        <w:rPr>
          <w:sz w:val="21"/>
          <w:szCs w:val="21"/>
        </w:rPr>
        <w:t>The program is</w:t>
      </w:r>
      <w:r w:rsidRPr="00AB1370">
        <w:rPr>
          <w:sz w:val="21"/>
          <w:szCs w:val="21"/>
        </w:rPr>
        <w:t xml:space="preserve"> implemented by the Academic Vice-Principal with the support of the NCLB coordinator. The AVP and the coordinator determined that the equitable share would be divided amongst the following projects: support for advance degrees, attendance at Symposium 2012 and compensation for curriculum development.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Processes and</w:t>
      </w:r>
      <w:r>
        <w:rPr>
          <w:rFonts w:cstheme="minorHAnsi"/>
          <w:b/>
          <w:sz w:val="21"/>
          <w:szCs w:val="21"/>
        </w:rPr>
        <w:t xml:space="preserve"> </w:t>
      </w:r>
      <w:r w:rsidRPr="00AB1370">
        <w:rPr>
          <w:rFonts w:cstheme="minorHAnsi"/>
          <w:b/>
          <w:sz w:val="21"/>
          <w:szCs w:val="21"/>
        </w:rPr>
        <w:t>Resources: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 xml:space="preserve">The AVP initiates all access to the available funding and coordinates all paperwork associated with each defined project. 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Finances: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>The formula used to calculate the equitable share made it possible for the school to receive approximately $20000 during the 2011-2012 fiscal year.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Rewards: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>Two faculty members pursued, and one completed, graduate study for an advance</w:t>
      </w:r>
      <w:r>
        <w:rPr>
          <w:sz w:val="21"/>
          <w:szCs w:val="21"/>
        </w:rPr>
        <w:t>d</w:t>
      </w:r>
      <w:r w:rsidRPr="00AB1370">
        <w:rPr>
          <w:sz w:val="21"/>
          <w:szCs w:val="21"/>
        </w:rPr>
        <w:t xml:space="preserve"> degree, attendance at Symposium 2012 was covered completely and facult</w:t>
      </w:r>
      <w:r>
        <w:rPr>
          <w:sz w:val="21"/>
          <w:szCs w:val="21"/>
        </w:rPr>
        <w:t xml:space="preserve">y members engaged in curriculum </w:t>
      </w:r>
      <w:r w:rsidRPr="00AB1370">
        <w:rPr>
          <w:sz w:val="21"/>
          <w:szCs w:val="21"/>
        </w:rPr>
        <w:t>development were paid an hourly rate of $26.96 per hour.</w:t>
      </w:r>
    </w:p>
    <w:p w:rsidR="0015396D" w:rsidRPr="00AB1370" w:rsidRDefault="0015396D" w:rsidP="002F566D">
      <w:pPr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Time (</w:t>
      </w:r>
      <w:r w:rsidRPr="00AB1370">
        <w:rPr>
          <w:rFonts w:cstheme="minorHAnsi"/>
          <w:b/>
          <w:sz w:val="21"/>
          <w:szCs w:val="21"/>
        </w:rPr>
        <w:t>When</w:t>
      </w:r>
      <w:r>
        <w:rPr>
          <w:rFonts w:cstheme="minorHAnsi"/>
          <w:b/>
          <w:sz w:val="21"/>
          <w:szCs w:val="21"/>
        </w:rPr>
        <w:t>/</w:t>
      </w:r>
      <w:r w:rsidRPr="00AB1370">
        <w:rPr>
          <w:rFonts w:cstheme="minorHAnsi"/>
          <w:b/>
          <w:sz w:val="21"/>
          <w:szCs w:val="21"/>
        </w:rPr>
        <w:t>Length</w:t>
      </w:r>
      <w:r>
        <w:rPr>
          <w:rFonts w:cstheme="minorHAnsi"/>
          <w:b/>
          <w:sz w:val="21"/>
          <w:szCs w:val="21"/>
        </w:rPr>
        <w:t>):</w:t>
      </w:r>
      <w:r w:rsidRPr="00AB1370">
        <w:rPr>
          <w:rFonts w:cstheme="minorHAnsi"/>
          <w:b/>
          <w:sz w:val="21"/>
          <w:szCs w:val="21"/>
        </w:rPr>
        <w:t xml:space="preserve">  </w:t>
      </w:r>
    </w:p>
    <w:p w:rsidR="0015396D" w:rsidRPr="0015396D" w:rsidRDefault="0015396D" w:rsidP="0015396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15396D">
        <w:rPr>
          <w:sz w:val="21"/>
          <w:szCs w:val="21"/>
        </w:rPr>
        <w:t>Graduate course work was completed during the summer of 2011.</w:t>
      </w:r>
    </w:p>
    <w:p w:rsidR="0015396D" w:rsidRPr="0015396D" w:rsidRDefault="0015396D" w:rsidP="0015396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15396D">
        <w:rPr>
          <w:sz w:val="21"/>
          <w:szCs w:val="21"/>
        </w:rPr>
        <w:t>The first phase of curriculum development has been ongoing since June 2011 and will conclude in May of 2012.</w:t>
      </w:r>
    </w:p>
    <w:p w:rsidR="0015396D" w:rsidRPr="0015396D" w:rsidRDefault="0015396D" w:rsidP="002F566D">
      <w:pPr>
        <w:pStyle w:val="ListParagraph"/>
        <w:numPr>
          <w:ilvl w:val="0"/>
          <w:numId w:val="4"/>
        </w:numPr>
        <w:tabs>
          <w:tab w:val="left" w:pos="2607"/>
        </w:tabs>
        <w:rPr>
          <w:sz w:val="21"/>
          <w:szCs w:val="21"/>
        </w:rPr>
      </w:pPr>
      <w:r w:rsidRPr="0015396D">
        <w:rPr>
          <w:sz w:val="21"/>
          <w:szCs w:val="21"/>
        </w:rPr>
        <w:t>The Symposium, well you know.</w:t>
      </w:r>
    </w:p>
    <w:p w:rsidR="0015396D" w:rsidRDefault="0015396D" w:rsidP="002F56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 xml:space="preserve">Location </w:t>
      </w:r>
      <w:r>
        <w:rPr>
          <w:rFonts w:cstheme="minorHAnsi"/>
          <w:b/>
          <w:sz w:val="21"/>
          <w:szCs w:val="21"/>
        </w:rPr>
        <w:t>(</w:t>
      </w:r>
      <w:r w:rsidRPr="00AB1370">
        <w:rPr>
          <w:rFonts w:cstheme="minorHAnsi"/>
          <w:b/>
          <w:sz w:val="21"/>
          <w:szCs w:val="21"/>
        </w:rPr>
        <w:t>Space</w:t>
      </w:r>
      <w:r>
        <w:rPr>
          <w:rFonts w:cstheme="minorHAnsi"/>
          <w:b/>
          <w:sz w:val="21"/>
          <w:szCs w:val="21"/>
        </w:rPr>
        <w:t>)</w:t>
      </w:r>
      <w:r w:rsidRPr="00AB1370">
        <w:rPr>
          <w:rFonts w:cstheme="minorHAnsi"/>
          <w:b/>
          <w:sz w:val="21"/>
          <w:szCs w:val="21"/>
        </w:rPr>
        <w:t>:</w:t>
      </w:r>
      <w:r>
        <w:rPr>
          <w:rFonts w:cstheme="minorHAnsi"/>
          <w:b/>
          <w:sz w:val="21"/>
          <w:szCs w:val="21"/>
        </w:rPr>
        <w:t xml:space="preserve">  </w:t>
      </w:r>
      <w:r w:rsidRPr="00AB1370">
        <w:rPr>
          <w:sz w:val="21"/>
          <w:szCs w:val="21"/>
        </w:rPr>
        <w:t>There was no specific location/space provided to implement these initiatives.</w:t>
      </w:r>
    </w:p>
    <w:p w:rsidR="0015396D" w:rsidRDefault="0015396D" w:rsidP="0015396D">
      <w:pPr>
        <w:rPr>
          <w:rFonts w:cstheme="minorHAnsi"/>
          <w:b/>
          <w:sz w:val="21"/>
          <w:szCs w:val="21"/>
        </w:rPr>
      </w:pPr>
      <w:r w:rsidRPr="00AB1370">
        <w:rPr>
          <w:rFonts w:cstheme="minorHAnsi"/>
          <w:b/>
          <w:sz w:val="21"/>
          <w:szCs w:val="21"/>
        </w:rPr>
        <w:t>Accountability/Assessment:</w:t>
      </w:r>
      <w:r w:rsidRPr="0015396D">
        <w:rPr>
          <w:rFonts w:cstheme="minorHAnsi"/>
          <w:b/>
          <w:sz w:val="21"/>
          <w:szCs w:val="21"/>
        </w:rPr>
        <w:tab/>
      </w:r>
    </w:p>
    <w:p w:rsidR="0015396D" w:rsidRPr="0015396D" w:rsidRDefault="0015396D" w:rsidP="0015396D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1"/>
          <w:szCs w:val="21"/>
        </w:rPr>
      </w:pPr>
      <w:r w:rsidRPr="0015396D">
        <w:rPr>
          <w:sz w:val="21"/>
          <w:szCs w:val="21"/>
        </w:rPr>
        <w:t>Teachers pursuing coursework were required to submit goal statements and course reflection documents.</w:t>
      </w:r>
    </w:p>
    <w:p w:rsidR="0015396D" w:rsidRPr="0015396D" w:rsidRDefault="0015396D" w:rsidP="0015396D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15396D">
        <w:rPr>
          <w:sz w:val="21"/>
          <w:szCs w:val="21"/>
        </w:rPr>
        <w:t>Performance reports submitted to Portland Public Schools.</w:t>
      </w:r>
    </w:p>
    <w:p w:rsidR="00D471F6" w:rsidRPr="00AB1370" w:rsidRDefault="00D471F6">
      <w:pPr>
        <w:rPr>
          <w:sz w:val="21"/>
          <w:szCs w:val="21"/>
        </w:rPr>
      </w:pPr>
      <w:bookmarkStart w:id="0" w:name="_GoBack"/>
      <w:bookmarkEnd w:id="0"/>
    </w:p>
    <w:sectPr w:rsidR="00D471F6" w:rsidRPr="00AB1370" w:rsidSect="0082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6D0" w:rsidRPr="00AB1370" w:rsidRDefault="001736D0" w:rsidP="000A4F83">
      <w:pPr>
        <w:spacing w:after="0" w:line="240" w:lineRule="auto"/>
        <w:rPr>
          <w:sz w:val="21"/>
          <w:szCs w:val="21"/>
        </w:rPr>
      </w:pPr>
      <w:r w:rsidRPr="00AB1370">
        <w:rPr>
          <w:sz w:val="21"/>
          <w:szCs w:val="21"/>
        </w:rPr>
        <w:separator/>
      </w:r>
    </w:p>
  </w:endnote>
  <w:endnote w:type="continuationSeparator" w:id="0">
    <w:p w:rsidR="001736D0" w:rsidRPr="00AB1370" w:rsidRDefault="001736D0" w:rsidP="000A4F83">
      <w:pPr>
        <w:spacing w:after="0" w:line="240" w:lineRule="auto"/>
        <w:rPr>
          <w:sz w:val="21"/>
          <w:szCs w:val="21"/>
        </w:rPr>
      </w:pPr>
      <w:r w:rsidRPr="00AB1370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6D0" w:rsidRPr="00AB1370" w:rsidRDefault="001736D0" w:rsidP="000A4F83">
      <w:pPr>
        <w:spacing w:after="0" w:line="240" w:lineRule="auto"/>
        <w:rPr>
          <w:sz w:val="21"/>
          <w:szCs w:val="21"/>
        </w:rPr>
      </w:pPr>
      <w:r w:rsidRPr="00AB1370">
        <w:rPr>
          <w:sz w:val="21"/>
          <w:szCs w:val="21"/>
        </w:rPr>
        <w:separator/>
      </w:r>
    </w:p>
  </w:footnote>
  <w:footnote w:type="continuationSeparator" w:id="0">
    <w:p w:rsidR="001736D0" w:rsidRPr="00AB1370" w:rsidRDefault="001736D0" w:rsidP="000A4F83">
      <w:pPr>
        <w:spacing w:after="0" w:line="240" w:lineRule="auto"/>
        <w:rPr>
          <w:sz w:val="21"/>
          <w:szCs w:val="21"/>
        </w:rPr>
      </w:pPr>
      <w:r w:rsidRPr="00AB1370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6E42"/>
    <w:multiLevelType w:val="hybridMultilevel"/>
    <w:tmpl w:val="E5BE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105AD"/>
    <w:multiLevelType w:val="hybridMultilevel"/>
    <w:tmpl w:val="D36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C61F4"/>
    <w:multiLevelType w:val="hybridMultilevel"/>
    <w:tmpl w:val="996E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C28A6"/>
    <w:multiLevelType w:val="hybridMultilevel"/>
    <w:tmpl w:val="5C3C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5396D"/>
    <w:rsid w:val="001736D0"/>
    <w:rsid w:val="001A2FA5"/>
    <w:rsid w:val="001A7A0C"/>
    <w:rsid w:val="002A6A71"/>
    <w:rsid w:val="002E7857"/>
    <w:rsid w:val="002F566D"/>
    <w:rsid w:val="003934AD"/>
    <w:rsid w:val="003A5826"/>
    <w:rsid w:val="003D0E8F"/>
    <w:rsid w:val="004130DC"/>
    <w:rsid w:val="00441DCC"/>
    <w:rsid w:val="00446C4E"/>
    <w:rsid w:val="004A1B9C"/>
    <w:rsid w:val="004B1137"/>
    <w:rsid w:val="004D6040"/>
    <w:rsid w:val="00535E4B"/>
    <w:rsid w:val="0057748E"/>
    <w:rsid w:val="00675D42"/>
    <w:rsid w:val="006808C9"/>
    <w:rsid w:val="006A0357"/>
    <w:rsid w:val="006D38B7"/>
    <w:rsid w:val="007927D2"/>
    <w:rsid w:val="007B4AF1"/>
    <w:rsid w:val="00827A82"/>
    <w:rsid w:val="00836F0C"/>
    <w:rsid w:val="008B70CD"/>
    <w:rsid w:val="008C24DB"/>
    <w:rsid w:val="008D1B8A"/>
    <w:rsid w:val="008E0B70"/>
    <w:rsid w:val="008F01AA"/>
    <w:rsid w:val="00991864"/>
    <w:rsid w:val="009952ED"/>
    <w:rsid w:val="00997B92"/>
    <w:rsid w:val="00A11D00"/>
    <w:rsid w:val="00A47500"/>
    <w:rsid w:val="00AB1370"/>
    <w:rsid w:val="00B41C7D"/>
    <w:rsid w:val="00B96AD2"/>
    <w:rsid w:val="00C17106"/>
    <w:rsid w:val="00C4520C"/>
    <w:rsid w:val="00D471F6"/>
    <w:rsid w:val="00D86E32"/>
    <w:rsid w:val="00DD4C44"/>
    <w:rsid w:val="00E67472"/>
    <w:rsid w:val="00E96800"/>
    <w:rsid w:val="00ED0794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2012-05-25T19:00:00Z</dcterms:created>
  <dcterms:modified xsi:type="dcterms:W3CDTF">2012-05-25T19:00:00Z</dcterms:modified>
</cp:coreProperties>
</file>