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Colorado Alliance MARC Record Match Key — v08-14-26 (_v08142026)</w:t>
      </w:r>
    </w:p>
    <w:p>
      <w:pPr>
        <w:pStyle w:val="TextBody"/>
        <w:bidi w:val="0"/>
        <w:spacing w:before="0" w:after="283"/>
        <w:jc w:val="left"/>
        <w:rPr/>
      </w:pPr>
      <w:r>
        <w:rPr>
          <w:rStyle w:val="Emphasis"/>
        </w:rPr>
        <w:t>August 14, 2026.</w:t>
      </w:r>
    </w:p>
    <w:p>
      <w:pPr>
        <w:pStyle w:val="TextBody"/>
        <w:bidi w:val="0"/>
        <w:spacing w:before="150" w:after="150"/>
        <w:ind w:left="150" w:right="150" w:hanging="0"/>
        <w:jc w:val="left"/>
        <w:rPr/>
      </w:pPr>
      <w:r>
        <w:rPr>
          <w:rStyle w:val="StrongEmphasis"/>
          <w:bdr w:val="single" w:sz="18" w:space="9" w:color="66BB66"/>
          <w:shd w:fill="EEFFEE" w:val="clear"/>
        </w:rPr>
        <w:t>What's new in _v08142026:</w:t>
      </w:r>
      <w:r>
        <w:rPr>
          <w:bdr w:val="single" w:sz="18" w:space="9" w:color="66BB66"/>
          <w:shd w:fill="EEFFEE" w:val="clear"/>
        </w:rPr>
        <w:t xml:space="preserve"> </w:t>
      </w:r>
    </w:p>
    <w:p>
      <w:pPr>
        <w:pStyle w:val="TextBody"/>
        <w:numPr>
          <w:ilvl w:val="0"/>
          <w:numId w:val="1"/>
        </w:numPr>
        <w:tabs>
          <w:tab w:val="clear" w:pos="1134"/>
          <w:tab w:val="left" w:pos="859" w:leader="none"/>
        </w:tabs>
        <w:bidi w:val="0"/>
        <w:spacing w:before="150" w:after="150"/>
        <w:ind w:left="859" w:right="150" w:hanging="283"/>
        <w:jc w:val="left"/>
        <w:rPr/>
      </w:pPr>
      <w:r>
        <w:rPr>
          <w:rStyle w:val="StrongEmphasis"/>
          <w:bdr w:val="single" w:sz="18" w:space="9" w:color="66BB66"/>
          <w:shd w:fill="EEFFEE" w:val="clear"/>
        </w:rPr>
        <w:t>A Turkish capital İ no longer widens the key.</w:t>
      </w:r>
      <w:r>
        <w:rPr>
          <w:bdr w:val="single" w:sz="18" w:space="9" w:color="66BB66"/>
          <w:shd w:fill="EEFFEE" w:val="clear"/>
        </w:rPr>
        <w:t xml:space="preserve"> The whole match key is converted to lowercase, and "İ" (U+0130) lowercases into </w:t>
      </w:r>
      <w:r>
        <w:rPr>
          <w:rStyle w:val="Emphasis"/>
          <w:bdr w:val="single" w:sz="18" w:space="9" w:color="66BB66"/>
          <w:shd w:fill="EEFFEE" w:val="clear"/>
        </w:rPr>
        <w:t>two</w:t>
      </w:r>
      <w:r>
        <w:rPr>
          <w:bdr w:val="single" w:sz="18" w:space="9" w:color="66BB66"/>
          <w:shd w:fill="EEFFEE" w:val="clear"/>
        </w:rPr>
        <w:t xml:space="preserve"> characters — "i" plus a combining dot above. Each section used to be padded to its width </w:t>
      </w:r>
      <w:r>
        <w:rPr>
          <w:rStyle w:val="Emphasis"/>
          <w:bdr w:val="single" w:sz="18" w:space="9" w:color="66BB66"/>
          <w:shd w:fill="EEFFEE" w:val="clear"/>
        </w:rPr>
        <w:t>before</w:t>
      </w:r>
      <w:r>
        <w:rPr>
          <w:bdr w:val="single" w:sz="18" w:space="9" w:color="66BB66"/>
          <w:shd w:fill="EEFFEE" w:val="clear"/>
        </w:rPr>
        <w:t xml:space="preserve"> that conversion, so an "İ" counted as one character while padding and took up two afterwards, pushing the key to 189, 190 or 191 characters. Sections are now converted to lowercase before they are padded, so widths are measured on the final characters. "İ" is the only character in Unicode whose lowercase form is longer than the original, so nothing else is affected. This reached the key through the </w:t>
      </w:r>
      <w:r>
        <w:rPr>
          <w:rStyle w:val="Emphasis"/>
          <w:bdr w:val="single" w:sz="18" w:space="9" w:color="66BB66"/>
          <w:shd w:fill="EEFFEE" w:val="clear"/>
        </w:rPr>
        <w:t>Publisher Name</w:t>
      </w:r>
      <w:r>
        <w:rPr>
          <w:bdr w:val="single" w:sz="18" w:space="9" w:color="66BB66"/>
          <w:shd w:fill="EEFFEE" w:val="clear"/>
        </w:rPr>
        <w:t xml:space="preserve"> section and affected 10,575 of 39.4 million records, all Turkish or Ottoman. </w:t>
      </w:r>
    </w:p>
    <w:p>
      <w:pPr>
        <w:pStyle w:val="TextBody"/>
        <w:numPr>
          <w:ilvl w:val="0"/>
          <w:numId w:val="1"/>
        </w:numPr>
        <w:tabs>
          <w:tab w:val="clear" w:pos="1134"/>
          <w:tab w:val="left" w:pos="859" w:leader="none"/>
        </w:tabs>
        <w:bidi w:val="0"/>
        <w:spacing w:before="150" w:after="150"/>
        <w:ind w:left="859" w:right="150" w:hanging="283"/>
        <w:jc w:val="left"/>
        <w:rPr/>
      </w:pPr>
      <w:r>
        <w:rPr>
          <w:rStyle w:val="StrongEmphasis"/>
          <w:bdr w:val="single" w:sz="18" w:space="9" w:color="66BB66"/>
          <w:shd w:fill="EEFFEE" w:val="clear"/>
        </w:rPr>
        <w:t>The publication year of a government document is validated before it is used.</w:t>
      </w:r>
      <w:r>
        <w:rPr>
          <w:bdr w:val="single" w:sz="18" w:space="9" w:color="66BB66"/>
          <w:shd w:fill="EEFFEE" w:val="clear"/>
        </w:rPr>
        <w:t xml:space="preserve"> When an 086 $a was present, the year was taken from control field 008 characters 7–10 without any of the checks applied elsewhere. A malformed value there produced a 2- or 3-character year and shortened the whole key, and the placeholder "9999" (unknown year) was used as though it were a real year even when characters 11–14 held a valid one. That second case produced a normal-length key that quietly could not match — the same record without an 086 got the right year. Government documents still prefer characters 7–10, but only when that value is a real year. </w:t>
      </w:r>
    </w:p>
    <w:p>
      <w:pPr>
        <w:pStyle w:val="TextBody"/>
        <w:numPr>
          <w:ilvl w:val="0"/>
          <w:numId w:val="1"/>
        </w:numPr>
        <w:tabs>
          <w:tab w:val="clear" w:pos="1134"/>
          <w:tab w:val="left" w:pos="859" w:leader="none"/>
        </w:tabs>
        <w:bidi w:val="0"/>
        <w:spacing w:before="150" w:after="150"/>
        <w:ind w:left="859" w:right="150" w:hanging="283"/>
        <w:jc w:val="left"/>
        <w:rPr>
          <w:bdr w:val="single" w:sz="18" w:space="9" w:color="66BB66"/>
          <w:shd w:fill="EEFFEE" w:val="clear"/>
        </w:rPr>
      </w:pPr>
      <w:r>
        <w:rPr>
          <w:bdr w:val="single" w:sz="18" w:space="9" w:color="66BB66"/>
          <w:shd w:fill="EEFFEE" w:val="clear"/>
        </w:rPr>
        <w:t xml:space="preserve">Both were reported by Ed Summers (Stanford University Libraries / POD) from the same 39.4 million record corpus that produced the _v07312026 fixes. </w:t>
      </w:r>
    </w:p>
    <w:p>
      <w:pPr>
        <w:pStyle w:val="TextBody"/>
        <w:numPr>
          <w:ilvl w:val="0"/>
          <w:numId w:val="1"/>
        </w:numPr>
        <w:tabs>
          <w:tab w:val="clear" w:pos="1134"/>
          <w:tab w:val="left" w:pos="859" w:leader="none"/>
        </w:tabs>
        <w:bidi w:val="0"/>
        <w:spacing w:before="150" w:after="150"/>
        <w:ind w:left="859" w:right="150" w:hanging="283"/>
        <w:jc w:val="left"/>
        <w:rPr/>
      </w:pPr>
      <w:r>
        <w:rPr>
          <w:bdr w:val="single" w:sz="18" w:space="9" w:color="66BB66"/>
          <w:shd w:fill="EEFFEE" w:val="clear"/>
        </w:rPr>
        <w:t xml:space="preserve">A key ending in </w:t>
      </w:r>
      <w:r>
        <w:rPr>
          <w:rStyle w:val="SourceText"/>
          <w:bdr w:val="single" w:sz="18" w:space="9" w:color="66BB66"/>
          <w:shd w:fill="EEFFEE" w:val="clear"/>
        </w:rPr>
        <w:t>_v07312026</w:t>
      </w:r>
      <w:r>
        <w:rPr>
          <w:bdr w:val="single" w:sz="18" w:space="9" w:color="66BB66"/>
          <w:shd w:fill="EEFFEE" w:val="clear"/>
        </w:rPr>
        <w:t xml:space="preserve"> is </w:t>
      </w:r>
      <w:r>
        <w:rPr>
          <w:rStyle w:val="StrongEmphasis"/>
          <w:bdr w:val="single" w:sz="18" w:space="9" w:color="66BB66"/>
          <w:shd w:fill="EEFFEE" w:val="clear"/>
        </w:rPr>
        <w:t>not</w:t>
      </w:r>
      <w:r>
        <w:rPr>
          <w:bdr w:val="single" w:sz="18" w:space="9" w:color="66BB66"/>
          <w:shd w:fill="EEFFEE" w:val="clear"/>
        </w:rPr>
        <w:t xml:space="preserve"> comparable to one ending in </w:t>
      </w:r>
      <w:r>
        <w:rPr>
          <w:rStyle w:val="SourceText"/>
          <w:bdr w:val="single" w:sz="18" w:space="9" w:color="66BB66"/>
          <w:shd w:fill="EEFFEE" w:val="clear"/>
        </w:rPr>
        <w:t>_v08142026</w:t>
      </w:r>
      <w:r>
        <w:rPr>
          <w:bdr w:val="single" w:sz="18" w:space="9" w:color="66BB66"/>
          <w:shd w:fill="EEFFEE" w:val="clear"/>
        </w:rPr>
        <w:t xml:space="preserve"> for government documents or for records whose publisher contains "İ". All other records produce the same key under both versions. Records must be reindexed to carry the new key. </w:t>
      </w:r>
    </w:p>
    <w:p>
      <w:pPr>
        <w:pStyle w:val="TextBody"/>
        <w:bidi w:val="0"/>
        <w:spacing w:before="150" w:after="150"/>
        <w:ind w:left="150" w:right="150" w:hanging="0"/>
        <w:jc w:val="left"/>
        <w:rPr/>
      </w:pPr>
      <w:r>
        <w:rPr>
          <w:rStyle w:val="StrongEmphasis"/>
          <w:bdr w:val="single" w:sz="18" w:space="9" w:color="66BB66"/>
          <w:shd w:fill="EEFFEE" w:val="clear"/>
        </w:rPr>
        <w:t>Previous version changes (07-31-26):</w:t>
      </w:r>
      <w:r>
        <w:rPr>
          <w:bdr w:val="single" w:sz="18" w:space="9" w:color="66BB66"/>
          <w:shd w:fill="EEFFEE" w:val="clear"/>
        </w:rPr>
        <w:t xml:space="preserve"> </w:t>
      </w:r>
    </w:p>
    <w:p>
      <w:pPr>
        <w:pStyle w:val="TextBody"/>
        <w:numPr>
          <w:ilvl w:val="0"/>
          <w:numId w:val="2"/>
        </w:numPr>
        <w:tabs>
          <w:tab w:val="clear" w:pos="1134"/>
          <w:tab w:val="left" w:pos="859" w:leader="none"/>
        </w:tabs>
        <w:bidi w:val="0"/>
        <w:spacing w:before="150" w:after="150"/>
        <w:ind w:left="859" w:right="150" w:hanging="283"/>
        <w:jc w:val="left"/>
        <w:rPr/>
      </w:pPr>
      <w:r>
        <w:rPr>
          <w:rStyle w:val="StrongEmphasis"/>
          <w:bdr w:val="single" w:sz="18" w:space="9" w:color="66BB66"/>
          <w:shd w:fill="EEFFEE" w:val="clear"/>
        </w:rPr>
        <w:t>Every match key is now exactly 188 characters.</w:t>
      </w:r>
      <w:r>
        <w:rPr>
          <w:bdr w:val="single" w:sz="18" w:space="9" w:color="66BB66"/>
          <w:shd w:fill="EEFFEE" w:val="clear"/>
        </w:rPr>
        <w:t xml:space="preserve"> Two sections could previously collapse to zero width instead of being padded, which produced short keys of 188, 183, 93 or 88 characters: </w:t>
      </w:r>
    </w:p>
    <w:p>
      <w:pPr>
        <w:pStyle w:val="TextBody"/>
        <w:numPr>
          <w:ilvl w:val="1"/>
          <w:numId w:val="2"/>
        </w:numPr>
        <w:tabs>
          <w:tab w:val="clear" w:pos="1134"/>
          <w:tab w:val="left" w:pos="1568" w:leader="none"/>
        </w:tabs>
        <w:bidi w:val="0"/>
        <w:spacing w:before="150" w:after="150"/>
        <w:ind w:left="1568" w:right="150" w:hanging="283"/>
        <w:jc w:val="left"/>
        <w:rPr/>
      </w:pPr>
      <w:r>
        <w:rPr>
          <w:rStyle w:val="Emphasis"/>
          <w:bdr w:val="single" w:sz="18" w:space="9" w:color="66BB66"/>
          <w:shd w:fill="EEFFEE" w:val="clear"/>
        </w:rPr>
        <w:t>Title</w:t>
      </w:r>
      <w:r>
        <w:rPr>
          <w:bdr w:val="single" w:sz="18" w:space="9" w:color="66BB66"/>
          <w:shd w:fill="EEFFEE" w:val="clear"/>
        </w:rPr>
        <w:t xml:space="preserve"> — a record with no 245 field at all (for example a MARC holdings record, Leader/06 = 'x') emitted nothing instead of 95 underscores. </w:t>
      </w:r>
    </w:p>
    <w:p>
      <w:pPr>
        <w:pStyle w:val="TextBody"/>
        <w:numPr>
          <w:ilvl w:val="1"/>
          <w:numId w:val="2"/>
        </w:numPr>
        <w:tabs>
          <w:tab w:val="clear" w:pos="1134"/>
          <w:tab w:val="left" w:pos="1568" w:leader="none"/>
        </w:tabs>
        <w:bidi w:val="0"/>
        <w:spacing w:before="150" w:after="150"/>
        <w:ind w:left="1568" w:right="150" w:hanging="283"/>
        <w:jc w:val="left"/>
        <w:rPr/>
      </w:pPr>
      <w:r>
        <w:rPr>
          <w:rStyle w:val="Emphasis"/>
          <w:bdr w:val="single" w:sz="18" w:space="9" w:color="66BB66"/>
          <w:shd w:fill="EEFFEE" w:val="clear"/>
        </w:rPr>
        <w:t>Publisher Name</w:t>
      </w:r>
      <w:r>
        <w:rPr>
          <w:bdr w:val="single" w:sz="18" w:space="9" w:color="66BB66"/>
          <w:shd w:fill="EEFFEE" w:val="clear"/>
        </w:rPr>
        <w:t xml:space="preserve"> — a record with no 264 $b and no 260 $b emitted nothing instead of 5 underscores. </w:t>
      </w:r>
    </w:p>
    <w:p>
      <w:pPr>
        <w:pStyle w:val="TextBody"/>
        <w:numPr>
          <w:ilvl w:val="0"/>
          <w:numId w:val="0"/>
        </w:numPr>
        <w:bidi w:val="0"/>
        <w:spacing w:before="150" w:after="150"/>
        <w:ind w:left="150" w:right="150" w:hanging="0"/>
        <w:jc w:val="left"/>
        <w:rPr/>
      </w:pPr>
      <w:r>
        <w:rPr>
          <w:bdr w:val="single" w:sz="18" w:space="9" w:color="66BB66"/>
          <w:shd w:fill="EEFFEE" w:val="clear"/>
        </w:rPr>
        <w:t>Both cases now pad to their full section width, as this document has always specified. Reported by Ed Summers (Stanford University Libraries / POD), who found that 7% of 39 million records produced off-length keys (</w:t>
      </w:r>
      <w:hyperlink r:id="rId2">
        <w:r>
          <w:rPr>
            <w:rStyle w:val="InternetLink"/>
            <w:bdr w:val="single" w:sz="18" w:space="9" w:color="66BB66"/>
            <w:shd w:fill="EEFFEE" w:val="clear"/>
          </w:rPr>
          <w:t>issue #1</w:t>
        </w:r>
      </w:hyperlink>
      <w:r>
        <w:rPr>
          <w:bdr w:val="single" w:sz="18" w:space="9" w:color="66BB66"/>
          <w:shd w:fill="EEFFEE" w:val="clear"/>
        </w:rPr>
        <w:t xml:space="preserve">). </w:t>
      </w:r>
    </w:p>
    <w:p>
      <w:pPr>
        <w:pStyle w:val="TextBody"/>
        <w:numPr>
          <w:ilvl w:val="0"/>
          <w:numId w:val="2"/>
        </w:numPr>
        <w:tabs>
          <w:tab w:val="clear" w:pos="1134"/>
          <w:tab w:val="left" w:pos="859" w:leader="none"/>
        </w:tabs>
        <w:bidi w:val="0"/>
        <w:spacing w:before="150" w:after="150"/>
        <w:ind w:left="859" w:right="150" w:hanging="283"/>
        <w:jc w:val="left"/>
        <w:rPr/>
      </w:pPr>
      <w:r>
        <w:rPr>
          <w:bdr w:val="single" w:sz="18" w:space="9" w:color="66BB66"/>
          <w:shd w:fill="EEFFEE" w:val="clear"/>
        </w:rPr>
        <w:t xml:space="preserve">A key ending in </w:t>
      </w:r>
      <w:r>
        <w:rPr>
          <w:rStyle w:val="SourceText"/>
          <w:bdr w:val="single" w:sz="18" w:space="9" w:color="66BB66"/>
          <w:shd w:fill="EEFFEE" w:val="clear"/>
        </w:rPr>
        <w:t>_v03182026</w:t>
      </w:r>
      <w:r>
        <w:rPr>
          <w:bdr w:val="single" w:sz="18" w:space="9" w:color="66BB66"/>
          <w:shd w:fill="EEFFEE" w:val="clear"/>
        </w:rPr>
        <w:t xml:space="preserve"> is </w:t>
      </w:r>
      <w:r>
        <w:rPr>
          <w:rStyle w:val="StrongEmphasis"/>
          <w:bdr w:val="single" w:sz="18" w:space="9" w:color="66BB66"/>
          <w:shd w:fill="EEFFEE" w:val="clear"/>
        </w:rPr>
        <w:t>not</w:t>
      </w:r>
      <w:r>
        <w:rPr>
          <w:bdr w:val="single" w:sz="18" w:space="9" w:color="66BB66"/>
          <w:shd w:fill="EEFFEE" w:val="clear"/>
        </w:rPr>
        <w:t xml:space="preserve"> comparable to one ending in </w:t>
      </w:r>
      <w:r>
        <w:rPr>
          <w:rStyle w:val="SourceText"/>
          <w:bdr w:val="single" w:sz="18" w:space="9" w:color="66BB66"/>
          <w:shd w:fill="EEFFEE" w:val="clear"/>
        </w:rPr>
        <w:t>_v07312026</w:t>
      </w:r>
      <w:r>
        <w:rPr>
          <w:bdr w:val="single" w:sz="18" w:space="9" w:color="66BB66"/>
          <w:shd w:fill="EEFFEE" w:val="clear"/>
        </w:rPr>
        <w:t xml:space="preserve"> for records that lack a 245 or a publisher. Records must be reindexed to carry the new key. </w:t>
      </w:r>
    </w:p>
    <w:p>
      <w:pPr>
        <w:pStyle w:val="TextBody"/>
        <w:bidi w:val="0"/>
        <w:spacing w:before="150" w:after="150"/>
        <w:ind w:left="150" w:right="150" w:hanging="0"/>
        <w:jc w:val="left"/>
        <w:rPr/>
      </w:pPr>
      <w:r>
        <w:rPr>
          <w:rStyle w:val="StrongEmphasis"/>
          <w:bdr w:val="single" w:sz="18" w:space="9" w:color="66BB66"/>
          <w:shd w:fill="EEFFEE" w:val="clear"/>
        </w:rPr>
        <w:t>Previous version changes (03-18-26):</w:t>
      </w:r>
      <w:r>
        <w:rPr>
          <w:bdr w:val="single" w:sz="18" w:space="9" w:color="66BB66"/>
          <w:shd w:fill="EEFFEE" w:val="clear"/>
        </w:rPr>
        <w:t xml:space="preserve"> </w:t>
      </w:r>
    </w:p>
    <w:p>
      <w:pPr>
        <w:pStyle w:val="TextBody"/>
        <w:numPr>
          <w:ilvl w:val="0"/>
          <w:numId w:val="3"/>
        </w:numPr>
        <w:tabs>
          <w:tab w:val="clear" w:pos="1134"/>
          <w:tab w:val="left" w:pos="859" w:leader="none"/>
        </w:tabs>
        <w:bidi w:val="0"/>
        <w:spacing w:before="150" w:after="150"/>
        <w:ind w:left="859" w:right="150" w:hanging="283"/>
        <w:jc w:val="left"/>
        <w:rPr/>
      </w:pPr>
      <w:r>
        <w:rPr>
          <w:bdr w:val="single" w:sz="18" w:space="9" w:color="66BB66"/>
          <w:shd w:fill="EEFFEE" w:val="clear"/>
        </w:rPr>
        <w:t xml:space="preserve">A version string </w:t>
      </w:r>
      <w:r>
        <w:rPr>
          <w:rStyle w:val="SourceText"/>
          <w:bdr w:val="single" w:sz="18" w:space="9" w:color="66BB66"/>
          <w:shd w:fill="EEFFEE" w:val="clear"/>
        </w:rPr>
        <w:t>_v03182026</w:t>
      </w:r>
      <w:r>
        <w:rPr>
          <w:bdr w:val="single" w:sz="18" w:space="9" w:color="66BB66"/>
          <w:shd w:fill="EEFFEE" w:val="clear"/>
        </w:rPr>
        <w:t xml:space="preserve"> is now appended to the matchkey just before the format character. This allows the system to distinguish which algorithm version produced a given matchkey in the Solr index. </w:t>
      </w:r>
    </w:p>
    <w:p>
      <w:pPr>
        <w:pStyle w:val="TextBody"/>
        <w:bidi w:val="0"/>
        <w:spacing w:before="150" w:after="150"/>
        <w:ind w:left="150" w:right="150" w:hanging="0"/>
        <w:jc w:val="left"/>
        <w:rPr/>
      </w:pPr>
      <w:r>
        <w:rPr>
          <w:rStyle w:val="StrongEmphasis"/>
          <w:bdr w:val="single" w:sz="18" w:space="9" w:color="66BB66"/>
          <w:shd w:fill="EEFFEE" w:val="clear"/>
        </w:rPr>
        <w:t>Previous version changes (02-03-26):</w:t>
      </w:r>
      <w:r>
        <w:rPr>
          <w:bdr w:val="single" w:sz="18" w:space="9" w:color="66BB66"/>
          <w:shd w:fill="EEFFEE" w:val="clear"/>
        </w:rPr>
        <w:t xml:space="preserve"> </w:t>
      </w:r>
    </w:p>
    <w:p>
      <w:pPr>
        <w:pStyle w:val="TextBody"/>
        <w:numPr>
          <w:ilvl w:val="0"/>
          <w:numId w:val="4"/>
        </w:numPr>
        <w:tabs>
          <w:tab w:val="clear" w:pos="1134"/>
          <w:tab w:val="left" w:pos="859" w:leader="none"/>
        </w:tabs>
        <w:bidi w:val="0"/>
        <w:spacing w:before="150" w:after="150"/>
        <w:ind w:left="859" w:right="150" w:hanging="283"/>
        <w:jc w:val="left"/>
        <w:rPr>
          <w:bdr w:val="single" w:sz="18" w:space="9" w:color="66BB66"/>
          <w:shd w:fill="EEFFEE" w:val="clear"/>
        </w:rPr>
      </w:pPr>
      <w:r>
        <w:rPr>
          <w:bdr w:val="single" w:sz="18" w:space="9" w:color="66BB66"/>
          <w:shd w:fill="EEFFEE" w:val="clear"/>
        </w:rPr>
        <w:t xml:space="preserve">Title field expanded from 70 to 95 characters. </w:t>
      </w:r>
    </w:p>
    <w:p>
      <w:pPr>
        <w:pStyle w:val="TextBody"/>
        <w:numPr>
          <w:ilvl w:val="0"/>
          <w:numId w:val="4"/>
        </w:numPr>
        <w:tabs>
          <w:tab w:val="clear" w:pos="1134"/>
          <w:tab w:val="left" w:pos="859" w:leader="none"/>
        </w:tabs>
        <w:bidi w:val="0"/>
        <w:spacing w:before="150" w:after="150"/>
        <w:ind w:left="859" w:right="150" w:hanging="283"/>
        <w:jc w:val="left"/>
        <w:rPr>
          <w:bdr w:val="single" w:sz="18" w:space="9" w:color="66BB66"/>
          <w:shd w:fill="EEFFEE" w:val="clear"/>
        </w:rPr>
      </w:pPr>
      <w:r>
        <w:rPr>
          <w:bdr w:val="single" w:sz="18" w:space="9" w:color="66BB66"/>
          <w:shd w:fill="EEFFEE" w:val="clear"/>
        </w:rPr>
        <w:t xml:space="preserve">Government Document Number (086 $a) removed for HATHI compatibility. </w:t>
      </w:r>
    </w:p>
    <w:p>
      <w:pPr>
        <w:pStyle w:val="TextBody"/>
        <w:bidi w:val="0"/>
        <w:ind w:left="150" w:right="150" w:hanging="0"/>
        <w:jc w:val="left"/>
        <w:rPr/>
      </w:pPr>
      <w:r>
        <w:rPr/>
        <w:t>The Gold Rush system allows libraries to do in-depth analytics for their cataloged library holdings for either themselves or in comparison to other libraries that are already in the system. It supports a wide variety of use cases including shared print, weeding, collection building, space planning, storage facilities, etc. Due to the wide variety of cataloging sources and the long bibliographic history of most collections, no single number (e.g. OCLC, ISBN) can be used for matching purposes. This match key uses a variety of elements from the MARC record to bring together common bibliographic records. No key is perfect so this particular approach is periodically being modified to improve matching within the system.</w:t>
      </w:r>
    </w:p>
    <w:p>
      <w:pPr>
        <w:pStyle w:val="Heading2"/>
        <w:bidi w:val="0"/>
        <w:jc w:val="left"/>
        <w:rPr/>
      </w:pPr>
      <w:r>
        <w:rPr/>
        <w:t>MARC Fields Used</w:t>
      </w:r>
    </w:p>
    <w:p>
      <w:pPr>
        <w:pStyle w:val="Heading3"/>
        <w:bidi w:val="0"/>
        <w:jc w:val="left"/>
        <w:rPr/>
      </w:pPr>
      <w:r>
        <w:rPr/>
        <w:t>Title</w:t>
      </w:r>
    </w:p>
    <w:p>
      <w:pPr>
        <w:pStyle w:val="TextBody"/>
        <w:bidi w:val="0"/>
        <w:spacing w:before="0" w:after="283"/>
        <w:jc w:val="left"/>
        <w:rPr/>
      </w:pPr>
      <w:r>
        <w:rPr/>
        <w:t>Combine 245 $a $b $p (first occurrence)</w:t>
      </w:r>
    </w:p>
    <w:p>
      <w:pPr>
        <w:pStyle w:val="Heading3"/>
        <w:bidi w:val="0"/>
        <w:jc w:val="left"/>
        <w:rPr/>
      </w:pPr>
      <w:r>
        <w:rPr/>
        <w:t>General Media Description</w:t>
      </w:r>
    </w:p>
    <w:p>
      <w:pPr>
        <w:pStyle w:val="TextBodydisabled"/>
        <w:bidi w:val="0"/>
        <w:jc w:val="left"/>
        <w:rPr/>
      </w:pPr>
      <w:r>
        <w:rPr/>
        <w:t xml:space="preserve">245 $h — </w:t>
      </w:r>
      <w:r>
        <w:rPr>
          <w:rStyle w:val="StrongEmphasis"/>
        </w:rPr>
        <w:t>DISABLED as of 11-15-22</w:t>
      </w:r>
      <w:r>
        <w:rPr/>
        <w:t xml:space="preserve"> — always returns 5 underscores "_____"</w:t>
      </w:r>
    </w:p>
    <w:p>
      <w:pPr>
        <w:pStyle w:val="Heading3"/>
        <w:bidi w:val="0"/>
        <w:jc w:val="left"/>
        <w:rPr/>
      </w:pPr>
      <w:r>
        <w:rPr/>
        <w:t>Publication Year</w:t>
      </w:r>
    </w:p>
    <w:p>
      <w:pPr>
        <w:pStyle w:val="TextBody"/>
        <w:bidi w:val="0"/>
        <w:spacing w:before="0" w:after="283"/>
        <w:jc w:val="left"/>
        <w:rPr/>
      </w:pPr>
      <w:r>
        <w:rPr/>
        <w:t>First check control field 008: if character 6 equals 'r' retrieve reissue date from characters 7–10; if there is a government document (086$a exists) use the date from characters 7–10 when it is a valid year (4 digits and ≥ 1200 and ≠ 9999), otherwise treat the record like any other; then use date from characters 11–14 (if valid and ≥ 1200 and ≠ 9999), falling back to 7–10. If no valid date found, check 264$c then 260$c. For 264$c and 260$c, get the rightmost 4 digits giving precedence to years preceded by 'c'. If still no valid date found return "0000". NOTE: character count starts at 0.</w:t>
      </w:r>
    </w:p>
    <w:p>
      <w:pPr>
        <w:pStyle w:val="Heading3"/>
        <w:bidi w:val="0"/>
        <w:jc w:val="left"/>
        <w:rPr/>
      </w:pPr>
      <w:r>
        <w:rPr/>
        <w:t>Pagination</w:t>
      </w:r>
    </w:p>
    <w:p>
      <w:pPr>
        <w:pStyle w:val="TextBody"/>
        <w:bidi w:val="0"/>
        <w:spacing w:before="0" w:after="283"/>
        <w:jc w:val="left"/>
        <w:rPr/>
      </w:pPr>
      <w:r>
        <w:rPr/>
        <w:t>300 $a</w:t>
      </w:r>
    </w:p>
    <w:p>
      <w:pPr>
        <w:pStyle w:val="Heading3"/>
        <w:bidi w:val="0"/>
        <w:jc w:val="left"/>
        <w:rPr/>
      </w:pPr>
      <w:r>
        <w:rPr/>
        <w:t>Edition Statement</w:t>
      </w:r>
    </w:p>
    <w:p>
      <w:pPr>
        <w:pStyle w:val="TextBody"/>
        <w:bidi w:val="0"/>
        <w:spacing w:before="0" w:after="283"/>
        <w:jc w:val="left"/>
        <w:rPr/>
      </w:pPr>
      <w:r>
        <w:rPr/>
        <w:t>250 $a — if the field is empty and the format is "Book" mark this as a 1st edition "1__".</w:t>
      </w:r>
    </w:p>
    <w:p>
      <w:pPr>
        <w:pStyle w:val="Heading3"/>
        <w:bidi w:val="0"/>
        <w:jc w:val="left"/>
        <w:rPr/>
      </w:pPr>
      <w:r>
        <w:rPr/>
        <w:t>Publisher Name</w:t>
      </w:r>
    </w:p>
    <w:p>
      <w:pPr>
        <w:pStyle w:val="TextBody"/>
        <w:bidi w:val="0"/>
        <w:spacing w:before="0" w:after="283"/>
        <w:jc w:val="left"/>
        <w:rPr/>
      </w:pPr>
      <w:r>
        <w:rPr/>
        <w:t xml:space="preserve">First check 264 $b then 260 $b. Ampersands are removed, then diacritics and non-alphanumeric characters (other than spaces) are automatically removed via stripPuncuation(). Remove underscores, convert to lowercase, and pad with underscores to 5 characters. Accented characters are </w:t>
      </w:r>
      <w:r>
        <w:rPr>
          <w:rStyle w:val="StrongEmphasis"/>
        </w:rPr>
        <w:t>not</w:t>
      </w:r>
      <w:r>
        <w:rPr/>
        <w:t xml:space="preserve"> normalized here and are left exactly as they appear in the record — an accent-normalization step was added to the indexer 09-17-25 but has never taken effect (it guards on the wrong variable), so no key has ever carried a normalized publisher.</w:t>
      </w:r>
    </w:p>
    <w:p>
      <w:pPr>
        <w:pStyle w:val="Heading3"/>
        <w:bidi w:val="0"/>
        <w:jc w:val="left"/>
        <w:rPr/>
      </w:pPr>
      <w:r>
        <w:rPr/>
        <w:t>Type of</w:t>
      </w:r>
    </w:p>
    <w:p>
      <w:pPr>
        <w:pStyle w:val="TextBody"/>
        <w:bidi w:val="0"/>
        <w:spacing w:before="0" w:after="283"/>
        <w:jc w:val="left"/>
        <w:rPr/>
      </w:pPr>
      <w:r>
        <w:rPr/>
        <w:t>Character #6 of Leader</w:t>
      </w:r>
    </w:p>
    <w:p>
      <w:pPr>
        <w:pStyle w:val="Heading3"/>
        <w:bidi w:val="0"/>
        <w:jc w:val="left"/>
        <w:rPr/>
      </w:pPr>
      <w:r>
        <w:rPr/>
        <w:t>Title Part</w:t>
      </w:r>
    </w:p>
    <w:p>
      <w:pPr>
        <w:pStyle w:val="TextBody"/>
        <w:bidi w:val="0"/>
        <w:spacing w:before="0" w:after="283"/>
        <w:jc w:val="left"/>
        <w:rPr/>
      </w:pPr>
      <w:r>
        <w:rPr/>
        <w:t>245 $p all multi-valued $p fields</w:t>
      </w:r>
    </w:p>
    <w:p>
      <w:pPr>
        <w:pStyle w:val="Heading3"/>
        <w:bidi w:val="0"/>
        <w:jc w:val="left"/>
        <w:rPr/>
      </w:pPr>
      <w:r>
        <w:rPr/>
        <w:t>Title Number</w:t>
      </w:r>
    </w:p>
    <w:p>
      <w:pPr>
        <w:pStyle w:val="TextBody"/>
        <w:bidi w:val="0"/>
        <w:spacing w:before="0" w:after="283"/>
        <w:jc w:val="left"/>
        <w:rPr/>
      </w:pPr>
      <w:r>
        <w:rPr/>
        <w:t>245 $n</w:t>
      </w:r>
    </w:p>
    <w:p>
      <w:pPr>
        <w:pStyle w:val="Heading3"/>
        <w:bidi w:val="0"/>
        <w:jc w:val="left"/>
        <w:rPr/>
      </w:pPr>
      <w:r>
        <w:rPr/>
        <w:t>Author</w:t>
      </w:r>
    </w:p>
    <w:p>
      <w:pPr>
        <w:pStyle w:val="TextBody"/>
        <w:bidi w:val="0"/>
        <w:spacing w:before="0" w:after="283"/>
        <w:jc w:val="left"/>
        <w:rPr/>
      </w:pPr>
      <w:r>
        <w:rPr/>
        <w:t>100 $a, 110 $a, 111 $a, 130 $a</w:t>
      </w:r>
    </w:p>
    <w:p>
      <w:pPr>
        <w:pStyle w:val="Heading3"/>
        <w:bidi w:val="0"/>
        <w:jc w:val="left"/>
        <w:rPr/>
      </w:pPr>
      <w:r>
        <w:rPr/>
        <w:t>Title-Inclusive Dates</w:t>
      </w:r>
    </w:p>
    <w:p>
      <w:pPr>
        <w:pStyle w:val="TextBody"/>
        <w:bidi w:val="0"/>
        <w:spacing w:before="0" w:after="283"/>
        <w:jc w:val="left"/>
        <w:rPr/>
      </w:pPr>
      <w:r>
        <w:rPr/>
        <w:t>245 $f</w:t>
      </w:r>
    </w:p>
    <w:p>
      <w:pPr>
        <w:pStyle w:val="Heading3"/>
        <w:bidi w:val="0"/>
        <w:jc w:val="left"/>
        <w:rPr/>
      </w:pPr>
      <w:r>
        <w:rPr/>
        <w:t>Government Document Number</w:t>
      </w:r>
    </w:p>
    <w:p>
      <w:pPr>
        <w:pStyle w:val="TextBodyremoved"/>
        <w:bidi w:val="0"/>
        <w:jc w:val="left"/>
        <w:rPr/>
      </w:pPr>
      <w:r>
        <w:rPr/>
        <w:t xml:space="preserve">086 $a — </w:t>
      </w:r>
      <w:r>
        <w:rPr>
          <w:rStyle w:val="StrongEmphasis"/>
        </w:rPr>
        <w:t>REMOVED from match key as of 02-03-26</w:t>
      </w:r>
      <w:r>
        <w:rPr/>
        <w:t xml:space="preserve"> for HATHI compatibility.</w:t>
      </w:r>
    </w:p>
    <w:p>
      <w:pPr>
        <w:pStyle w:val="Heading3"/>
        <w:bidi w:val="0"/>
        <w:jc w:val="left"/>
        <w:rPr/>
      </w:pPr>
      <w:r>
        <w:rPr/>
        <w:t>Version String</w:t>
      </w:r>
    </w:p>
    <w:p>
      <w:pPr>
        <w:pStyle w:val="TextBodynew"/>
        <w:shd w:fill="EEFFEE" w:val="clear"/>
        <w:bidi w:val="0"/>
        <w:jc w:val="left"/>
        <w:rPr/>
      </w:pPr>
      <w:r>
        <w:rPr/>
        <w:t xml:space="preserve">The version string (currently </w:t>
      </w:r>
      <w:r>
        <w:rPr>
          <w:rStyle w:val="SourceText"/>
        </w:rPr>
        <w:t>_v08142026</w:t>
      </w:r>
      <w:r>
        <w:rPr/>
        <w:t>) is appended to the matchkey just before the format character. This identifies which algorithm version produced the key.</w:t>
      </w:r>
    </w:p>
    <w:p>
      <w:pPr>
        <w:pStyle w:val="Heading3"/>
        <w:bidi w:val="0"/>
        <w:jc w:val="left"/>
        <w:rPr/>
      </w:pPr>
      <w:r>
        <w:rPr/>
        <w:t>Electronic Indicator</w:t>
      </w:r>
    </w:p>
    <w:p>
      <w:pPr>
        <w:pStyle w:val="TextBody"/>
        <w:bidi w:val="0"/>
        <w:spacing w:before="0" w:after="283"/>
        <w:jc w:val="left"/>
        <w:rPr/>
      </w:pPr>
      <w:r>
        <w:rPr/>
        <w:t>Check 245 $h, 590 $a, 533 $a, 300 $a, 007, 337 $a, 086+856 combination, and MARC filename; appending 'e' if resource is electronic otherwise appending 'p'.</w:t>
      </w:r>
    </w:p>
    <w:p>
      <w:pPr>
        <w:pStyle w:val="Heading2"/>
        <w:bidi w:val="0"/>
        <w:jc w:val="left"/>
        <w:rPr/>
      </w:pPr>
      <w:r>
        <w:rPr/>
        <w:t>Match Key Structure</w:t>
      </w:r>
    </w:p>
    <w:p>
      <w:pPr>
        <w:pStyle w:val="TextBody"/>
        <w:bidi w:val="0"/>
        <w:spacing w:before="150" w:after="150"/>
        <w:ind w:left="150" w:right="150" w:hanging="0"/>
        <w:jc w:val="left"/>
        <w:rPr>
          <w:bdr w:val="single" w:sz="18" w:space="9" w:color="CCCC99"/>
          <w:shd w:fill="FFFFDD" w:val="clear"/>
        </w:rPr>
      </w:pPr>
      <w:r>
        <w:rPr>
          <w:bdr w:val="single" w:sz="18" w:space="9" w:color="CCCC99"/>
          <w:shd w:fill="FFFFDD" w:val="clear"/>
        </w:rPr>
        <w:t>Each section is padded with underscores to create the desired character count. This applies with no exceptions: a section whose source field is absent, empty, or reduced to nothing by cleaning is still emitted at its full width as underscores, so every match key is exactly 188 characters. (Through _v03182026 the Title and Publisher Name sections did not follow this rule; through _v07312026 a Turkish "İ" in the Publisher Name could still overrun its section — see "What's new" above.) If a field is multi-valued, take the first value unless specified.</w:t>
      </w:r>
    </w:p>
    <w:tbl>
      <w:tblPr>
        <w:tblW w:w="12543" w:type="dxa"/>
        <w:jc w:val="left"/>
        <w:tblInd w:w="0" w:type="dxa"/>
        <w:tblLayout w:type="fixed"/>
        <w:tblCellMar>
          <w:top w:w="28" w:type="dxa"/>
          <w:left w:w="28" w:type="dxa"/>
          <w:bottom w:w="28" w:type="dxa"/>
          <w:right w:w="28" w:type="dxa"/>
        </w:tblCellMar>
      </w:tblPr>
      <w:tblGrid>
        <w:gridCol w:w="1111"/>
        <w:gridCol w:w="2076"/>
        <w:gridCol w:w="1645"/>
        <w:gridCol w:w="7711"/>
      </w:tblGrid>
      <w:tr>
        <w:trPr>
          <w:tblHeader w:val="true"/>
        </w:trPr>
        <w:tc>
          <w:tcPr>
            <w:tcW w:w="1111" w:type="dxa"/>
            <w:tcBorders/>
            <w:vAlign w:val="center"/>
          </w:tcPr>
          <w:p>
            <w:pPr>
              <w:pStyle w:val="TableHeading"/>
              <w:suppressLineNumbers/>
              <w:shd w:fill="F0F0F0" w:val="clear"/>
              <w:bidi w:val="0"/>
              <w:spacing w:before="0" w:after="283"/>
              <w:jc w:val="left"/>
              <w:rPr/>
            </w:pPr>
            <w:r>
              <w:rPr/>
              <w:t>Chars</w:t>
            </w:r>
          </w:p>
        </w:tc>
        <w:tc>
          <w:tcPr>
            <w:tcW w:w="2076" w:type="dxa"/>
            <w:tcBorders/>
            <w:vAlign w:val="center"/>
          </w:tcPr>
          <w:p>
            <w:pPr>
              <w:pStyle w:val="TableHeading"/>
              <w:suppressLineNumbers/>
              <w:shd w:fill="F0F0F0" w:val="clear"/>
              <w:bidi w:val="0"/>
              <w:spacing w:before="0" w:after="283"/>
              <w:jc w:val="left"/>
              <w:rPr/>
            </w:pPr>
            <w:r>
              <w:rPr/>
              <w:t>Element</w:t>
            </w:r>
          </w:p>
        </w:tc>
        <w:tc>
          <w:tcPr>
            <w:tcW w:w="1645" w:type="dxa"/>
            <w:tcBorders/>
            <w:vAlign w:val="center"/>
          </w:tcPr>
          <w:p>
            <w:pPr>
              <w:pStyle w:val="TableHeading"/>
              <w:suppressLineNumbers/>
              <w:shd w:fill="F0F0F0" w:val="clear"/>
              <w:bidi w:val="0"/>
              <w:spacing w:before="0" w:after="283"/>
              <w:jc w:val="left"/>
              <w:rPr/>
            </w:pPr>
            <w:r>
              <w:rPr/>
              <w:t>MARC Source</w:t>
            </w:r>
          </w:p>
        </w:tc>
        <w:tc>
          <w:tcPr>
            <w:tcW w:w="7711" w:type="dxa"/>
            <w:tcBorders/>
            <w:vAlign w:val="center"/>
          </w:tcPr>
          <w:p>
            <w:pPr>
              <w:pStyle w:val="TableHeading"/>
              <w:suppressLineNumbers/>
              <w:shd w:fill="F0F0F0" w:val="clear"/>
              <w:bidi w:val="0"/>
              <w:spacing w:before="0" w:after="283"/>
              <w:jc w:val="left"/>
              <w:rPr/>
            </w:pPr>
            <w:r>
              <w:rPr/>
              <w:t>Notes</w:t>
            </w:r>
          </w:p>
        </w:tc>
      </w:tr>
      <w:tr>
        <w:trPr/>
        <w:tc>
          <w:tcPr>
            <w:tcW w:w="1111" w:type="dxa"/>
            <w:tcBorders/>
            <w:vAlign w:val="center"/>
          </w:tcPr>
          <w:p>
            <w:pPr>
              <w:pStyle w:val="TableContents"/>
              <w:bidi w:val="0"/>
              <w:spacing w:before="0" w:after="283"/>
              <w:jc w:val="left"/>
              <w:rPr/>
            </w:pPr>
            <w:r>
              <w:rPr/>
              <w:t>95</w:t>
            </w:r>
          </w:p>
        </w:tc>
        <w:tc>
          <w:tcPr>
            <w:tcW w:w="2076" w:type="dxa"/>
            <w:tcBorders/>
            <w:vAlign w:val="center"/>
          </w:tcPr>
          <w:p>
            <w:pPr>
              <w:pStyle w:val="TableContents"/>
              <w:bidi w:val="0"/>
              <w:spacing w:before="0" w:after="283"/>
              <w:jc w:val="left"/>
              <w:rPr/>
            </w:pPr>
            <w:r>
              <w:rPr/>
              <w:t>Title</w:t>
            </w:r>
          </w:p>
        </w:tc>
        <w:tc>
          <w:tcPr>
            <w:tcW w:w="1645" w:type="dxa"/>
            <w:tcBorders/>
            <w:vAlign w:val="center"/>
          </w:tcPr>
          <w:p>
            <w:pPr>
              <w:pStyle w:val="TableContents"/>
              <w:bidi w:val="0"/>
              <w:spacing w:before="0" w:after="283"/>
              <w:jc w:val="left"/>
              <w:rPr/>
            </w:pPr>
            <w:r>
              <w:rPr/>
              <w:t>245 $a $b $p</w:t>
            </w:r>
          </w:p>
        </w:tc>
        <w:tc>
          <w:tcPr>
            <w:tcW w:w="7711" w:type="dxa"/>
            <w:tcBorders/>
            <w:vAlign w:val="center"/>
          </w:tcPr>
          <w:p>
            <w:pPr>
              <w:pStyle w:val="TableContents"/>
              <w:bidi w:val="0"/>
              <w:spacing w:before="0" w:after="283"/>
              <w:jc w:val="left"/>
              <w:rPr/>
            </w:pPr>
            <w:r>
              <w:rPr/>
              <w:t xml:space="preserve">Combine $a $b and $p applying stripPuncuation_SPACE() to each, then remove all spaces, trim(), normalizeString(), pad_with_underscores( 95 ). If the record has no 245 field at all (e.g. a MARC holdings record, Leader/06='x'), the section is 95 underscores. </w:t>
              <w:br/>
            </w:r>
            <w:r>
              <w:rPr>
                <w:rStyle w:val="StrongEmphasis"/>
              </w:rPr>
              <w:t>NOTE:</w:t>
            </w:r>
            <w:r>
              <w:rPr/>
              <w:t xml:space="preserve"> If the first MARC 245$6 field indicates a linked 880 field, the 880 field is used instead. For non-Roman languages without an 880 field, falls back to LLC number, ISBN, or ISSN.</w:t>
            </w:r>
          </w:p>
        </w:tc>
      </w:tr>
      <w:tr>
        <w:trPr/>
        <w:tc>
          <w:tcPr>
            <w:tcW w:w="1111" w:type="dxa"/>
            <w:tcBorders/>
            <w:vAlign w:val="center"/>
          </w:tcPr>
          <w:p>
            <w:pPr>
              <w:pStyle w:val="TableContents"/>
              <w:bidi w:val="0"/>
              <w:spacing w:before="0" w:after="283"/>
              <w:jc w:val="left"/>
              <w:rPr/>
            </w:pPr>
            <w:r>
              <w:rPr/>
              <w:t>5</w:t>
            </w:r>
          </w:p>
        </w:tc>
        <w:tc>
          <w:tcPr>
            <w:tcW w:w="2076" w:type="dxa"/>
            <w:tcBorders/>
            <w:vAlign w:val="center"/>
          </w:tcPr>
          <w:p>
            <w:pPr>
              <w:pStyle w:val="TableContents"/>
              <w:bidi w:val="0"/>
              <w:spacing w:before="0" w:after="283"/>
              <w:jc w:val="left"/>
              <w:rPr/>
            </w:pPr>
            <w:r>
              <w:rPr/>
              <w:t>General Media Designation (GMD)</w:t>
            </w:r>
          </w:p>
        </w:tc>
        <w:tc>
          <w:tcPr>
            <w:tcW w:w="1645" w:type="dxa"/>
            <w:tcBorders/>
            <w:vAlign w:val="center"/>
          </w:tcPr>
          <w:p>
            <w:pPr>
              <w:pStyle w:val="TableContents"/>
              <w:bidi w:val="0"/>
              <w:spacing w:before="0" w:after="283"/>
              <w:jc w:val="left"/>
              <w:rPr/>
            </w:pPr>
            <w:r>
              <w:rPr/>
              <w:t>245 $h</w:t>
            </w:r>
          </w:p>
        </w:tc>
        <w:tc>
          <w:tcPr>
            <w:tcW w:w="7711" w:type="dxa"/>
            <w:tcBorders/>
            <w:vAlign w:val="center"/>
          </w:tcPr>
          <w:p>
            <w:pPr>
              <w:pStyle w:val="TableContents"/>
              <w:bidi w:val="0"/>
              <w:spacing w:before="0" w:after="283"/>
              <w:jc w:val="left"/>
              <w:rPr/>
            </w:pPr>
            <w:r>
              <w:rPr>
                <w:rStyle w:val="StrongEmphasis"/>
              </w:rPr>
              <w:t>DISABLED (11-15-22)</w:t>
            </w:r>
            <w:r>
              <w:rPr/>
              <w:t xml:space="preserve"> — Always returns "_____".</w:t>
            </w:r>
          </w:p>
        </w:tc>
      </w:tr>
      <w:tr>
        <w:trPr/>
        <w:tc>
          <w:tcPr>
            <w:tcW w:w="1111" w:type="dxa"/>
            <w:tcBorders/>
            <w:vAlign w:val="center"/>
          </w:tcPr>
          <w:p>
            <w:pPr>
              <w:pStyle w:val="TableContents"/>
              <w:bidi w:val="0"/>
              <w:spacing w:before="0" w:after="283"/>
              <w:jc w:val="left"/>
              <w:rPr/>
            </w:pPr>
            <w:r>
              <w:rPr/>
              <w:t>4</w:t>
            </w:r>
          </w:p>
        </w:tc>
        <w:tc>
          <w:tcPr>
            <w:tcW w:w="2076" w:type="dxa"/>
            <w:tcBorders/>
            <w:vAlign w:val="center"/>
          </w:tcPr>
          <w:p>
            <w:pPr>
              <w:pStyle w:val="TableContents"/>
              <w:bidi w:val="0"/>
              <w:spacing w:before="0" w:after="283"/>
              <w:jc w:val="left"/>
              <w:rPr/>
            </w:pPr>
            <w:r>
              <w:rPr/>
              <w:t>Publication Year</w:t>
            </w:r>
          </w:p>
        </w:tc>
        <w:tc>
          <w:tcPr>
            <w:tcW w:w="1645" w:type="dxa"/>
            <w:tcBorders/>
            <w:vAlign w:val="center"/>
          </w:tcPr>
          <w:p>
            <w:pPr>
              <w:pStyle w:val="TableContents"/>
              <w:bidi w:val="0"/>
              <w:spacing w:before="0" w:after="283"/>
              <w:jc w:val="left"/>
              <w:rPr/>
            </w:pPr>
            <w:r>
              <w:rPr/>
              <w:t>008, 264 $c, 260 $c</w:t>
            </w:r>
          </w:p>
        </w:tc>
        <w:tc>
          <w:tcPr>
            <w:tcW w:w="7711" w:type="dxa"/>
            <w:tcBorders/>
            <w:vAlign w:val="center"/>
          </w:tcPr>
          <w:p>
            <w:pPr>
              <w:pStyle w:val="TableContents"/>
              <w:bidi w:val="0"/>
              <w:spacing w:before="0" w:after="283"/>
              <w:jc w:val="left"/>
              <w:rPr/>
            </w:pPr>
            <w:r>
              <w:rPr/>
              <w:t>First check 008 field (see above for reissue/gov doc logic). If no valid number, check 264$c then 260$c. Get rightmost 4 digits, giving precedence to years preceded by 'c'. If not found return "0000". pad_with_underscores( 4 )</w:t>
            </w:r>
          </w:p>
        </w:tc>
      </w:tr>
      <w:tr>
        <w:trPr/>
        <w:tc>
          <w:tcPr>
            <w:tcW w:w="1111" w:type="dxa"/>
            <w:tcBorders/>
            <w:vAlign w:val="center"/>
          </w:tcPr>
          <w:p>
            <w:pPr>
              <w:pStyle w:val="TableContents"/>
              <w:bidi w:val="0"/>
              <w:spacing w:before="0" w:after="283"/>
              <w:jc w:val="left"/>
              <w:rPr/>
            </w:pPr>
            <w:r>
              <w:rPr/>
              <w:t>4</w:t>
            </w:r>
          </w:p>
        </w:tc>
        <w:tc>
          <w:tcPr>
            <w:tcW w:w="2076" w:type="dxa"/>
            <w:tcBorders/>
            <w:vAlign w:val="center"/>
          </w:tcPr>
          <w:p>
            <w:pPr>
              <w:pStyle w:val="TableContents"/>
              <w:bidi w:val="0"/>
              <w:spacing w:before="0" w:after="283"/>
              <w:jc w:val="left"/>
              <w:rPr/>
            </w:pPr>
            <w:r>
              <w:rPr/>
              <w:t>Pagination</w:t>
            </w:r>
          </w:p>
        </w:tc>
        <w:tc>
          <w:tcPr>
            <w:tcW w:w="1645" w:type="dxa"/>
            <w:tcBorders/>
            <w:vAlign w:val="center"/>
          </w:tcPr>
          <w:p>
            <w:pPr>
              <w:pStyle w:val="TableContents"/>
              <w:bidi w:val="0"/>
              <w:spacing w:before="0" w:after="283"/>
              <w:jc w:val="left"/>
              <w:rPr/>
            </w:pPr>
            <w:r>
              <w:rPr/>
              <w:t>300 $a</w:t>
            </w:r>
          </w:p>
        </w:tc>
        <w:tc>
          <w:tcPr>
            <w:tcW w:w="7711" w:type="dxa"/>
            <w:tcBorders/>
            <w:vAlign w:val="center"/>
          </w:tcPr>
          <w:p>
            <w:pPr>
              <w:pStyle w:val="TableContents"/>
              <w:bidi w:val="0"/>
              <w:spacing w:before="0" w:after="283"/>
              <w:jc w:val="left"/>
              <w:rPr/>
            </w:pPr>
            <w:r>
              <w:rPr/>
              <w:t>First four contiguous numeric characters are used. If there are fewer than four contiguous numeric characters, or if there is no source field, these bytes are assigned underscores. pad_with_underscores( 4 )</w:t>
            </w:r>
          </w:p>
        </w:tc>
      </w:tr>
      <w:tr>
        <w:trPr/>
        <w:tc>
          <w:tcPr>
            <w:tcW w:w="1111" w:type="dxa"/>
            <w:tcBorders/>
            <w:vAlign w:val="center"/>
          </w:tcPr>
          <w:p>
            <w:pPr>
              <w:pStyle w:val="TableContents"/>
              <w:bidi w:val="0"/>
              <w:spacing w:before="0" w:after="283"/>
              <w:jc w:val="left"/>
              <w:rPr/>
            </w:pPr>
            <w:r>
              <w:rPr/>
              <w:t>3</w:t>
            </w:r>
          </w:p>
        </w:tc>
        <w:tc>
          <w:tcPr>
            <w:tcW w:w="2076" w:type="dxa"/>
            <w:tcBorders/>
            <w:vAlign w:val="center"/>
          </w:tcPr>
          <w:p>
            <w:pPr>
              <w:pStyle w:val="TableContents"/>
              <w:bidi w:val="0"/>
              <w:spacing w:before="0" w:after="283"/>
              <w:jc w:val="left"/>
              <w:rPr/>
            </w:pPr>
            <w:r>
              <w:rPr/>
              <w:t>Edition Statement</w:t>
            </w:r>
          </w:p>
        </w:tc>
        <w:tc>
          <w:tcPr>
            <w:tcW w:w="1645" w:type="dxa"/>
            <w:tcBorders/>
            <w:vAlign w:val="center"/>
          </w:tcPr>
          <w:p>
            <w:pPr>
              <w:pStyle w:val="TableContents"/>
              <w:bidi w:val="0"/>
              <w:spacing w:before="0" w:after="283"/>
              <w:jc w:val="left"/>
              <w:rPr/>
            </w:pPr>
            <w:r>
              <w:rPr/>
              <w:t>250 $a</w:t>
            </w:r>
          </w:p>
        </w:tc>
        <w:tc>
          <w:tcPr>
            <w:tcW w:w="7711" w:type="dxa"/>
            <w:tcBorders/>
            <w:vAlign w:val="center"/>
          </w:tcPr>
          <w:p>
            <w:pPr>
              <w:pStyle w:val="TableContents"/>
              <w:bidi w:val="0"/>
              <w:spacing w:before="0" w:after="283"/>
              <w:jc w:val="left"/>
              <w:rPr/>
            </w:pPr>
            <w:r>
              <w:rPr/>
              <w:t>First three, first two or first contiguous numeric characters is used. If there are no numeric characters, then the first three, first two or first contiguous alphabetic characters is used. Diacritics are automatically removed. Convert 'fir' to 1, 'sec' to 2, 'thi' to 3, 'for' to 4, 'fif' to 5, 'six' to 6, 'sev' to 7, 'eig' to 8, 'nin' to 9, '10t' to 10. If edition is empty and format is "Book", defaults to "1__" (1st edition). pad_with_underscores( 3 )</w:t>
            </w:r>
          </w:p>
        </w:tc>
      </w:tr>
      <w:tr>
        <w:trPr/>
        <w:tc>
          <w:tcPr>
            <w:tcW w:w="1111" w:type="dxa"/>
            <w:tcBorders/>
            <w:vAlign w:val="center"/>
          </w:tcPr>
          <w:p>
            <w:pPr>
              <w:pStyle w:val="TableContents"/>
              <w:bidi w:val="0"/>
              <w:spacing w:before="0" w:after="283"/>
              <w:jc w:val="left"/>
              <w:rPr/>
            </w:pPr>
            <w:r>
              <w:rPr/>
              <w:t>5</w:t>
            </w:r>
          </w:p>
        </w:tc>
        <w:tc>
          <w:tcPr>
            <w:tcW w:w="2076" w:type="dxa"/>
            <w:tcBorders/>
            <w:vAlign w:val="center"/>
          </w:tcPr>
          <w:p>
            <w:pPr>
              <w:pStyle w:val="TableContents"/>
              <w:bidi w:val="0"/>
              <w:spacing w:before="0" w:after="283"/>
              <w:jc w:val="left"/>
              <w:rPr/>
            </w:pPr>
            <w:r>
              <w:rPr/>
              <w:t>Publisher Name</w:t>
            </w:r>
          </w:p>
        </w:tc>
        <w:tc>
          <w:tcPr>
            <w:tcW w:w="1645" w:type="dxa"/>
            <w:tcBorders/>
            <w:vAlign w:val="center"/>
          </w:tcPr>
          <w:p>
            <w:pPr>
              <w:pStyle w:val="TableContents"/>
              <w:bidi w:val="0"/>
              <w:spacing w:before="0" w:after="283"/>
              <w:jc w:val="left"/>
              <w:rPr/>
            </w:pPr>
            <w:r>
              <w:rPr/>
              <w:t>264 $b, 260 $b</w:t>
            </w:r>
          </w:p>
        </w:tc>
        <w:tc>
          <w:tcPr>
            <w:tcW w:w="7711" w:type="dxa"/>
            <w:tcBorders/>
            <w:vAlign w:val="center"/>
          </w:tcPr>
          <w:p>
            <w:pPr>
              <w:pStyle w:val="TableContents"/>
              <w:bidi w:val="0"/>
              <w:spacing w:before="0" w:after="283"/>
              <w:jc w:val="left"/>
              <w:rPr/>
            </w:pPr>
            <w:r>
              <w:rPr/>
              <w:t>If 264 is empty check 260$b. Remove ampersands, apply stripPuncuation(), remove underscores. Accents are left as they are — see the Publisher Name notes above. pad_with_underscores( 5 ), which lowercases before it measures. If neither 264$b nor 260$b is present, or the value cleans to nothing, the section is 5 underscores.</w:t>
            </w:r>
          </w:p>
        </w:tc>
      </w:tr>
      <w:tr>
        <w:trPr/>
        <w:tc>
          <w:tcPr>
            <w:tcW w:w="1111" w:type="dxa"/>
            <w:tcBorders/>
            <w:vAlign w:val="center"/>
          </w:tcPr>
          <w:p>
            <w:pPr>
              <w:pStyle w:val="TableContents"/>
              <w:bidi w:val="0"/>
              <w:spacing w:before="0" w:after="283"/>
              <w:jc w:val="left"/>
              <w:rPr/>
            </w:pPr>
            <w:r>
              <w:rPr/>
              <w:t>1</w:t>
            </w:r>
          </w:p>
        </w:tc>
        <w:tc>
          <w:tcPr>
            <w:tcW w:w="2076" w:type="dxa"/>
            <w:tcBorders/>
            <w:vAlign w:val="center"/>
          </w:tcPr>
          <w:p>
            <w:pPr>
              <w:pStyle w:val="TableContents"/>
              <w:bidi w:val="0"/>
              <w:spacing w:before="0" w:after="283"/>
              <w:jc w:val="left"/>
              <w:rPr/>
            </w:pPr>
            <w:r>
              <w:rPr/>
              <w:t>Type of</w:t>
            </w:r>
          </w:p>
        </w:tc>
        <w:tc>
          <w:tcPr>
            <w:tcW w:w="1645" w:type="dxa"/>
            <w:tcBorders/>
            <w:vAlign w:val="center"/>
          </w:tcPr>
          <w:p>
            <w:pPr>
              <w:pStyle w:val="TableContents"/>
              <w:bidi w:val="0"/>
              <w:spacing w:before="0" w:after="283"/>
              <w:jc w:val="left"/>
              <w:rPr/>
            </w:pPr>
            <w:r>
              <w:rPr/>
              <w:t>Leader</w:t>
            </w:r>
          </w:p>
        </w:tc>
        <w:tc>
          <w:tcPr>
            <w:tcW w:w="7711" w:type="dxa"/>
            <w:tcBorders/>
            <w:vAlign w:val="center"/>
          </w:tcPr>
          <w:p>
            <w:pPr>
              <w:pStyle w:val="TableContents"/>
              <w:bidi w:val="0"/>
              <w:spacing w:before="0" w:after="283"/>
              <w:jc w:val="left"/>
              <w:rPr/>
            </w:pPr>
            <w:r>
              <w:rPr/>
              <w:t>Character #6. If leader contains 10 or more characters return the 6th character of the leader; otherwise the section is a single underscore.</w:t>
            </w:r>
          </w:p>
        </w:tc>
      </w:tr>
      <w:tr>
        <w:trPr/>
        <w:tc>
          <w:tcPr>
            <w:tcW w:w="1111" w:type="dxa"/>
            <w:tcBorders/>
            <w:vAlign w:val="center"/>
          </w:tcPr>
          <w:p>
            <w:pPr>
              <w:pStyle w:val="TableContents"/>
              <w:bidi w:val="0"/>
              <w:spacing w:before="0" w:after="283"/>
              <w:jc w:val="left"/>
              <w:rPr/>
            </w:pPr>
            <w:r>
              <w:rPr/>
              <w:t>30</w:t>
            </w:r>
          </w:p>
        </w:tc>
        <w:tc>
          <w:tcPr>
            <w:tcW w:w="2076" w:type="dxa"/>
            <w:tcBorders/>
            <w:vAlign w:val="center"/>
          </w:tcPr>
          <w:p>
            <w:pPr>
              <w:pStyle w:val="TableContents"/>
              <w:bidi w:val="0"/>
              <w:spacing w:before="0" w:after="283"/>
              <w:jc w:val="left"/>
              <w:rPr/>
            </w:pPr>
            <w:r>
              <w:rPr/>
              <w:t>Title Part</w:t>
            </w:r>
          </w:p>
        </w:tc>
        <w:tc>
          <w:tcPr>
            <w:tcW w:w="1645" w:type="dxa"/>
            <w:tcBorders/>
            <w:vAlign w:val="center"/>
          </w:tcPr>
          <w:p>
            <w:pPr>
              <w:pStyle w:val="TableContents"/>
              <w:bidi w:val="0"/>
              <w:spacing w:before="0" w:after="283"/>
              <w:jc w:val="left"/>
              <w:rPr/>
            </w:pPr>
            <w:r>
              <w:rPr/>
              <w:t>245 $p</w:t>
            </w:r>
          </w:p>
        </w:tc>
        <w:tc>
          <w:tcPr>
            <w:tcW w:w="7711" w:type="dxa"/>
            <w:tcBorders/>
            <w:vAlign w:val="center"/>
          </w:tcPr>
          <w:p>
            <w:pPr>
              <w:pStyle w:val="TableContents"/>
              <w:bidi w:val="0"/>
              <w:spacing w:before="0" w:after="283"/>
              <w:jc w:val="left"/>
              <w:rPr/>
            </w:pPr>
            <w:r>
              <w:rPr/>
              <w:t xml:space="preserve">If multiple $p subfields, take the first 10 characters of each. trim(), stripPuncuation(), pad_with_underscores( 30 ). </w:t>
            </w:r>
            <w:r>
              <w:rPr>
                <w:rStyle w:val="StrongEmphasis"/>
              </w:rPr>
              <w:t>NOTE:</w:t>
            </w:r>
            <w:r>
              <w:rPr/>
              <w:t xml:space="preserve"> The first $p has already been added to the Title section.</w:t>
            </w:r>
          </w:p>
        </w:tc>
      </w:tr>
      <w:tr>
        <w:trPr/>
        <w:tc>
          <w:tcPr>
            <w:tcW w:w="1111" w:type="dxa"/>
            <w:tcBorders/>
            <w:vAlign w:val="center"/>
          </w:tcPr>
          <w:p>
            <w:pPr>
              <w:pStyle w:val="TableContents"/>
              <w:bidi w:val="0"/>
              <w:spacing w:before="0" w:after="283"/>
              <w:jc w:val="left"/>
              <w:rPr/>
            </w:pPr>
            <w:r>
              <w:rPr/>
              <w:t>10</w:t>
            </w:r>
          </w:p>
        </w:tc>
        <w:tc>
          <w:tcPr>
            <w:tcW w:w="2076" w:type="dxa"/>
            <w:tcBorders/>
            <w:vAlign w:val="center"/>
          </w:tcPr>
          <w:p>
            <w:pPr>
              <w:pStyle w:val="TableContents"/>
              <w:bidi w:val="0"/>
              <w:spacing w:before="0" w:after="283"/>
              <w:jc w:val="left"/>
              <w:rPr/>
            </w:pPr>
            <w:r>
              <w:rPr/>
              <w:t>Title Number</w:t>
            </w:r>
          </w:p>
        </w:tc>
        <w:tc>
          <w:tcPr>
            <w:tcW w:w="1645" w:type="dxa"/>
            <w:tcBorders/>
            <w:vAlign w:val="center"/>
          </w:tcPr>
          <w:p>
            <w:pPr>
              <w:pStyle w:val="TableContents"/>
              <w:bidi w:val="0"/>
              <w:spacing w:before="0" w:after="283"/>
              <w:jc w:val="left"/>
              <w:rPr/>
            </w:pPr>
            <w:r>
              <w:rPr/>
              <w:t>245 $n</w:t>
            </w:r>
          </w:p>
        </w:tc>
        <w:tc>
          <w:tcPr>
            <w:tcW w:w="7711" w:type="dxa"/>
            <w:tcBorders/>
            <w:vAlign w:val="center"/>
          </w:tcPr>
          <w:p>
            <w:pPr>
              <w:pStyle w:val="TableContents"/>
              <w:bidi w:val="0"/>
              <w:spacing w:before="0" w:after="283"/>
              <w:jc w:val="left"/>
              <w:rPr/>
            </w:pPr>
            <w:r>
              <w:rPr/>
              <w:t>stripPuncuation(), pad_with_underscores( 10 )</w:t>
            </w:r>
          </w:p>
        </w:tc>
      </w:tr>
      <w:tr>
        <w:trPr/>
        <w:tc>
          <w:tcPr>
            <w:tcW w:w="1111" w:type="dxa"/>
            <w:tcBorders/>
            <w:vAlign w:val="center"/>
          </w:tcPr>
          <w:p>
            <w:pPr>
              <w:pStyle w:val="TableContents"/>
              <w:bidi w:val="0"/>
              <w:spacing w:before="0" w:after="283"/>
              <w:jc w:val="left"/>
              <w:rPr/>
            </w:pPr>
            <w:r>
              <w:rPr/>
              <w:t>5</w:t>
            </w:r>
          </w:p>
        </w:tc>
        <w:tc>
          <w:tcPr>
            <w:tcW w:w="2076" w:type="dxa"/>
            <w:tcBorders/>
            <w:vAlign w:val="center"/>
          </w:tcPr>
          <w:p>
            <w:pPr>
              <w:pStyle w:val="TableContents"/>
              <w:bidi w:val="0"/>
              <w:spacing w:before="0" w:after="283"/>
              <w:jc w:val="left"/>
              <w:rPr/>
            </w:pPr>
            <w:r>
              <w:rPr/>
              <w:t>Author</w:t>
            </w:r>
          </w:p>
        </w:tc>
        <w:tc>
          <w:tcPr>
            <w:tcW w:w="1645" w:type="dxa"/>
            <w:tcBorders/>
            <w:vAlign w:val="center"/>
          </w:tcPr>
          <w:p>
            <w:pPr>
              <w:pStyle w:val="TableContents"/>
              <w:bidi w:val="0"/>
              <w:spacing w:before="0" w:after="283"/>
              <w:jc w:val="left"/>
              <w:rPr/>
            </w:pPr>
            <w:r>
              <w:rPr/>
              <w:t>100 $a, 110 $a, 111 $a, 130 $a</w:t>
            </w:r>
          </w:p>
        </w:tc>
        <w:tc>
          <w:tcPr>
            <w:tcW w:w="7711" w:type="dxa"/>
            <w:tcBorders/>
            <w:vAlign w:val="center"/>
          </w:tcPr>
          <w:p>
            <w:pPr>
              <w:pStyle w:val="TableContents"/>
              <w:bidi w:val="0"/>
              <w:spacing w:before="0" w:after="283"/>
              <w:jc w:val="left"/>
              <w:rPr/>
            </w:pPr>
            <w:r>
              <w:rPr/>
              <w:t>Combine the contents of each field applying stripPuncuationAndRemoveAccents() to each. Remove underscores and spaces. pad_with_underscores( 5 ), which lowercases before it measures.</w:t>
            </w:r>
          </w:p>
        </w:tc>
      </w:tr>
      <w:tr>
        <w:trPr/>
        <w:tc>
          <w:tcPr>
            <w:tcW w:w="1111" w:type="dxa"/>
            <w:tcBorders/>
            <w:vAlign w:val="center"/>
          </w:tcPr>
          <w:p>
            <w:pPr>
              <w:pStyle w:val="TableContents"/>
              <w:bidi w:val="0"/>
              <w:spacing w:before="0" w:after="283"/>
              <w:jc w:val="left"/>
              <w:rPr/>
            </w:pPr>
            <w:r>
              <w:rPr/>
              <w:t>15</w:t>
            </w:r>
          </w:p>
        </w:tc>
        <w:tc>
          <w:tcPr>
            <w:tcW w:w="2076" w:type="dxa"/>
            <w:tcBorders/>
            <w:vAlign w:val="center"/>
          </w:tcPr>
          <w:p>
            <w:pPr>
              <w:pStyle w:val="TableContents"/>
              <w:bidi w:val="0"/>
              <w:spacing w:before="0" w:after="283"/>
              <w:jc w:val="left"/>
              <w:rPr/>
            </w:pPr>
            <w:r>
              <w:rPr/>
              <w:t>Title-Inclusive Dates</w:t>
            </w:r>
          </w:p>
        </w:tc>
        <w:tc>
          <w:tcPr>
            <w:tcW w:w="1645" w:type="dxa"/>
            <w:tcBorders/>
            <w:vAlign w:val="center"/>
          </w:tcPr>
          <w:p>
            <w:pPr>
              <w:pStyle w:val="TableContents"/>
              <w:bidi w:val="0"/>
              <w:spacing w:before="0" w:after="283"/>
              <w:jc w:val="left"/>
              <w:rPr/>
            </w:pPr>
            <w:r>
              <w:rPr/>
              <w:t>245 $f</w:t>
            </w:r>
          </w:p>
        </w:tc>
        <w:tc>
          <w:tcPr>
            <w:tcW w:w="7711" w:type="dxa"/>
            <w:tcBorders/>
            <w:vAlign w:val="center"/>
          </w:tcPr>
          <w:p>
            <w:pPr>
              <w:pStyle w:val="TableContents"/>
              <w:bidi w:val="0"/>
              <w:spacing w:before="0" w:after="283"/>
              <w:jc w:val="left"/>
              <w:rPr/>
            </w:pPr>
            <w:r>
              <w:rPr/>
              <w:t>Remove all spaces then stripPuncuation(), padWithUnderscores( 15 )</w:t>
            </w:r>
          </w:p>
        </w:tc>
      </w:tr>
      <w:tr>
        <w:trPr/>
        <w:tc>
          <w:tcPr>
            <w:tcW w:w="1111" w:type="dxa"/>
            <w:tcBorders/>
            <w:vAlign w:val="center"/>
          </w:tcPr>
          <w:p>
            <w:pPr>
              <w:pStyle w:val="TableContents"/>
              <w:bidi w:val="0"/>
              <w:spacing w:before="0" w:after="283"/>
              <w:jc w:val="left"/>
              <w:rPr/>
            </w:pPr>
            <w:r>
              <w:rPr/>
              <w:t>—</w:t>
            </w:r>
          </w:p>
        </w:tc>
        <w:tc>
          <w:tcPr>
            <w:tcW w:w="2076" w:type="dxa"/>
            <w:tcBorders/>
            <w:vAlign w:val="center"/>
          </w:tcPr>
          <w:p>
            <w:pPr>
              <w:pStyle w:val="TableContents"/>
              <w:bidi w:val="0"/>
              <w:spacing w:before="0" w:after="283"/>
              <w:jc w:val="left"/>
              <w:rPr/>
            </w:pPr>
            <w:r>
              <w:rPr/>
              <w:t>Government Document Number</w:t>
            </w:r>
          </w:p>
        </w:tc>
        <w:tc>
          <w:tcPr>
            <w:tcW w:w="1645" w:type="dxa"/>
            <w:tcBorders/>
            <w:vAlign w:val="center"/>
          </w:tcPr>
          <w:p>
            <w:pPr>
              <w:pStyle w:val="TableContents"/>
              <w:bidi w:val="0"/>
              <w:spacing w:before="0" w:after="283"/>
              <w:jc w:val="left"/>
              <w:rPr/>
            </w:pPr>
            <w:r>
              <w:rPr/>
              <w:t>086 $a</w:t>
            </w:r>
          </w:p>
        </w:tc>
        <w:tc>
          <w:tcPr>
            <w:tcW w:w="7711" w:type="dxa"/>
            <w:tcBorders/>
            <w:vAlign w:val="center"/>
          </w:tcPr>
          <w:p>
            <w:pPr>
              <w:pStyle w:val="TableContents"/>
              <w:bidi w:val="0"/>
              <w:spacing w:before="0" w:after="283"/>
              <w:jc w:val="left"/>
              <w:rPr/>
            </w:pPr>
            <w:r>
              <w:rPr>
                <w:rStyle w:val="StrongEmphasis"/>
              </w:rPr>
              <w:t>REMOVED from match key (02-03-26)</w:t>
            </w:r>
            <w:r>
              <w:rPr/>
              <w:t xml:space="preserve"> for HATHI compatibility.</w:t>
            </w:r>
          </w:p>
        </w:tc>
      </w:tr>
      <w:tr>
        <w:trPr/>
        <w:tc>
          <w:tcPr>
            <w:tcW w:w="1111" w:type="dxa"/>
            <w:tcBorders/>
            <w:shd w:fill="EEFFEE" w:val="clear"/>
            <w:vAlign w:val="center"/>
          </w:tcPr>
          <w:p>
            <w:pPr>
              <w:pStyle w:val="TableContents"/>
              <w:bidi w:val="0"/>
              <w:spacing w:before="0" w:after="283"/>
              <w:jc w:val="left"/>
              <w:rPr/>
            </w:pPr>
            <w:r>
              <w:rPr/>
              <w:t>10</w:t>
            </w:r>
          </w:p>
        </w:tc>
        <w:tc>
          <w:tcPr>
            <w:tcW w:w="2076" w:type="dxa"/>
            <w:tcBorders/>
            <w:shd w:fill="EEFFEE" w:val="clear"/>
            <w:vAlign w:val="center"/>
          </w:tcPr>
          <w:p>
            <w:pPr>
              <w:pStyle w:val="TableContents"/>
              <w:bidi w:val="0"/>
              <w:spacing w:before="0" w:after="283"/>
              <w:jc w:val="left"/>
              <w:rPr/>
            </w:pPr>
            <w:r>
              <w:rPr/>
              <w:t>Version String</w:t>
            </w:r>
          </w:p>
        </w:tc>
        <w:tc>
          <w:tcPr>
            <w:tcW w:w="1645" w:type="dxa"/>
            <w:tcBorders/>
            <w:shd w:fill="EEFFEE" w:val="clear"/>
            <w:vAlign w:val="center"/>
          </w:tcPr>
          <w:p>
            <w:pPr>
              <w:pStyle w:val="TableContents"/>
              <w:bidi w:val="0"/>
              <w:spacing w:before="0" w:after="283"/>
              <w:jc w:val="left"/>
              <w:rPr/>
            </w:pPr>
            <w:r>
              <w:rPr/>
              <w:t>—</w:t>
            </w:r>
          </w:p>
        </w:tc>
        <w:tc>
          <w:tcPr>
            <w:tcW w:w="7711" w:type="dxa"/>
            <w:tcBorders/>
            <w:shd w:fill="EEFFEE" w:val="clear"/>
            <w:vAlign w:val="center"/>
          </w:tcPr>
          <w:p>
            <w:pPr>
              <w:pStyle w:val="TableContents"/>
              <w:bidi w:val="0"/>
              <w:spacing w:before="0" w:after="283"/>
              <w:jc w:val="left"/>
              <w:rPr/>
            </w:pPr>
            <w:r>
              <w:rPr/>
              <w:t xml:space="preserve">The version string (currently </w:t>
            </w:r>
            <w:r>
              <w:rPr>
                <w:rStyle w:val="SourceText"/>
              </w:rPr>
              <w:t>_v08142026</w:t>
            </w:r>
            <w:r>
              <w:rPr/>
              <w:t>) is appended here, just before the format character.</w:t>
            </w:r>
          </w:p>
        </w:tc>
      </w:tr>
      <w:tr>
        <w:trPr/>
        <w:tc>
          <w:tcPr>
            <w:tcW w:w="1111" w:type="dxa"/>
            <w:tcBorders/>
            <w:vAlign w:val="center"/>
          </w:tcPr>
          <w:p>
            <w:pPr>
              <w:pStyle w:val="TableContents"/>
              <w:bidi w:val="0"/>
              <w:spacing w:before="0" w:after="283"/>
              <w:jc w:val="left"/>
              <w:rPr/>
            </w:pPr>
            <w:r>
              <w:rPr/>
              <w:t>1</w:t>
            </w:r>
          </w:p>
        </w:tc>
        <w:tc>
          <w:tcPr>
            <w:tcW w:w="2076" w:type="dxa"/>
            <w:tcBorders/>
            <w:vAlign w:val="center"/>
          </w:tcPr>
          <w:p>
            <w:pPr>
              <w:pStyle w:val="TableContents"/>
              <w:bidi w:val="0"/>
              <w:spacing w:before="0" w:after="283"/>
              <w:jc w:val="left"/>
              <w:rPr/>
            </w:pPr>
            <w:r>
              <w:rPr/>
              <w:t>Format Character</w:t>
            </w:r>
          </w:p>
        </w:tc>
        <w:tc>
          <w:tcPr>
            <w:tcW w:w="1645" w:type="dxa"/>
            <w:tcBorders/>
            <w:vAlign w:val="center"/>
          </w:tcPr>
          <w:p>
            <w:pPr>
              <w:pStyle w:val="TableContents"/>
              <w:bidi w:val="0"/>
              <w:spacing w:before="0" w:after="283"/>
              <w:jc w:val="left"/>
              <w:rPr/>
            </w:pPr>
            <w:r>
              <w:rPr/>
              <w:t>245 $h, 590 $a, 533 $a, 300 $a, 007, 337 $a, 086+856</w:t>
            </w:r>
          </w:p>
        </w:tc>
        <w:tc>
          <w:tcPr>
            <w:tcW w:w="7711" w:type="dxa"/>
            <w:tcBorders/>
            <w:vAlign w:val="center"/>
          </w:tcPr>
          <w:p>
            <w:pPr>
              <w:pStyle w:val="TableContents"/>
              <w:bidi w:val="0"/>
              <w:spacing w:before="0" w:after="283"/>
              <w:jc w:val="left"/>
              <w:rPr/>
            </w:pPr>
            <w:r>
              <w:rPr/>
              <w:t>getFormatCharacter() — append 'e' for electronic, otherwise 'p'.</w:t>
            </w:r>
          </w:p>
        </w:tc>
      </w:tr>
    </w:tbl>
    <w:p>
      <w:pPr>
        <w:pStyle w:val="TextBody"/>
        <w:bidi w:val="0"/>
        <w:spacing w:before="0" w:after="283"/>
        <w:jc w:val="left"/>
        <w:rPr/>
      </w:pPr>
      <w:r>
        <w:rPr>
          <w:rStyle w:val="StrongEmphasis"/>
        </w:rPr>
        <w:t>Post-processing:</w:t>
      </w:r>
      <w:r>
        <w:rPr/>
        <w:t xml:space="preserve"> The entire match key is converted to lowercase (each padded section is already lowercase as of _v08142026, so this affects only the fixed-width sections), then any remaining spaces are replaced with underscores.</w:t>
      </w:r>
    </w:p>
    <w:p>
      <w:pPr>
        <w:pStyle w:val="TextBodynote"/>
        <w:pBdr>
          <w:left w:val="single" w:sz="18" w:space="9" w:color="CCCC99"/>
        </w:pBdr>
        <w:shd w:fill="FFFFDD" w:val="clear"/>
        <w:bidi w:val="0"/>
        <w:spacing w:before="150" w:after="150"/>
        <w:ind w:left="150" w:right="150" w:hanging="0"/>
        <w:jc w:val="left"/>
        <w:rPr/>
      </w:pPr>
      <w:r>
        <w:rPr/>
        <w:t>NOTE: earlier revisions of this document also described colons being replaced with 'x'. That replacement was written into the indexer on 05-16-18 but has never taken effect (the statement that applied it was immediately overwritten by the space replacement), so no released match key has ever had it. Colons are already removed at the section level by stripPuncuation(). The claim is dropped here rather than implemented, to keep this document a description of what the algorithm actually does.</w:t>
      </w:r>
    </w:p>
    <w:p>
      <w:pPr>
        <w:pStyle w:val="Heading2"/>
        <w:bidi w:val="0"/>
        <w:jc w:val="left"/>
        <w:rPr/>
      </w:pPr>
      <w:r>
        <w:rPr/>
        <w:t>Appendix — Method Definitions</w:t>
      </w:r>
    </w:p>
    <w:p>
      <w:pPr>
        <w:pStyle w:val="Heading3"/>
        <w:bidi w:val="0"/>
        <w:jc w:val="left"/>
        <w:rPr/>
      </w:pPr>
      <w:r>
        <w:rPr/>
        <w:t>stripPuncuation( String input )</w:t>
      </w:r>
    </w:p>
    <w:p>
      <w:pPr>
        <w:pStyle w:val="TextBody"/>
        <w:bidi w:val="0"/>
        <w:spacing w:before="0" w:after="283"/>
        <w:jc w:val="left"/>
        <w:rPr/>
      </w:pPr>
      <w:r>
        <w:rPr/>
        <w:t xml:space="preserve">Example: </w:t>
      </w:r>
      <w:r>
        <w:rPr>
          <w:rStyle w:val="SourceText"/>
        </w:rPr>
        <w:t>'EP 1.1/5:'</w:t>
      </w:r>
      <w:r>
        <w:rPr/>
        <w:t xml:space="preserve"> becomes </w:t>
      </w:r>
      <w:r>
        <w:rPr>
          <w:rStyle w:val="SourceText"/>
        </w:rPr>
        <w:t>'EP_1_1_5'</w:t>
      </w:r>
    </w:p>
    <w:p>
      <w:pPr>
        <w:pStyle w:val="PreformattedText"/>
        <w:pBdr/>
        <w:shd w:fill="F5F5F5" w:val="clear"/>
        <w:bidi w:val="0"/>
        <w:spacing w:before="300" w:after="0"/>
        <w:jc w:val="left"/>
        <w:rPr/>
      </w:pPr>
      <w:r>
        <w:rPr/>
        <w:t>input = input.replace( "%22", "_" );</w:t>
      </w:r>
    </w:p>
    <w:p>
      <w:pPr>
        <w:pStyle w:val="PreformattedText"/>
        <w:pBdr/>
        <w:shd w:fill="F5F5F5" w:val="clear"/>
        <w:bidi w:val="0"/>
        <w:spacing w:before="300" w:after="0"/>
        <w:jc w:val="left"/>
        <w:rPr/>
      </w:pPr>
      <w:r>
        <w:rPr/>
        <w:t>input = input.replace( "%", "_" );</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 xml:space="preserve">    </w:t>
      </w:r>
      <w:r>
        <w:rPr/>
        <w:t>// Remove leading 'a' or 'A' and surrounding spaces.</w:t>
      </w:r>
    </w:p>
    <w:p>
      <w:pPr>
        <w:pStyle w:val="PreformattedText"/>
        <w:pBdr/>
        <w:shd w:fill="F5F5F5" w:val="clear"/>
        <w:bidi w:val="0"/>
        <w:spacing w:before="300" w:after="0"/>
        <w:jc w:val="left"/>
        <w:rPr/>
      </w:pPr>
      <w:r>
        <w:rPr/>
        <w:t>input = input.replaceFirst( "^[ ]+[aA][ ]+"  , "");</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 xml:space="preserve">    </w:t>
      </w:r>
      <w:r>
        <w:rPr/>
        <w:t>// Remove leading 'an' or 'An' and surrounding spaces.</w:t>
      </w:r>
    </w:p>
    <w:p>
      <w:pPr>
        <w:pStyle w:val="PreformattedText"/>
        <w:pBdr/>
        <w:shd w:fill="F5F5F5" w:val="clear"/>
        <w:bidi w:val="0"/>
        <w:spacing w:before="300" w:after="0"/>
        <w:jc w:val="left"/>
        <w:rPr/>
      </w:pPr>
      <w:r>
        <w:rPr/>
        <w:t>input = input.replaceFirst( "^[ ]+[aA]n[ ]+" , "");</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 xml:space="preserve">    </w:t>
      </w:r>
      <w:r>
        <w:rPr/>
        <w:t>// Remove leading 'the' or 'The' and surrounding spaces.</w:t>
      </w:r>
    </w:p>
    <w:p>
      <w:pPr>
        <w:pStyle w:val="PreformattedText"/>
        <w:pBdr/>
        <w:shd w:fill="F5F5F5" w:val="clear"/>
        <w:bidi w:val="0"/>
        <w:spacing w:before="300" w:after="0"/>
        <w:jc w:val="left"/>
        <w:rPr/>
      </w:pPr>
      <w:r>
        <w:rPr/>
        <w:t>input = input.replaceFirst( "^[ ]+[tT]he[ ]+", "");</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input = input.replace(  "'", "" );          //39</w:t>
      </w:r>
    </w:p>
    <w:p>
      <w:pPr>
        <w:pStyle w:val="PreformattedText"/>
        <w:pBdr/>
        <w:shd w:fill="F5F5F5" w:val="clear"/>
        <w:bidi w:val="0"/>
        <w:spacing w:before="300" w:after="0"/>
        <w:jc w:val="left"/>
        <w:rPr/>
      </w:pPr>
      <w:r>
        <w:rPr/>
        <w:t>input = input.replace(  "{", "" );          //123</w:t>
      </w:r>
    </w:p>
    <w:p>
      <w:pPr>
        <w:pStyle w:val="PreformattedText"/>
        <w:pBdr/>
        <w:shd w:fill="F5F5F5" w:val="clear"/>
        <w:bidi w:val="0"/>
        <w:spacing w:before="300" w:after="0"/>
        <w:jc w:val="left"/>
        <w:rPr/>
      </w:pPr>
      <w:r>
        <w:rPr/>
        <w:t>input = input.replace(  "}", "" );          //125</w:t>
      </w:r>
    </w:p>
    <w:p>
      <w:pPr>
        <w:pStyle w:val="PreformattedText"/>
        <w:pBdr/>
        <w:shd w:fill="F5F5F5" w:val="clear"/>
        <w:bidi w:val="0"/>
        <w:spacing w:before="300" w:after="0"/>
        <w:jc w:val="left"/>
        <w:rPr/>
      </w:pPr>
      <w:r>
        <w:rPr/>
        <w:t>input = input.replace(  "&amp;", "and" );       //38</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 Characters replaced with underscore:</w:t>
      </w:r>
    </w:p>
    <w:p>
      <w:pPr>
        <w:pStyle w:val="PreformattedText"/>
        <w:bidi w:val="0"/>
        <w:spacing w:before="300" w:after="283"/>
        <w:jc w:val="left"/>
        <w:rPr/>
      </w:pPr>
      <w:r>
        <w:rPr/>
        <w:t>//  space ! " # $ ( ) * + , - . / : ; &lt; = &gt; ? @ [ \ ] ^ _ ` | ~ (c)</w:t>
      </w:r>
    </w:p>
    <w:p>
      <w:pPr>
        <w:pStyle w:val="Heading3"/>
        <w:bidi w:val="0"/>
        <w:jc w:val="left"/>
        <w:rPr/>
      </w:pPr>
      <w:r>
        <w:rPr/>
        <w:t>stripPuncuation_SPACE( String input )</w:t>
      </w:r>
    </w:p>
    <w:p>
      <w:pPr>
        <w:pStyle w:val="TextBody"/>
        <w:bidi w:val="0"/>
        <w:spacing w:before="0" w:after="283"/>
        <w:jc w:val="left"/>
        <w:rPr/>
      </w:pPr>
      <w:r>
        <w:rPr/>
        <w:t xml:space="preserve">Same as stripPuncuation() except characters are replaced with </w:t>
      </w:r>
      <w:r>
        <w:rPr>
          <w:rStyle w:val="StrongEmphasis"/>
        </w:rPr>
        <w:t>spaces</w:t>
      </w:r>
      <w:r>
        <w:rPr/>
        <w:t xml:space="preserve"> instead of underscores. This is used for the title to handle punctuation at the end of the title.</w:t>
      </w:r>
    </w:p>
    <w:p>
      <w:pPr>
        <w:pStyle w:val="PreformattedText"/>
        <w:pBdr/>
        <w:shd w:fill="F5F5F5" w:val="clear"/>
        <w:bidi w:val="0"/>
        <w:spacing w:before="300" w:after="0"/>
        <w:jc w:val="left"/>
        <w:rPr/>
      </w:pPr>
      <w:r>
        <w:rPr/>
        <w:t>EXAMPLE:</w:t>
      </w:r>
    </w:p>
    <w:p>
      <w:pPr>
        <w:pStyle w:val="PreformattedText"/>
        <w:pBdr/>
        <w:shd w:fill="F5F5F5" w:val="clear"/>
        <w:bidi w:val="0"/>
        <w:spacing w:before="300" w:after="0"/>
        <w:jc w:val="left"/>
        <w:rPr/>
      </w:pPr>
      <w:r>
        <w:rPr/>
        <w:t xml:space="preserve">  </w:t>
      </w:r>
      <w:r>
        <w:rPr/>
        <w:t>stripPuncuation_SPACE( "The law of primitive man /" ).trim()</w:t>
      </w:r>
    </w:p>
    <w:p>
      <w:pPr>
        <w:pStyle w:val="PreformattedText"/>
        <w:pBdr/>
        <w:shd w:fill="F5F5F5" w:val="clear"/>
        <w:bidi w:val="0"/>
        <w:spacing w:before="300" w:after="0"/>
        <w:jc w:val="left"/>
        <w:rPr/>
      </w:pPr>
      <w:r>
        <w:rPr/>
        <w:t xml:space="preserve">  </w:t>
      </w:r>
      <w:r>
        <w:rPr/>
        <w:t>stripPuncuation_SPACE( "The law of primitive man;"  ).trim()</w:t>
      </w:r>
    </w:p>
    <w:p>
      <w:pPr>
        <w:pStyle w:val="PreformattedText"/>
        <w:pBdr/>
        <w:shd w:fill="F5F5F5" w:val="clear"/>
        <w:bidi w:val="0"/>
        <w:spacing w:before="300" w:after="0"/>
        <w:jc w:val="left"/>
        <w:rPr/>
      </w:pPr>
      <w:r>
        <w:rPr/>
        <w:t xml:space="preserve">  </w:t>
      </w:r>
      <w:r>
        <w:rPr/>
        <w:t>stripPuncuation_SPACE( "The law of primitive man : ").trim()</w:t>
      </w:r>
    </w:p>
    <w:p>
      <w:pPr>
        <w:pStyle w:val="PreformattedText"/>
        <w:pBdr/>
        <w:shd w:fill="F5F5F5" w:val="clear"/>
        <w:bidi w:val="0"/>
        <w:spacing w:before="300" w:after="0"/>
        <w:jc w:val="left"/>
        <w:rPr/>
      </w:pPr>
      <w:r>
        <w:rPr/>
      </w:r>
    </w:p>
    <w:p>
      <w:pPr>
        <w:pStyle w:val="PreformattedText"/>
        <w:bidi w:val="0"/>
        <w:spacing w:before="300" w:after="283"/>
        <w:jc w:val="left"/>
        <w:rPr/>
      </w:pPr>
      <w:r>
        <w:rPr/>
        <w:t xml:space="preserve">  </w:t>
      </w:r>
      <w:r>
        <w:rPr/>
        <w:t>All return "The law of primitive man"</w:t>
      </w:r>
    </w:p>
    <w:p>
      <w:pPr>
        <w:pStyle w:val="Heading3"/>
        <w:bidi w:val="0"/>
        <w:jc w:val="left"/>
        <w:rPr/>
      </w:pPr>
      <w:r>
        <w:rPr/>
        <w:t>padWithUnderscores( String input, Integer count )</w:t>
      </w:r>
    </w:p>
    <w:p>
      <w:pPr>
        <w:pStyle w:val="TextBody"/>
        <w:bidi w:val="0"/>
        <w:spacing w:before="0" w:after="283"/>
        <w:jc w:val="left"/>
        <w:rPr/>
      </w:pPr>
      <w:r>
        <w:rPr/>
        <w:t xml:space="preserve">Replace repeating spaces with single space. Replace all spaces with underscores. Convert to lowercase — done here, before the length is measured, so that a character whose lowercase form is longer than itself (Turkish "İ", U+0130, the only one in Unicode) cannot overrun the section width. Trim to </w:t>
      </w:r>
      <w:r>
        <w:rPr>
          <w:rStyle w:val="Emphasis"/>
        </w:rPr>
        <w:t>count</w:t>
      </w:r>
      <w:r>
        <w:rPr/>
        <w:t xml:space="preserve"> characters. If shorter, pad the end with underscores.</w:t>
      </w:r>
    </w:p>
    <w:p>
      <w:pPr>
        <w:pStyle w:val="Heading3"/>
        <w:bidi w:val="0"/>
        <w:jc w:val="left"/>
        <w:rPr/>
      </w:pPr>
      <w:r>
        <w:rPr/>
        <w:t>stripPuncuationAndRemoveAccents( String input )</w:t>
      </w:r>
    </w:p>
    <w:p>
      <w:pPr>
        <w:pStyle w:val="PreformattedText"/>
        <w:pBdr/>
        <w:shd w:fill="F5F5F5" w:val="clear"/>
        <w:bidi w:val="0"/>
        <w:spacing w:before="300" w:after="0"/>
        <w:jc w:val="left"/>
        <w:rPr/>
      </w:pPr>
      <w:r>
        <w:rPr/>
        <w:t>tempString = stripPuncuation( input )</w:t>
      </w:r>
    </w:p>
    <w:p>
      <w:pPr>
        <w:pStyle w:val="PreformattedText"/>
        <w:bidi w:val="0"/>
        <w:spacing w:before="300" w:after="283"/>
        <w:jc w:val="left"/>
        <w:rPr/>
      </w:pPr>
      <w:r>
        <w:rPr/>
        <w:t>output = normalizeStringAndRemoveAccents( tempString )</w:t>
      </w:r>
    </w:p>
    <w:p>
      <w:pPr>
        <w:pStyle w:val="Heading3"/>
        <w:bidi w:val="0"/>
        <w:jc w:val="left"/>
        <w:rPr/>
      </w:pPr>
      <w:r>
        <w:rPr/>
        <w:t>normalizeString( String input )</w:t>
      </w:r>
    </w:p>
    <w:p>
      <w:pPr>
        <w:pStyle w:val="PreformattedText"/>
        <w:bidi w:val="0"/>
        <w:spacing w:before="300" w:after="283"/>
        <w:jc w:val="left"/>
        <w:rPr/>
      </w:pPr>
      <w:r>
        <w:rPr/>
        <w:t>output = java.text.Normalizer.normalize( input, Form.NFD )</w:t>
      </w:r>
    </w:p>
    <w:p>
      <w:pPr>
        <w:pStyle w:val="Heading3"/>
        <w:bidi w:val="0"/>
        <w:jc w:val="left"/>
        <w:rPr/>
      </w:pPr>
      <w:r>
        <w:rPr/>
        <w:t>normalizeStringAndRemoveAccents( String input )</w:t>
      </w:r>
    </w:p>
    <w:p>
      <w:pPr>
        <w:pStyle w:val="PreformattedText"/>
        <w:pBdr/>
        <w:shd w:fill="F5F5F5" w:val="clear"/>
        <w:bidi w:val="0"/>
        <w:spacing w:before="300" w:after="0"/>
        <w:jc w:val="left"/>
        <w:rPr/>
      </w:pPr>
      <w:r>
        <w:rPr/>
        <w:t>output = java.text.Normalizer.normalize( input, Form.NFD )</w:t>
      </w:r>
    </w:p>
    <w:p>
      <w:pPr>
        <w:pStyle w:val="PreformattedText"/>
        <w:bidi w:val="0"/>
        <w:spacing w:before="300" w:after="283"/>
        <w:jc w:val="left"/>
        <w:rPr/>
      </w:pPr>
      <w:r>
        <w:rPr/>
        <w:t xml:space="preserve">            </w:t>
      </w:r>
      <w:r>
        <w:rPr/>
        <w:t>.replaceAll( "\\p{InCombiningDiacriticalMarks}" )</w:t>
      </w:r>
    </w:p>
    <w:p>
      <w:pPr>
        <w:pStyle w:val="Heading3"/>
        <w:bidi w:val="0"/>
        <w:jc w:val="left"/>
        <w:rPr/>
      </w:pPr>
      <w:r>
        <w:rPr/>
        <w:t>getFormatCharacter( Record )</w:t>
      </w:r>
    </w:p>
    <w:p>
      <w:pPr>
        <w:pStyle w:val="TextBody"/>
        <w:bidi w:val="0"/>
        <w:spacing w:before="0" w:after="283"/>
        <w:jc w:val="left"/>
        <w:rPr/>
      </w:pPr>
      <w:r>
        <w:rPr/>
        <w:t>This format character is appended to the matchKey.</w:t>
      </w:r>
    </w:p>
    <w:p>
      <w:pPr>
        <w:pStyle w:val="PreformattedText"/>
        <w:pBdr/>
        <w:shd w:fill="F5F5F5" w:val="clear"/>
        <w:bidi w:val="0"/>
        <w:spacing w:before="300" w:after="0"/>
        <w:jc w:val="left"/>
        <w:rPr/>
      </w:pPr>
      <w:r>
        <w:rPr/>
        <w:t>First check for pre-RDA...</w:t>
      </w:r>
    </w:p>
    <w:p>
      <w:pPr>
        <w:pStyle w:val="PreformattedText"/>
        <w:pBdr/>
        <w:shd w:fill="F5F5F5" w:val="clear"/>
        <w:bidi w:val="0"/>
        <w:spacing w:before="300" w:after="0"/>
        <w:jc w:val="left"/>
        <w:rPr/>
      </w:pPr>
      <w:r>
        <w:rPr/>
        <w:t xml:space="preserve">  </w:t>
      </w:r>
      <w:r>
        <w:rPr/>
        <w:t>if ( 245$h contains "electronic resource"</w:t>
      </w:r>
    </w:p>
    <w:p>
      <w:pPr>
        <w:pStyle w:val="PreformattedText"/>
        <w:pBdr/>
        <w:shd w:fill="F5F5F5" w:val="clear"/>
        <w:bidi w:val="0"/>
        <w:spacing w:before="300" w:after="0"/>
        <w:jc w:val="left"/>
        <w:rPr/>
      </w:pPr>
      <w:r>
        <w:rPr/>
        <w:t xml:space="preserve">    </w:t>
      </w:r>
      <w:r>
        <w:rPr/>
        <w:t>OR 590$a contains "electronic reproduction"</w:t>
      </w:r>
    </w:p>
    <w:p>
      <w:pPr>
        <w:pStyle w:val="PreformattedText"/>
        <w:pBdr/>
        <w:shd w:fill="F5F5F5" w:val="clear"/>
        <w:bidi w:val="0"/>
        <w:spacing w:before="300" w:after="0"/>
        <w:jc w:val="left"/>
        <w:rPr/>
      </w:pPr>
      <w:r>
        <w:rPr/>
        <w:t xml:space="preserve">    </w:t>
      </w:r>
      <w:r>
        <w:rPr/>
        <w:t>OR 533$a contains "electronic reproduction"</w:t>
      </w:r>
    </w:p>
    <w:p>
      <w:pPr>
        <w:pStyle w:val="PreformattedText"/>
        <w:pBdr/>
        <w:shd w:fill="F5F5F5" w:val="clear"/>
        <w:bidi w:val="0"/>
        <w:spacing w:before="300" w:after="0"/>
        <w:jc w:val="left"/>
        <w:rPr/>
      </w:pPr>
      <w:r>
        <w:rPr/>
        <w:t xml:space="preserve">    </w:t>
      </w:r>
      <w:r>
        <w:rPr/>
        <w:t>OR 300$a contains "online resource"</w:t>
      </w:r>
    </w:p>
    <w:p>
      <w:pPr>
        <w:pStyle w:val="PreformattedText"/>
        <w:pBdr/>
        <w:shd w:fill="F5F5F5" w:val="clear"/>
        <w:bidi w:val="0"/>
        <w:spacing w:before="300" w:after="0"/>
        <w:jc w:val="left"/>
        <w:rPr/>
      </w:pPr>
      <w:r>
        <w:rPr/>
        <w:t xml:space="preserve">    </w:t>
      </w:r>
      <w:r>
        <w:rPr/>
        <w:t>OR control field 007 starts with 'C' )  return 'e'</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Next check for RDA...</w:t>
      </w:r>
    </w:p>
    <w:p>
      <w:pPr>
        <w:pStyle w:val="PreformattedText"/>
        <w:pBdr/>
        <w:shd w:fill="F5F5F5" w:val="clear"/>
        <w:bidi w:val="0"/>
        <w:spacing w:before="300" w:after="0"/>
        <w:jc w:val="left"/>
        <w:rPr/>
      </w:pPr>
      <w:r>
        <w:rPr/>
        <w:t xml:space="preserve">  </w:t>
      </w:r>
      <w:r>
        <w:rPr/>
        <w:t>if ( 337$a starts with 'c' )  return 'e'</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Next check for electronic government document...</w:t>
      </w:r>
    </w:p>
    <w:p>
      <w:pPr>
        <w:pStyle w:val="PreformattedText"/>
        <w:pBdr/>
        <w:shd w:fill="F5F5F5" w:val="clear"/>
        <w:bidi w:val="0"/>
        <w:spacing w:before="300" w:after="0"/>
        <w:jc w:val="left"/>
        <w:rPr/>
      </w:pPr>
      <w:r>
        <w:rPr/>
        <w:t xml:space="preserve">  </w:t>
      </w:r>
      <w:r>
        <w:rPr/>
        <w:t>if ( 086 not null AND 856 not null )  return 'e'</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Next check MARC file name...</w:t>
      </w:r>
    </w:p>
    <w:p>
      <w:pPr>
        <w:pStyle w:val="PreformattedText"/>
        <w:pBdr/>
        <w:shd w:fill="F5F5F5" w:val="clear"/>
        <w:bidi w:val="0"/>
        <w:spacing w:before="300" w:after="0"/>
        <w:jc w:val="left"/>
        <w:rPr/>
      </w:pPr>
      <w:r>
        <w:rPr/>
        <w:t xml:space="preserve">  </w:t>
      </w:r>
      <w:r>
        <w:rPr/>
        <w:t>if ( file name contains "electronic" or "ebook" )  record 'Electronic'</w:t>
      </w:r>
    </w:p>
    <w:p>
      <w:pPr>
        <w:pStyle w:val="PreformattedText"/>
        <w:pBdr/>
        <w:shd w:fill="F5F5F5" w:val="clear"/>
        <w:bidi w:val="0"/>
        <w:spacing w:before="300" w:after="0"/>
        <w:jc w:val="left"/>
        <w:rPr/>
      </w:pPr>
      <w:r>
        <w:rPr/>
        <w:t xml:space="preserve">  </w:t>
      </w:r>
      <w:r>
        <w:rPr/>
        <w:t>if ( file name contains "physical" or "print" )  remove 'Electronic', return 'p'</w:t>
      </w:r>
    </w:p>
    <w:p>
      <w:pPr>
        <w:pStyle w:val="PreformattedText"/>
        <w:pBdr/>
        <w:shd w:fill="F5F5F5" w:val="clear"/>
        <w:bidi w:val="0"/>
        <w:spacing w:before="300" w:after="0"/>
        <w:jc w:val="left"/>
        <w:rPr/>
      </w:pPr>
      <w:r>
        <w:rPr/>
      </w:r>
    </w:p>
    <w:p>
      <w:pPr>
        <w:pStyle w:val="PreformattedText"/>
        <w:pBdr/>
        <w:shd w:fill="F5F5F5" w:val="clear"/>
        <w:bidi w:val="0"/>
        <w:spacing w:before="300" w:after="0"/>
        <w:jc w:val="left"/>
        <w:rPr/>
      </w:pPr>
      <w:r>
        <w:rPr/>
        <w:t>if ( format contains 'Electronic' )  return 'e'</w:t>
      </w:r>
    </w:p>
    <w:p>
      <w:pPr>
        <w:pStyle w:val="PreformattedText"/>
        <w:bidi w:val="0"/>
        <w:spacing w:before="300" w:after="283"/>
        <w:jc w:val="left"/>
        <w:rPr/>
      </w:pPr>
      <w:r>
        <w:rPr/>
        <w:t>otherwise  return 'p'</w:t>
      </w:r>
    </w:p>
    <w:p>
      <w:pPr>
        <w:pStyle w:val="Heading2"/>
        <w:bidi w:val="0"/>
        <w:jc w:val="left"/>
        <w:rPr/>
      </w:pPr>
      <w:r>
        <w:rPr/>
        <w:t>Match Key Example</w:t>
      </w:r>
    </w:p>
    <w:p>
      <w:pPr>
        <w:pStyle w:val="TextBody"/>
        <w:bidi w:val="0"/>
        <w:spacing w:before="225" w:after="225"/>
        <w:ind w:left="225" w:right="225" w:hanging="0"/>
        <w:jc w:val="left"/>
        <w:rPr/>
      </w:pPr>
      <w:r>
        <w:rPr>
          <w:rStyle w:val="StrongEmphasis"/>
          <w:shd w:fill="F0F8FF" w:val="clear"/>
        </w:rPr>
        <w:t>Generated matchkey:</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americancounciloflearnedsocietiesannualreportfortheyears20062007and20052006_____________________2008________distra________________________________________ameri____________________________v08142026e</w:t>
      </w:r>
    </w:p>
    <w:p>
      <w:pPr>
        <w:pStyle w:val="TextBody"/>
        <w:bidi w:val="0"/>
        <w:spacing w:before="225" w:after="225"/>
        <w:ind w:left="225" w:right="225" w:hanging="0"/>
        <w:jc w:val="left"/>
        <w:rPr/>
      </w:pPr>
      <w:r>
        <w:rPr>
          <w:rStyle w:val="StrongEmphasis"/>
          <w:shd w:fill="F0F8FF" w:val="clear"/>
        </w:rPr>
        <w:t>Key breakdown:</w:t>
      </w:r>
    </w:p>
    <w:tbl>
      <w:tblPr>
        <w:tblW w:w="12318" w:type="dxa"/>
        <w:jc w:val="left"/>
        <w:tblInd w:w="225" w:type="dxa"/>
        <w:tblLayout w:type="fixed"/>
        <w:tblCellMar>
          <w:top w:w="28" w:type="dxa"/>
          <w:left w:w="28" w:type="dxa"/>
          <w:bottom w:w="28" w:type="dxa"/>
          <w:right w:w="28" w:type="dxa"/>
        </w:tblCellMar>
      </w:tblPr>
      <w:tblGrid>
        <w:gridCol w:w="1771"/>
        <w:gridCol w:w="1096"/>
        <w:gridCol w:w="9451"/>
      </w:tblGrid>
      <w:tr>
        <w:trPr/>
        <w:tc>
          <w:tcPr>
            <w:tcW w:w="1771" w:type="dxa"/>
            <w:tcBorders/>
            <w:vAlign w:val="center"/>
          </w:tcPr>
          <w:p>
            <w:pPr>
              <w:pStyle w:val="TableHeading"/>
              <w:suppressLineNumbers/>
              <w:shd w:fill="F0F0F0" w:val="clear"/>
              <w:bidi w:val="0"/>
              <w:spacing w:before="0" w:after="283"/>
              <w:jc w:val="left"/>
              <w:rPr/>
            </w:pPr>
            <w:r>
              <w:rPr/>
              <w:t>Component</w:t>
            </w:r>
          </w:p>
        </w:tc>
        <w:tc>
          <w:tcPr>
            <w:tcW w:w="1096" w:type="dxa"/>
            <w:tcBorders/>
            <w:vAlign w:val="center"/>
          </w:tcPr>
          <w:p>
            <w:pPr>
              <w:pStyle w:val="TableHeading"/>
              <w:suppressLineNumbers/>
              <w:shd w:fill="F0F0F0" w:val="clear"/>
              <w:bidi w:val="0"/>
              <w:spacing w:before="0" w:after="283"/>
              <w:jc w:val="left"/>
              <w:rPr/>
            </w:pPr>
            <w:r>
              <w:rPr/>
              <w:t>Chars</w:t>
            </w:r>
          </w:p>
        </w:tc>
        <w:tc>
          <w:tcPr>
            <w:tcW w:w="9451" w:type="dxa"/>
            <w:tcBorders/>
            <w:vAlign w:val="center"/>
          </w:tcPr>
          <w:p>
            <w:pPr>
              <w:pStyle w:val="TableHeading"/>
              <w:suppressLineNumbers/>
              <w:shd w:fill="F0F0F0" w:val="clear"/>
              <w:bidi w:val="0"/>
              <w:spacing w:before="0" w:after="283"/>
              <w:jc w:val="left"/>
              <w:rPr/>
            </w:pPr>
            <w:r>
              <w:rPr/>
              <w:t>Value</w:t>
            </w:r>
          </w:p>
        </w:tc>
      </w:tr>
      <w:tr>
        <w:trPr/>
        <w:tc>
          <w:tcPr>
            <w:tcW w:w="1771" w:type="dxa"/>
            <w:tcBorders/>
            <w:vAlign w:val="center"/>
          </w:tcPr>
          <w:p>
            <w:pPr>
              <w:pStyle w:val="TableContents"/>
              <w:bidi w:val="0"/>
              <w:spacing w:before="0" w:after="283"/>
              <w:jc w:val="left"/>
              <w:rPr/>
            </w:pPr>
            <w:r>
              <w:rPr/>
              <w:t>Title</w:t>
            </w:r>
          </w:p>
        </w:tc>
        <w:tc>
          <w:tcPr>
            <w:tcW w:w="1096" w:type="dxa"/>
            <w:tcBorders/>
            <w:vAlign w:val="center"/>
          </w:tcPr>
          <w:p>
            <w:pPr>
              <w:pStyle w:val="TableContents"/>
              <w:bidi w:val="0"/>
              <w:spacing w:before="0" w:after="283"/>
              <w:jc w:val="left"/>
              <w:rPr/>
            </w:pPr>
            <w:r>
              <w:rPr/>
              <w:t>95</w:t>
            </w:r>
          </w:p>
        </w:tc>
        <w:tc>
          <w:tcPr>
            <w:tcW w:w="9451" w:type="dxa"/>
            <w:tcBorders/>
            <w:vAlign w:val="center"/>
          </w:tcPr>
          <w:p>
            <w:pPr>
              <w:pStyle w:val="TableContents"/>
              <w:bidi w:val="0"/>
              <w:spacing w:before="0" w:after="283"/>
              <w:jc w:val="left"/>
              <w:rPr/>
            </w:pPr>
            <w:r>
              <w:rPr>
                <w:rStyle w:val="SourceText"/>
              </w:rPr>
              <w:t>americancounciloflearnedsocietiesannualreportfortheyears20062007and20052006_____________________</w:t>
            </w:r>
          </w:p>
        </w:tc>
      </w:tr>
      <w:tr>
        <w:trPr/>
        <w:tc>
          <w:tcPr>
            <w:tcW w:w="1771" w:type="dxa"/>
            <w:tcBorders/>
            <w:vAlign w:val="center"/>
          </w:tcPr>
          <w:p>
            <w:pPr>
              <w:pStyle w:val="TableContents"/>
              <w:bidi w:val="0"/>
              <w:spacing w:before="0" w:after="283"/>
              <w:jc w:val="left"/>
              <w:rPr/>
            </w:pPr>
            <w:r>
              <w:rPr/>
              <w:t>GMD</w:t>
            </w:r>
          </w:p>
        </w:tc>
        <w:tc>
          <w:tcPr>
            <w:tcW w:w="1096" w:type="dxa"/>
            <w:tcBorders/>
            <w:vAlign w:val="center"/>
          </w:tcPr>
          <w:p>
            <w:pPr>
              <w:pStyle w:val="TableContents"/>
              <w:bidi w:val="0"/>
              <w:spacing w:before="0" w:after="283"/>
              <w:jc w:val="left"/>
              <w:rPr/>
            </w:pPr>
            <w:r>
              <w:rPr/>
              <w:t>5</w:t>
            </w:r>
          </w:p>
        </w:tc>
        <w:tc>
          <w:tcPr>
            <w:tcW w:w="9451" w:type="dxa"/>
            <w:tcBorders/>
            <w:vAlign w:val="center"/>
          </w:tcPr>
          <w:p>
            <w:pPr>
              <w:pStyle w:val="TableContents"/>
              <w:bidi w:val="0"/>
              <w:spacing w:before="0" w:after="283"/>
              <w:jc w:val="left"/>
              <w:rPr/>
            </w:pPr>
            <w:r>
              <w:rPr>
                <w:rStyle w:val="SourceText"/>
              </w:rPr>
              <w:t>_____</w:t>
            </w:r>
            <w:r>
              <w:rPr/>
              <w:t xml:space="preserve"> (disabled)</w:t>
            </w:r>
          </w:p>
        </w:tc>
      </w:tr>
      <w:tr>
        <w:trPr/>
        <w:tc>
          <w:tcPr>
            <w:tcW w:w="1771" w:type="dxa"/>
            <w:tcBorders/>
            <w:vAlign w:val="center"/>
          </w:tcPr>
          <w:p>
            <w:pPr>
              <w:pStyle w:val="TableContents"/>
              <w:bidi w:val="0"/>
              <w:spacing w:before="0" w:after="283"/>
              <w:jc w:val="left"/>
              <w:rPr/>
            </w:pPr>
            <w:r>
              <w:rPr/>
              <w:t>Pub Year</w:t>
            </w:r>
          </w:p>
        </w:tc>
        <w:tc>
          <w:tcPr>
            <w:tcW w:w="1096" w:type="dxa"/>
            <w:tcBorders/>
            <w:vAlign w:val="center"/>
          </w:tcPr>
          <w:p>
            <w:pPr>
              <w:pStyle w:val="TableContents"/>
              <w:bidi w:val="0"/>
              <w:spacing w:before="0" w:after="283"/>
              <w:jc w:val="left"/>
              <w:rPr/>
            </w:pPr>
            <w:r>
              <w:rPr/>
              <w:t>4</w:t>
            </w:r>
          </w:p>
        </w:tc>
        <w:tc>
          <w:tcPr>
            <w:tcW w:w="9451" w:type="dxa"/>
            <w:tcBorders/>
            <w:vAlign w:val="center"/>
          </w:tcPr>
          <w:p>
            <w:pPr>
              <w:pStyle w:val="TableContents"/>
              <w:bidi w:val="0"/>
              <w:spacing w:before="0" w:after="283"/>
              <w:jc w:val="left"/>
              <w:rPr/>
            </w:pPr>
            <w:r>
              <w:rPr>
                <w:rStyle w:val="SourceText"/>
              </w:rPr>
              <w:t>2008</w:t>
            </w:r>
          </w:p>
        </w:tc>
      </w:tr>
      <w:tr>
        <w:trPr/>
        <w:tc>
          <w:tcPr>
            <w:tcW w:w="1771" w:type="dxa"/>
            <w:tcBorders/>
            <w:vAlign w:val="center"/>
          </w:tcPr>
          <w:p>
            <w:pPr>
              <w:pStyle w:val="TableContents"/>
              <w:bidi w:val="0"/>
              <w:spacing w:before="0" w:after="283"/>
              <w:jc w:val="left"/>
              <w:rPr/>
            </w:pPr>
            <w:r>
              <w:rPr/>
              <w:t>Pagination</w:t>
            </w:r>
          </w:p>
        </w:tc>
        <w:tc>
          <w:tcPr>
            <w:tcW w:w="1096" w:type="dxa"/>
            <w:tcBorders/>
            <w:vAlign w:val="center"/>
          </w:tcPr>
          <w:p>
            <w:pPr>
              <w:pStyle w:val="TableContents"/>
              <w:bidi w:val="0"/>
              <w:spacing w:before="0" w:after="283"/>
              <w:jc w:val="left"/>
              <w:rPr/>
            </w:pPr>
            <w:r>
              <w:rPr/>
              <w:t>4</w:t>
            </w:r>
          </w:p>
        </w:tc>
        <w:tc>
          <w:tcPr>
            <w:tcW w:w="9451" w:type="dxa"/>
            <w:tcBorders/>
            <w:vAlign w:val="center"/>
          </w:tcPr>
          <w:p>
            <w:pPr>
              <w:pStyle w:val="TableContents"/>
              <w:bidi w:val="0"/>
              <w:spacing w:before="0" w:after="283"/>
              <w:jc w:val="left"/>
              <w:rPr/>
            </w:pPr>
            <w:r>
              <w:rPr>
                <w:rStyle w:val="SourceText"/>
              </w:rPr>
              <w:t>____</w:t>
            </w:r>
          </w:p>
        </w:tc>
      </w:tr>
      <w:tr>
        <w:trPr/>
        <w:tc>
          <w:tcPr>
            <w:tcW w:w="1771" w:type="dxa"/>
            <w:tcBorders/>
            <w:vAlign w:val="center"/>
          </w:tcPr>
          <w:p>
            <w:pPr>
              <w:pStyle w:val="TableContents"/>
              <w:bidi w:val="0"/>
              <w:spacing w:before="0" w:after="283"/>
              <w:jc w:val="left"/>
              <w:rPr/>
            </w:pPr>
            <w:r>
              <w:rPr/>
              <w:t>Edition</w:t>
            </w:r>
          </w:p>
        </w:tc>
        <w:tc>
          <w:tcPr>
            <w:tcW w:w="1096" w:type="dxa"/>
            <w:tcBorders/>
            <w:vAlign w:val="center"/>
          </w:tcPr>
          <w:p>
            <w:pPr>
              <w:pStyle w:val="TableContents"/>
              <w:bidi w:val="0"/>
              <w:spacing w:before="0" w:after="283"/>
              <w:jc w:val="left"/>
              <w:rPr/>
            </w:pPr>
            <w:r>
              <w:rPr/>
              <w:t>3</w:t>
            </w:r>
          </w:p>
        </w:tc>
        <w:tc>
          <w:tcPr>
            <w:tcW w:w="9451" w:type="dxa"/>
            <w:tcBorders/>
            <w:vAlign w:val="center"/>
          </w:tcPr>
          <w:p>
            <w:pPr>
              <w:pStyle w:val="TableContents"/>
              <w:bidi w:val="0"/>
              <w:spacing w:before="0" w:after="283"/>
              <w:jc w:val="left"/>
              <w:rPr/>
            </w:pPr>
            <w:r>
              <w:rPr>
                <w:rStyle w:val="SourceText"/>
              </w:rPr>
              <w:t>___</w:t>
            </w:r>
          </w:p>
        </w:tc>
      </w:tr>
      <w:tr>
        <w:trPr/>
        <w:tc>
          <w:tcPr>
            <w:tcW w:w="1771" w:type="dxa"/>
            <w:tcBorders/>
            <w:vAlign w:val="center"/>
          </w:tcPr>
          <w:p>
            <w:pPr>
              <w:pStyle w:val="TableContents"/>
              <w:bidi w:val="0"/>
              <w:spacing w:before="0" w:after="283"/>
              <w:jc w:val="left"/>
              <w:rPr/>
            </w:pPr>
            <w:r>
              <w:rPr/>
              <w:t>Publisher</w:t>
            </w:r>
          </w:p>
        </w:tc>
        <w:tc>
          <w:tcPr>
            <w:tcW w:w="1096" w:type="dxa"/>
            <w:tcBorders/>
            <w:vAlign w:val="center"/>
          </w:tcPr>
          <w:p>
            <w:pPr>
              <w:pStyle w:val="TableContents"/>
              <w:bidi w:val="0"/>
              <w:spacing w:before="0" w:after="283"/>
              <w:jc w:val="left"/>
              <w:rPr/>
            </w:pPr>
            <w:r>
              <w:rPr/>
              <w:t>5</w:t>
            </w:r>
          </w:p>
        </w:tc>
        <w:tc>
          <w:tcPr>
            <w:tcW w:w="9451" w:type="dxa"/>
            <w:tcBorders/>
            <w:vAlign w:val="center"/>
          </w:tcPr>
          <w:p>
            <w:pPr>
              <w:pStyle w:val="TableContents"/>
              <w:bidi w:val="0"/>
              <w:spacing w:before="0" w:after="283"/>
              <w:jc w:val="left"/>
              <w:rPr/>
            </w:pPr>
            <w:r>
              <w:rPr>
                <w:rStyle w:val="SourceText"/>
              </w:rPr>
              <w:t>distr</w:t>
            </w:r>
          </w:p>
        </w:tc>
      </w:tr>
      <w:tr>
        <w:trPr/>
        <w:tc>
          <w:tcPr>
            <w:tcW w:w="1771" w:type="dxa"/>
            <w:tcBorders/>
            <w:vAlign w:val="center"/>
          </w:tcPr>
          <w:p>
            <w:pPr>
              <w:pStyle w:val="TableContents"/>
              <w:bidi w:val="0"/>
              <w:spacing w:before="0" w:after="283"/>
              <w:jc w:val="left"/>
              <w:rPr/>
            </w:pPr>
            <w:r>
              <w:rPr/>
              <w:t>Type</w:t>
            </w:r>
          </w:p>
        </w:tc>
        <w:tc>
          <w:tcPr>
            <w:tcW w:w="1096" w:type="dxa"/>
            <w:tcBorders/>
            <w:vAlign w:val="center"/>
          </w:tcPr>
          <w:p>
            <w:pPr>
              <w:pStyle w:val="TableContents"/>
              <w:bidi w:val="0"/>
              <w:spacing w:before="0" w:after="283"/>
              <w:jc w:val="left"/>
              <w:rPr/>
            </w:pPr>
            <w:r>
              <w:rPr/>
              <w:t>1</w:t>
            </w:r>
          </w:p>
        </w:tc>
        <w:tc>
          <w:tcPr>
            <w:tcW w:w="9451" w:type="dxa"/>
            <w:tcBorders/>
            <w:vAlign w:val="center"/>
          </w:tcPr>
          <w:p>
            <w:pPr>
              <w:pStyle w:val="TableContents"/>
              <w:bidi w:val="0"/>
              <w:spacing w:before="0" w:after="283"/>
              <w:jc w:val="left"/>
              <w:rPr/>
            </w:pPr>
            <w:r>
              <w:rPr>
                <w:rStyle w:val="SourceText"/>
              </w:rPr>
              <w:t>a</w:t>
            </w:r>
          </w:p>
        </w:tc>
      </w:tr>
      <w:tr>
        <w:trPr/>
        <w:tc>
          <w:tcPr>
            <w:tcW w:w="1771" w:type="dxa"/>
            <w:tcBorders/>
            <w:vAlign w:val="center"/>
          </w:tcPr>
          <w:p>
            <w:pPr>
              <w:pStyle w:val="TableContents"/>
              <w:bidi w:val="0"/>
              <w:spacing w:before="0" w:after="283"/>
              <w:jc w:val="left"/>
              <w:rPr/>
            </w:pPr>
            <w:r>
              <w:rPr/>
              <w:t>Title Part</w:t>
            </w:r>
          </w:p>
        </w:tc>
        <w:tc>
          <w:tcPr>
            <w:tcW w:w="1096" w:type="dxa"/>
            <w:tcBorders/>
            <w:vAlign w:val="center"/>
          </w:tcPr>
          <w:p>
            <w:pPr>
              <w:pStyle w:val="TableContents"/>
              <w:bidi w:val="0"/>
              <w:spacing w:before="0" w:after="283"/>
              <w:jc w:val="left"/>
              <w:rPr/>
            </w:pPr>
            <w:r>
              <w:rPr/>
              <w:t>30</w:t>
            </w:r>
          </w:p>
        </w:tc>
        <w:tc>
          <w:tcPr>
            <w:tcW w:w="9451" w:type="dxa"/>
            <w:tcBorders/>
            <w:vAlign w:val="center"/>
          </w:tcPr>
          <w:p>
            <w:pPr>
              <w:pStyle w:val="TableContents"/>
              <w:bidi w:val="0"/>
              <w:spacing w:before="0" w:after="283"/>
              <w:jc w:val="left"/>
              <w:rPr/>
            </w:pPr>
            <w:r>
              <w:rPr>
                <w:rStyle w:val="SourceText"/>
              </w:rPr>
              <w:t>______________________________</w:t>
            </w:r>
          </w:p>
        </w:tc>
      </w:tr>
      <w:tr>
        <w:trPr/>
        <w:tc>
          <w:tcPr>
            <w:tcW w:w="1771" w:type="dxa"/>
            <w:tcBorders/>
            <w:vAlign w:val="center"/>
          </w:tcPr>
          <w:p>
            <w:pPr>
              <w:pStyle w:val="TableContents"/>
              <w:bidi w:val="0"/>
              <w:spacing w:before="0" w:after="283"/>
              <w:jc w:val="left"/>
              <w:rPr/>
            </w:pPr>
            <w:r>
              <w:rPr/>
              <w:t>Title Number</w:t>
            </w:r>
          </w:p>
        </w:tc>
        <w:tc>
          <w:tcPr>
            <w:tcW w:w="1096" w:type="dxa"/>
            <w:tcBorders/>
            <w:vAlign w:val="center"/>
          </w:tcPr>
          <w:p>
            <w:pPr>
              <w:pStyle w:val="TableContents"/>
              <w:bidi w:val="0"/>
              <w:spacing w:before="0" w:after="283"/>
              <w:jc w:val="left"/>
              <w:rPr/>
            </w:pPr>
            <w:r>
              <w:rPr/>
              <w:t>10</w:t>
            </w:r>
          </w:p>
        </w:tc>
        <w:tc>
          <w:tcPr>
            <w:tcW w:w="9451" w:type="dxa"/>
            <w:tcBorders/>
            <w:vAlign w:val="center"/>
          </w:tcPr>
          <w:p>
            <w:pPr>
              <w:pStyle w:val="TableContents"/>
              <w:bidi w:val="0"/>
              <w:spacing w:before="0" w:after="283"/>
              <w:jc w:val="left"/>
              <w:rPr/>
            </w:pPr>
            <w:r>
              <w:rPr>
                <w:rStyle w:val="SourceText"/>
              </w:rPr>
              <w:t>__________</w:t>
            </w:r>
          </w:p>
        </w:tc>
      </w:tr>
      <w:tr>
        <w:trPr/>
        <w:tc>
          <w:tcPr>
            <w:tcW w:w="1771" w:type="dxa"/>
            <w:tcBorders/>
            <w:vAlign w:val="center"/>
          </w:tcPr>
          <w:p>
            <w:pPr>
              <w:pStyle w:val="TableContents"/>
              <w:bidi w:val="0"/>
              <w:spacing w:before="0" w:after="283"/>
              <w:jc w:val="left"/>
              <w:rPr/>
            </w:pPr>
            <w:r>
              <w:rPr/>
              <w:t>Author</w:t>
            </w:r>
          </w:p>
        </w:tc>
        <w:tc>
          <w:tcPr>
            <w:tcW w:w="1096" w:type="dxa"/>
            <w:tcBorders/>
            <w:vAlign w:val="center"/>
          </w:tcPr>
          <w:p>
            <w:pPr>
              <w:pStyle w:val="TableContents"/>
              <w:bidi w:val="0"/>
              <w:spacing w:before="0" w:after="283"/>
              <w:jc w:val="left"/>
              <w:rPr/>
            </w:pPr>
            <w:r>
              <w:rPr/>
              <w:t>5</w:t>
            </w:r>
          </w:p>
        </w:tc>
        <w:tc>
          <w:tcPr>
            <w:tcW w:w="9451" w:type="dxa"/>
            <w:tcBorders/>
            <w:vAlign w:val="center"/>
          </w:tcPr>
          <w:p>
            <w:pPr>
              <w:pStyle w:val="TableContents"/>
              <w:bidi w:val="0"/>
              <w:spacing w:before="0" w:after="283"/>
              <w:jc w:val="left"/>
              <w:rPr/>
            </w:pPr>
            <w:r>
              <w:rPr>
                <w:rStyle w:val="SourceText"/>
              </w:rPr>
              <w:t>ameri</w:t>
            </w:r>
          </w:p>
        </w:tc>
      </w:tr>
      <w:tr>
        <w:trPr/>
        <w:tc>
          <w:tcPr>
            <w:tcW w:w="1771" w:type="dxa"/>
            <w:tcBorders/>
            <w:vAlign w:val="center"/>
          </w:tcPr>
          <w:p>
            <w:pPr>
              <w:pStyle w:val="TableContents"/>
              <w:bidi w:val="0"/>
              <w:spacing w:before="0" w:after="283"/>
              <w:jc w:val="left"/>
              <w:rPr/>
            </w:pPr>
            <w:r>
              <w:rPr/>
              <w:t>Title Dates</w:t>
            </w:r>
          </w:p>
        </w:tc>
        <w:tc>
          <w:tcPr>
            <w:tcW w:w="1096" w:type="dxa"/>
            <w:tcBorders/>
            <w:vAlign w:val="center"/>
          </w:tcPr>
          <w:p>
            <w:pPr>
              <w:pStyle w:val="TableContents"/>
              <w:bidi w:val="0"/>
              <w:spacing w:before="0" w:after="283"/>
              <w:jc w:val="left"/>
              <w:rPr/>
            </w:pPr>
            <w:r>
              <w:rPr/>
              <w:t>15</w:t>
            </w:r>
          </w:p>
        </w:tc>
        <w:tc>
          <w:tcPr>
            <w:tcW w:w="9451" w:type="dxa"/>
            <w:tcBorders/>
            <w:vAlign w:val="center"/>
          </w:tcPr>
          <w:p>
            <w:pPr>
              <w:pStyle w:val="TableContents"/>
              <w:bidi w:val="0"/>
              <w:spacing w:before="0" w:after="283"/>
              <w:jc w:val="left"/>
              <w:rPr/>
            </w:pPr>
            <w:r>
              <w:rPr>
                <w:rStyle w:val="SourceText"/>
              </w:rPr>
              <w:t>_______________</w:t>
            </w:r>
          </w:p>
        </w:tc>
      </w:tr>
      <w:tr>
        <w:trPr/>
        <w:tc>
          <w:tcPr>
            <w:tcW w:w="1771" w:type="dxa"/>
            <w:tcBorders/>
            <w:shd w:fill="EEFFEE" w:val="clear"/>
            <w:vAlign w:val="center"/>
          </w:tcPr>
          <w:p>
            <w:pPr>
              <w:pStyle w:val="TableContents"/>
              <w:bidi w:val="0"/>
              <w:spacing w:before="0" w:after="283"/>
              <w:jc w:val="left"/>
              <w:rPr/>
            </w:pPr>
            <w:r>
              <w:rPr/>
              <w:t>Version</w:t>
            </w:r>
          </w:p>
        </w:tc>
        <w:tc>
          <w:tcPr>
            <w:tcW w:w="1096" w:type="dxa"/>
            <w:tcBorders/>
            <w:shd w:fill="EEFFEE" w:val="clear"/>
            <w:vAlign w:val="center"/>
          </w:tcPr>
          <w:p>
            <w:pPr>
              <w:pStyle w:val="TableContents"/>
              <w:bidi w:val="0"/>
              <w:spacing w:before="0" w:after="283"/>
              <w:jc w:val="left"/>
              <w:rPr/>
            </w:pPr>
            <w:r>
              <w:rPr/>
              <w:t>10</w:t>
            </w:r>
          </w:p>
        </w:tc>
        <w:tc>
          <w:tcPr>
            <w:tcW w:w="9451" w:type="dxa"/>
            <w:tcBorders/>
            <w:shd w:fill="EEFFEE" w:val="clear"/>
            <w:vAlign w:val="center"/>
          </w:tcPr>
          <w:p>
            <w:pPr>
              <w:pStyle w:val="TableContents"/>
              <w:bidi w:val="0"/>
              <w:spacing w:before="0" w:after="283"/>
              <w:jc w:val="left"/>
              <w:rPr/>
            </w:pPr>
            <w:r>
              <w:rPr>
                <w:rStyle w:val="SourceText"/>
              </w:rPr>
              <w:t>_v08142026</w:t>
            </w:r>
          </w:p>
        </w:tc>
      </w:tr>
      <w:tr>
        <w:trPr/>
        <w:tc>
          <w:tcPr>
            <w:tcW w:w="1771" w:type="dxa"/>
            <w:tcBorders/>
            <w:vAlign w:val="center"/>
          </w:tcPr>
          <w:p>
            <w:pPr>
              <w:pStyle w:val="TableContents"/>
              <w:bidi w:val="0"/>
              <w:spacing w:before="0" w:after="283"/>
              <w:jc w:val="left"/>
              <w:rPr/>
            </w:pPr>
            <w:r>
              <w:rPr/>
              <w:t>Format</w:t>
            </w:r>
          </w:p>
        </w:tc>
        <w:tc>
          <w:tcPr>
            <w:tcW w:w="1096" w:type="dxa"/>
            <w:tcBorders/>
            <w:vAlign w:val="center"/>
          </w:tcPr>
          <w:p>
            <w:pPr>
              <w:pStyle w:val="TableContents"/>
              <w:bidi w:val="0"/>
              <w:spacing w:before="0" w:after="283"/>
              <w:jc w:val="left"/>
              <w:rPr/>
            </w:pPr>
            <w:r>
              <w:rPr/>
              <w:t>1</w:t>
            </w:r>
          </w:p>
        </w:tc>
        <w:tc>
          <w:tcPr>
            <w:tcW w:w="9451" w:type="dxa"/>
            <w:tcBorders/>
            <w:vAlign w:val="center"/>
          </w:tcPr>
          <w:p>
            <w:pPr>
              <w:pStyle w:val="TableContents"/>
              <w:bidi w:val="0"/>
              <w:spacing w:before="0" w:after="283"/>
              <w:jc w:val="left"/>
              <w:rPr/>
            </w:pPr>
            <w:r>
              <w:rPr>
                <w:rStyle w:val="SourceText"/>
              </w:rPr>
              <w:t>e</w:t>
            </w:r>
          </w:p>
        </w:tc>
      </w:tr>
    </w:tbl>
    <w:p>
      <w:pPr>
        <w:pStyle w:val="TextBody"/>
        <w:bidi w:val="0"/>
        <w:spacing w:before="225" w:after="225"/>
        <w:ind w:left="225" w:right="225" w:hanging="0"/>
        <w:jc w:val="left"/>
        <w:rPr/>
      </w:pPr>
      <w:r>
        <w:rPr>
          <w:rStyle w:val="StrongEmphasis"/>
          <w:shd w:fill="F0F8FF" w:val="clear"/>
        </w:rPr>
        <w:t>Source MARC record:</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000   02801nam a22005052u 4500</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001   991034738289702766</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008   080101s2008 xxu|||| st ||| ||eng d</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110 2 $a American Council of Learned Societies.</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245 10 $a American Council of Learned Societies Annual Report for the</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 xml:space="preserve">         </w:t>
      </w:r>
      <w:r>
        <w:rPr>
          <w:bdr w:val="single" w:sz="2" w:space="9" w:color="CCCCEE"/>
          <w:shd w:fill="F0F8FF" w:val="clear"/>
        </w:rPr>
        <w:t>Years 2006-2007 and 2005-2006 $h [electronic resource].</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260   $a [S.l.] : $b Distributed by ERIC Clearinghouse, $c 2008.</w:t>
      </w:r>
    </w:p>
    <w:p>
      <w:pPr>
        <w:pStyle w:val="PreformattedText"/>
        <w:bidi w:val="0"/>
        <w:spacing w:before="225" w:after="225"/>
        <w:ind w:left="525" w:right="525" w:hanging="0"/>
        <w:jc w:val="left"/>
        <w:rPr>
          <w:bdr w:val="single" w:sz="2" w:space="9" w:color="CCCCEE"/>
          <w:shd w:fill="F0F8FF" w:val="clear"/>
        </w:rPr>
      </w:pPr>
      <w:r>
        <w:rPr>
          <w:bdr w:val="single" w:sz="2" w:space="9" w:color="CCCCEE"/>
          <w:shd w:fill="F0F8FF" w:val="clear"/>
        </w:rPr>
        <w:t>300   $a 1 online resource (66 p.)</w:t>
      </w:r>
    </w:p>
    <w:p>
      <w:pPr>
        <w:pStyle w:val="HorizontalLine"/>
        <w:pBdr>
          <w:bottom w:val="double" w:sz="2" w:space="0" w:color="808080"/>
        </w:pBdr>
        <w:bidi w:val="0"/>
        <w:spacing w:before="0" w:after="283"/>
        <w:jc w:val="left"/>
        <w:rPr/>
      </w:pPr>
      <w:r>
        <w:rPr/>
      </w:r>
    </w:p>
    <w:p>
      <w:pPr>
        <w:pStyle w:val="TextBody"/>
        <w:bidi w:val="0"/>
        <w:spacing w:before="0" w:after="283"/>
        <w:jc w:val="left"/>
        <w:rPr/>
      </w:pPr>
      <w:r>
        <w:rPr>
          <w:rStyle w:val="Emphasis"/>
        </w:rPr>
        <w:t>Colorado Alliance of Research Libraries — Gold Rush Match Key Documentation v08-14-26 (_v08142026)</w:t>
      </w:r>
    </w:p>
    <w:sectPr>
      <w:type w:val="nextPage"/>
      <w:pgSz w:w="12240" w:h="15840"/>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Unicode MS">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300" w:after="300"/>
      <w:ind w:left="300" w:right="300" w:hanging="0"/>
    </w:pPr>
    <w:rPr>
      <w:rFonts w:ascii="Arial;sans-serif" w:hAnsi="Arial;sans-serif" w:eastAsia="Arial;sans-serif" w:cs="Arial;sans-serif"/>
      <w:color w:val="auto"/>
      <w:sz w:val="24"/>
      <w:szCs w:val="24"/>
      <w:lang w:val="en-US" w:eastAsia="zh-CN" w:bidi="hi-IN"/>
    </w:rPr>
  </w:style>
  <w:style w:type="paragraph" w:styleId="Heading1">
    <w:name w:val="Heading 1"/>
    <w:basedOn w:val="Heading"/>
    <w:next w:val="TextBody"/>
    <w:qFormat/>
    <w:pPr>
      <w:pBdr>
        <w:bottom w:val="single" w:sz="12" w:space="6" w:color="CCCCCC"/>
      </w:pBdr>
    </w:pPr>
    <w:rPr>
      <w:rFonts w:ascii="Liberation Sans Unicode MS" w:hAnsi="Liberation Sans Unicode MS"/>
      <w:b/>
      <w:bCs/>
      <w:color w:val="333333"/>
      <w:sz w:val="48"/>
      <w:szCs w:val="44"/>
    </w:rPr>
  </w:style>
  <w:style w:type="paragraph" w:styleId="Heading2">
    <w:name w:val="Heading 2"/>
    <w:basedOn w:val="Heading"/>
    <w:next w:val="TextBody"/>
    <w:qFormat/>
    <w:pPr>
      <w:spacing w:before="450" w:after="120"/>
      <w:outlineLvl w:val="1"/>
    </w:pPr>
    <w:rPr>
      <w:rFonts w:ascii="Liberation Serif" w:hAnsi="Liberation Serif" w:eastAsia="Noto Serif CJK SC" w:cs="Lohit Devanagari"/>
      <w:b/>
      <w:bCs/>
      <w:color w:val="555555"/>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color w:val="666666"/>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sz w:val="20"/>
      <w:szCs w:val="20"/>
      <w:shd w:fill="F5F5F5" w:val="clear"/>
    </w:rPr>
  </w:style>
  <w:style w:type="character" w:styleId="Emphasis">
    <w:name w:val="Emphasis"/>
    <w:qFormat/>
    <w:rPr>
      <w:i/>
      <w:i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left"/>
    </w:pPr>
    <w:rPr/>
  </w:style>
  <w:style w:type="paragraph" w:styleId="Footer">
    <w:name w:val="Footer"/>
    <w:basedOn w:val="Normal"/>
    <w:pPr>
      <w:suppressLineNumbers/>
      <w:tabs>
        <w:tab w:val="clear" w:pos="1134"/>
        <w:tab w:val="center" w:pos="5118" w:leader="none"/>
        <w:tab w:val="right" w:pos="9937" w:leader="none"/>
      </w:tabs>
    </w:pPr>
    <w:rPr/>
  </w:style>
  <w:style w:type="paragraph" w:styleId="Header">
    <w:name w:val="Header"/>
    <w:basedOn w:val="Normal"/>
    <w:pPr>
      <w:suppressLineNumbers/>
      <w:tabs>
        <w:tab w:val="clear" w:pos="1134"/>
        <w:tab w:val="center" w:pos="5118" w:leader="none"/>
        <w:tab w:val="right" w:pos="9937" w:leader="none"/>
      </w:tabs>
    </w:pPr>
    <w:rPr/>
  </w:style>
  <w:style w:type="paragraph" w:styleId="HeaderandFooter">
    <w:name w:val="Header and Footer"/>
    <w:basedOn w:val="Normal"/>
    <w:qFormat/>
    <w:pPr>
      <w:suppressLineNumbers/>
      <w:tabs>
        <w:tab w:val="clear" w:pos="1134"/>
        <w:tab w:val="center" w:pos="5286" w:leader="none"/>
        <w:tab w:val="right" w:pos="102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9" w:color="DDDDDD"/>
        <w:left w:val="single" w:sz="2" w:space="9" w:color="DDDDDD"/>
        <w:bottom w:val="single" w:sz="2" w:space="9" w:color="DDDDDD"/>
        <w:right w:val="single" w:sz="2" w:space="9" w:color="DDDDDD"/>
      </w:pBdr>
      <w:shd w:fill="F5F5F5" w:val="clear"/>
      <w:spacing w:before="300" w:after="0"/>
    </w:pPr>
    <w:rPr>
      <w:rFonts w:ascii="Liberation Mono" w:hAnsi="Liberation Mono" w:eastAsia="Noto Sans Mono CJK SC" w:cs="Liberation Mono"/>
      <w:sz w:val="20"/>
      <w:szCs w:val="20"/>
    </w:rPr>
  </w:style>
  <w:style w:type="paragraph" w:styleId="TextBodydisabled">
    <w:name w:val="Text Body.disabled"/>
    <w:basedOn w:val="TextBody"/>
    <w:qFormat/>
    <w:pPr/>
    <w:rPr>
      <w:color w:val="999999"/>
    </w:rPr>
  </w:style>
  <w:style w:type="paragraph" w:styleId="TextBodyremoved">
    <w:name w:val="Text Body.removed"/>
    <w:basedOn w:val="TextBody"/>
    <w:qFormat/>
    <w:pPr/>
    <w:rPr>
      <w:strike/>
      <w:color w:val="999999"/>
    </w:rPr>
  </w:style>
  <w:style w:type="paragraph" w:styleId="TextBodynew">
    <w:name w:val="Text Body.new"/>
    <w:basedOn w:val="TextBody"/>
    <w:qFormat/>
    <w:pPr>
      <w:shd w:fill="EEFFEE" w:val="clear"/>
    </w:pPr>
    <w:rPr/>
  </w:style>
  <w:style w:type="paragraph" w:styleId="TableHeading">
    <w:name w:val="Table Heading"/>
    <w:basedOn w:val="TableContents"/>
    <w:qFormat/>
    <w:pPr>
      <w:suppressLineNumbers/>
      <w:shd w:fill="F0F0F0" w:val="clear"/>
      <w:jc w:val="left"/>
    </w:pPr>
    <w:rPr>
      <w:b/>
      <w:bCs/>
    </w:rPr>
  </w:style>
  <w:style w:type="paragraph" w:styleId="TextBodynote">
    <w:name w:val="Text Body.note"/>
    <w:basedOn w:val="TextBody"/>
    <w:qFormat/>
    <w:pPr>
      <w:pBdr>
        <w:left w:val="single" w:sz="18" w:space="9" w:color="CCCC99"/>
      </w:pBdr>
      <w:shd w:fill="FFFFDD" w:val="clear"/>
      <w:spacing w:before="150" w:after="150"/>
      <w:ind w:left="150" w:right="15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o-alliance/coalliance-matchkey/issues/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CoAlliance Match Key — v08-14-26</dc:title>
</cp:coreProperties>
</file>