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320" w:lineRule="auto"/>
        <w:jc w:val="center"/>
      </w:pPr>
      <w:r>
        <w:t>Propuesta para Directorio IME Chile</w:t>
      </w:r>
    </w:p>
    <w:p>
      <w:pPr>
        <w:spacing w:before="0" w:after="80" w:line="320" w:lineRule="auto"/>
        <w:jc w:val="center"/>
      </w:pPr>
      <w:r>
        <w:rPr>
          <w:rFonts w:ascii="Calibri" w:hAnsi="Calibri"/>
          <w:b/>
          <w:color w:val="2E2D32"/>
          <w:sz w:val="48"/>
        </w:rPr>
        <w:t>Gobernanza operacional para una nueva escala gremial</w:t>
      </w:r>
    </w:p>
    <w:p>
      <w:pPr>
        <w:spacing w:before="0" w:after="360" w:line="320" w:lineRule="auto"/>
        <w:jc w:val="center"/>
      </w:pPr>
      <w:r>
        <w:rPr>
          <w:rFonts w:ascii="Calibri" w:hAnsi="Calibri"/>
          <w:color w:val="4D4C54"/>
          <w:sz w:val="27"/>
        </w:rPr>
        <w:t>IME Conecta como infraestructura interna para ordenar, profesionalizar y proyectar la gestion de IME Chile.</w:t>
      </w:r>
    </w:p>
    <w:tbl>
      <w:tblPr>
        <w:tblW w:type="dxa" w:w="9360"/>
        <w:jc w:val="left"/>
        <w:tblLayout w:type="fixed"/>
        <w:tblLook w:firstColumn="1" w:firstRow="1" w:lastColumn="0" w:lastRow="0" w:noHBand="0" w:noVBand="1" w:val="04A0"/>
        <w:tblInd w:w="120" w:type="dxa"/>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2200"/>
        <w:gridCol w:w="7160"/>
      </w:tblGrid>
      <w:tr>
        <w:tc>
          <w:tcPr>
            <w:tcW w:type="dxa" w:w="2200"/>
            <w:vAlign w:val="center"/>
            <w:tcMar>
              <w:top w:w="80" w:type="dxa"/>
              <w:start w:w="120" w:type="dxa"/>
              <w:bottom w:w="80" w:type="dxa"/>
              <w:end w:w="120" w:type="dxa"/>
            </w:tcMar>
            <w:shd w:fill="E8EEF5"/>
          </w:tcPr>
          <w:p>
            <w:r>
              <w:rPr>
                <w:rFonts w:ascii="Calibri" w:hAnsi="Calibri"/>
                <w:b/>
                <w:color w:val="2E2D32"/>
              </w:rPr>
              <w:t>Autor</w:t>
            </w:r>
          </w:p>
        </w:tc>
        <w:tc>
          <w:tcPr>
            <w:tcW w:type="dxa" w:w="7160"/>
            <w:vAlign w:val="center"/>
            <w:tcMar>
              <w:top w:w="80" w:type="dxa"/>
              <w:start w:w="120" w:type="dxa"/>
              <w:bottom w:w="80" w:type="dxa"/>
              <w:end w:w="120" w:type="dxa"/>
            </w:tcMar>
          </w:tcPr>
          <w:p>
            <w:r>
              <w:rPr>
                <w:rFonts w:ascii="Calibri" w:hAnsi="Calibri"/>
                <w:color w:val="2E2D32"/>
              </w:rPr>
              <w:t>Patricio Gonzalez Cruz, Director y Tesorero IME Chile</w:t>
            </w:r>
          </w:p>
        </w:tc>
      </w:tr>
      <w:tr>
        <w:tc>
          <w:tcPr>
            <w:tcW w:type="dxa" w:w="2200"/>
            <w:vAlign w:val="center"/>
            <w:tcMar>
              <w:top w:w="80" w:type="dxa"/>
              <w:start w:w="120" w:type="dxa"/>
              <w:bottom w:w="80" w:type="dxa"/>
              <w:end w:w="120" w:type="dxa"/>
            </w:tcMar>
            <w:shd w:fill="E8EEF5"/>
          </w:tcPr>
          <w:p>
            <w:r>
              <w:rPr>
                <w:rFonts w:ascii="Calibri" w:hAnsi="Calibri"/>
                <w:b/>
                <w:color w:val="2E2D32"/>
              </w:rPr>
              <w:t>Formato</w:t>
            </w:r>
          </w:p>
        </w:tc>
        <w:tc>
          <w:tcPr>
            <w:tcW w:type="dxa" w:w="7160"/>
            <w:vAlign w:val="center"/>
            <w:tcMar>
              <w:top w:w="80" w:type="dxa"/>
              <w:start w:w="120" w:type="dxa"/>
              <w:bottom w:w="80" w:type="dxa"/>
              <w:end w:w="120" w:type="dxa"/>
            </w:tcMar>
          </w:tcPr>
          <w:p>
            <w:r>
              <w:rPr>
                <w:rFonts w:ascii="Calibri" w:hAnsi="Calibri"/>
                <w:color w:val="2E2D32"/>
              </w:rPr>
              <w:t>Informe DOCX/PDF y presentacion PPTX editable</w:t>
            </w:r>
          </w:p>
        </w:tc>
      </w:tr>
      <w:tr>
        <w:tc>
          <w:tcPr>
            <w:tcW w:type="dxa" w:w="2200"/>
            <w:vAlign w:val="center"/>
            <w:tcMar>
              <w:top w:w="80" w:type="dxa"/>
              <w:start w:w="120" w:type="dxa"/>
              <w:bottom w:w="80" w:type="dxa"/>
              <w:end w:w="120" w:type="dxa"/>
            </w:tcMar>
            <w:shd w:fill="E8EEF5"/>
          </w:tcPr>
          <w:p>
            <w:r>
              <w:rPr>
                <w:rFonts w:ascii="Calibri" w:hAnsi="Calibri"/>
                <w:b/>
                <w:color w:val="2E2D32"/>
              </w:rPr>
              <w:t>Proyecto</w:t>
            </w:r>
          </w:p>
        </w:tc>
        <w:tc>
          <w:tcPr>
            <w:tcW w:type="dxa" w:w="7160"/>
            <w:vAlign w:val="center"/>
            <w:tcMar>
              <w:top w:w="80" w:type="dxa"/>
              <w:start w:w="120" w:type="dxa"/>
              <w:bottom w:w="80" w:type="dxa"/>
              <w:end w:w="120" w:type="dxa"/>
            </w:tcMar>
          </w:tcPr>
          <w:p>
            <w:r>
              <w:rPr>
                <w:rFonts w:ascii="Calibri" w:hAnsi="Calibri"/>
                <w:color w:val="2E2D32"/>
              </w:rPr>
              <w:t>IME Conecta</w:t>
            </w:r>
          </w:p>
        </w:tc>
      </w:tr>
      <w:tr>
        <w:tc>
          <w:tcPr>
            <w:tcW w:type="dxa" w:w="2200"/>
            <w:vAlign w:val="center"/>
            <w:tcMar>
              <w:top w:w="80" w:type="dxa"/>
              <w:start w:w="120" w:type="dxa"/>
              <w:bottom w:w="80" w:type="dxa"/>
              <w:end w:w="120" w:type="dxa"/>
            </w:tcMar>
            <w:shd w:fill="E8EEF5"/>
          </w:tcPr>
          <w:p>
            <w:r>
              <w:rPr>
                <w:rFonts w:ascii="Calibri" w:hAnsi="Calibri"/>
                <w:b/>
                <w:color w:val="2E2D32"/>
              </w:rPr>
              <w:t>Fecha</w:t>
            </w:r>
          </w:p>
        </w:tc>
        <w:tc>
          <w:tcPr>
            <w:tcW w:type="dxa" w:w="7160"/>
            <w:vAlign w:val="center"/>
            <w:tcMar>
              <w:top w:w="80" w:type="dxa"/>
              <w:start w:w="120" w:type="dxa"/>
              <w:bottom w:w="80" w:type="dxa"/>
              <w:end w:w="120" w:type="dxa"/>
            </w:tcMar>
          </w:tcPr>
          <w:p>
            <w:r>
              <w:rPr>
                <w:rFonts w:ascii="Calibri" w:hAnsi="Calibri"/>
                <w:color w:val="2E2D32"/>
              </w:rPr>
              <w:t>Junio 2026</w:t>
            </w:r>
          </w:p>
        </w:tc>
      </w:tr>
    </w:tbl>
    <w:p>
      <w:pPr>
        <w:spacing w:before="0" w:after="240" w:line="320" w:lineRule="auto"/>
      </w:pPr>
    </w:p>
    <w:tbl>
      <w:tblPr>
        <w:tblW w:type="dxa" w:w="9360"/>
        <w:jc w:val="left"/>
        <w:tblLayout w:type="fixed"/>
        <w:tblLook w:firstColumn="1" w:firstRow="1" w:lastColumn="0" w:lastRow="0" w:noHBand="0" w:noVBand="1" w:val="04A0"/>
        <w:tblInd w:w="120" w:type="dxa"/>
        <w:tblBorders>
          <w:top w:val="single" w:sz="6" w:space="0" w:color="9ADFD6"/>
          <w:left w:val="single" w:sz="6" w:space="0" w:color="9ADFD6"/>
          <w:bottom w:val="single" w:sz="6" w:space="0" w:color="9ADFD6"/>
          <w:right w:val="single" w:sz="6" w:space="0" w:color="9ADFD6"/>
          <w:insideH w:val="single" w:sz="6" w:space="0" w:color="9ADFD6"/>
          <w:insideV w:val="single" w:sz="6" w:space="0" w:color="9ADFD6"/>
        </w:tblBorders>
      </w:tblPr>
      <w:tblGrid>
        <w:gridCol w:w="9360"/>
      </w:tblGrid>
      <w:tr>
        <w:tc>
          <w:tcPr>
            <w:tcW w:type="dxa" w:w="9360"/>
            <w:vAlign w:val="center"/>
            <w:tcMar>
              <w:top w:w="80" w:type="dxa"/>
              <w:start w:w="120" w:type="dxa"/>
              <w:bottom w:w="80" w:type="dxa"/>
              <w:end w:w="120" w:type="dxa"/>
            </w:tcMar>
            <w:shd w:fill="F4F6F9"/>
          </w:tcPr>
          <w:p>
            <w:pPr>
              <w:spacing w:before="40" w:after="40" w:line="290" w:lineRule="auto"/>
            </w:pPr>
            <w:r>
              <w:rPr>
                <w:rFonts w:ascii="Calibri" w:hAnsi="Calibri"/>
                <w:b/>
                <w:color w:val="2E2D32"/>
              </w:rPr>
              <w:t>Tesis: a mayor envergadura gremial, mayor necesidad de estructura operacional, trazabilidad, roles claros y gobernanza de datos.</w:t>
            </w:r>
          </w:p>
        </w:tc>
      </w:tr>
    </w:tbl>
    <w:p>
      <w:pPr>
        <w:spacing w:before="0" w:after="80" w:line="320" w:lineRule="auto"/>
      </w:pPr>
    </w:p>
    <w:p>
      <w:r>
        <w:br w:type="page"/>
      </w:r>
    </w:p>
    <w:p>
      <w:pPr>
        <w:pStyle w:val="Heading1"/>
      </w:pPr>
      <w:r>
        <w:t>Resumen ejecutivo</w:t>
      </w:r>
    </w:p>
    <w:p>
      <w:pPr>
        <w:spacing w:before="0" w:after="160" w:line="320" w:lineRule="auto"/>
        <w:jc w:val="both"/>
      </w:pPr>
      <w:r>
        <w:t>Gobernanza operacional para una nueva escala gremial propone que IME Chile ordene su gestion interna para sostener una etapa de mayor envergadura institucional.</w:t>
      </w:r>
    </w:p>
    <w:p>
      <w:pPr>
        <w:spacing w:before="0" w:after="160" w:line="320" w:lineRule="auto"/>
        <w:jc w:val="both"/>
      </w:pPr>
      <w:r>
        <w:t>IME Conecta se plantea como infraestructura interna, no solo como software: debe registrar socios/as, comites, acuerdos, documentos, proyectos, responsables, plazos, datos personales, activos digitales y avances.</w:t>
      </w:r>
    </w:p>
    <w:p>
      <w:pPr>
        <w:spacing w:before="0" w:after="160" w:line="320" w:lineRule="auto"/>
        <w:jc w:val="both"/>
      </w:pPr>
      <w:r>
        <w:t>La propuesta incorpora capacidades web locales, como una Capa Web-Video API, para capturar avatar, boletas o evidencias operativas sin enviar datos a terceros.</w:t>
      </w:r>
    </w:p>
    <w:p>
      <w:pPr>
        <w:spacing w:before="0" w:after="160" w:line="320" w:lineRule="auto"/>
        <w:jc w:val="both"/>
      </w:pPr>
      <w:r>
        <w:t>La oportunidad tactica inmediata es Sercotec Fortalecimiento Gremial 2026 - Region Metropolitana, con foco de postulacion en IME Conecta.</w:t>
      </w:r>
    </w:p>
    <w:p>
      <w:pPr>
        <w:spacing w:before="0" w:after="160" w:line="320" w:lineRule="auto"/>
        <w:jc w:val="both"/>
      </w:pPr>
      <w:r>
        <w:t>IME Link 2027 se propone como sujeto de prueba estrategico para validar la infraestructura en un caso real de planificacion, alianzas, comites, trazabilidad y proyeccion publica.</w:t>
      </w:r>
    </w:p>
    <w:p>
      <w:pPr>
        <w:spacing w:before="0" w:after="160" w:line="320" w:lineRule="auto"/>
        <w:jc w:val="both"/>
      </w:pPr>
      <w:r>
        <w:t>El modelo separa direccion estrategica, carteras directivas, comites ejecutivos y operacion valorizable, incorporando gobernanza de datos y criterios de la Ley 21.719.</w:t>
      </w:r>
    </w:p>
    <w:p>
      <w:r>
        <w:br w:type="page"/>
      </w:r>
    </w:p>
    <w:p>
      <w:pPr>
        <w:pStyle w:val="Heading1"/>
      </w:pPr>
      <w:r>
        <w:t>Indice de contenidos</w:t>
      </w:r>
    </w:p>
    <w:p>
      <w:pPr>
        <w:pStyle w:val="ListNumber"/>
        <w:spacing w:after="60"/>
      </w:pPr>
      <w:r>
        <w:t>Gobernanza operacional para una nueva escala gremial</w:t>
      </w:r>
    </w:p>
    <w:p>
      <w:pPr>
        <w:pStyle w:val="ListNumber"/>
        <w:spacing w:after="60"/>
      </w:pPr>
      <w:r>
        <w:t>Indice de contenidos</w:t>
      </w:r>
    </w:p>
    <w:p>
      <w:pPr>
        <w:pStyle w:val="ListNumber"/>
        <w:spacing w:after="60"/>
      </w:pPr>
      <w:r>
        <w:t>Punto de partida</w:t>
      </w:r>
    </w:p>
    <w:p>
      <w:pPr>
        <w:pStyle w:val="ListNumber"/>
        <w:spacing w:after="60"/>
      </w:pPr>
      <w:r>
        <w:t>Mirada macro del gremio</w:t>
      </w:r>
    </w:p>
    <w:p>
      <w:pPr>
        <w:pStyle w:val="ListNumber"/>
        <w:spacing w:after="60"/>
      </w:pPr>
      <w:r>
        <w:t>Problema detectado</w:t>
      </w:r>
    </w:p>
    <w:p>
      <w:pPr>
        <w:pStyle w:val="ListNumber"/>
        <w:spacing w:after="60"/>
      </w:pPr>
      <w:r>
        <w:t>Analisis: el cuello de botella es operacional</w:t>
      </w:r>
    </w:p>
    <w:p>
      <w:pPr>
        <w:pStyle w:val="ListNumber"/>
        <w:spacing w:after="60"/>
      </w:pPr>
      <w:r>
        <w:t>Concepto rector</w:t>
      </w:r>
    </w:p>
    <w:p>
      <w:pPr>
        <w:pStyle w:val="ListNumber"/>
        <w:spacing w:after="60"/>
      </w:pPr>
      <w:r>
        <w:t>IME Conecta</w:t>
      </w:r>
    </w:p>
    <w:p>
      <w:pPr>
        <w:pStyle w:val="ListNumber"/>
        <w:spacing w:after="60"/>
      </w:pPr>
      <w:r>
        <w:t>Usabilidad de tecnologias web para la gestion operativa</w:t>
      </w:r>
    </w:p>
    <w:p>
      <w:pPr>
        <w:pStyle w:val="ListNumber"/>
        <w:spacing w:after="60"/>
      </w:pPr>
      <w:r>
        <w:t>Oportunidad inmediata: Sercotec Fortalecimiento Gremial</w:t>
      </w:r>
    </w:p>
    <w:p>
      <w:pPr>
        <w:pStyle w:val="ListNumber"/>
        <w:spacing w:after="60"/>
      </w:pPr>
      <w:r>
        <w:t>IME Link 2027 como sujeto de prueba estrategico</w:t>
      </w:r>
    </w:p>
    <w:p>
      <w:pPr>
        <w:pStyle w:val="ListNumber"/>
        <w:spacing w:after="60"/>
      </w:pPr>
      <w:r>
        <w:t>Modelo de gobernanza propuesto</w:t>
      </w:r>
    </w:p>
    <w:p>
      <w:pPr>
        <w:pStyle w:val="ListNumber"/>
        <w:spacing w:after="60"/>
      </w:pPr>
      <w:r>
        <w:t>Carteras Directivas Estrategicas</w:t>
      </w:r>
    </w:p>
    <w:p>
      <w:pPr>
        <w:pStyle w:val="ListNumber"/>
        <w:spacing w:after="60"/>
      </w:pPr>
      <w:r>
        <w:t>Separacion directiva / operativa</w:t>
      </w:r>
    </w:p>
    <w:p>
      <w:pPr>
        <w:pStyle w:val="ListNumber"/>
        <w:spacing w:after="60"/>
      </w:pPr>
      <w:r>
        <w:t>Datos, activos digitales y Ley 21.719</w:t>
      </w:r>
    </w:p>
    <w:p>
      <w:pPr>
        <w:pStyle w:val="ListNumber"/>
        <w:spacing w:after="60"/>
      </w:pPr>
      <w:r>
        <w:t>Riesgos si no se ordena</w:t>
      </w:r>
    </w:p>
    <w:p>
      <w:pPr>
        <w:pStyle w:val="ListNumber"/>
        <w:spacing w:after="60"/>
      </w:pPr>
      <w:r>
        <w:t>Ruta de implementacion</w:t>
      </w:r>
    </w:p>
    <w:p>
      <w:pPr>
        <w:pStyle w:val="ListNumber"/>
        <w:spacing w:after="60"/>
      </w:pPr>
      <w:r>
        <w:t>Discusion directiva: validacion, ajustes y proximos acuerdos</w:t>
      </w:r>
    </w:p>
    <w:p>
      <w:pPr>
        <w:pStyle w:val="ListNumber"/>
        <w:spacing w:after="60"/>
      </w:pPr>
      <w:r>
        <w:t>Propuesta de acuerdos para eventual votacion</w:t>
      </w:r>
    </w:p>
    <w:p>
      <w:pPr>
        <w:pStyle w:val="ListNumber"/>
        <w:spacing w:after="60"/>
      </w:pPr>
      <w:r>
        <w:t>Cierre</w:t>
      </w:r>
    </w:p>
    <w:p>
      <w:r>
        <w:br w:type="page"/>
      </w:r>
    </w:p>
    <w:p>
      <w:pPr>
        <w:pStyle w:val="Heading1"/>
      </w:pPr>
      <w:r>
        <w:t>03. Punto de partida</w:t>
      </w:r>
    </w:p>
    <w:p>
      <w:pPr>
        <w:spacing w:before="0" w:after="160" w:line="320" w:lineRule="auto"/>
        <w:jc w:val="both"/>
      </w:pPr>
      <w:r>
        <w:t>IME Chile entra en una etapa de mayor envergadura gremial. Esto implica mas proyectos, mas alianzas, mas informacion, mas expectativas y mayor responsabilidad institucional.</w:t>
      </w:r>
    </w:p>
    <w:tbl>
      <w:tblPr>
        <w:tblW w:type="dxa" w:w="9360"/>
        <w:jc w:val="left"/>
        <w:tblLayout w:type="fixed"/>
        <w:tblLook w:firstColumn="1" w:firstRow="1" w:lastColumn="0" w:lastRow="0" w:noHBand="0" w:noVBand="1" w:val="04A0"/>
        <w:tblInd w:w="120" w:type="dxa"/>
        <w:tblBorders>
          <w:top w:val="single" w:sz="6" w:space="0" w:color="9ADFD6"/>
          <w:left w:val="single" w:sz="6" w:space="0" w:color="9ADFD6"/>
          <w:bottom w:val="single" w:sz="6" w:space="0" w:color="9ADFD6"/>
          <w:right w:val="single" w:sz="6" w:space="0" w:color="9ADFD6"/>
          <w:insideH w:val="single" w:sz="6" w:space="0" w:color="9ADFD6"/>
          <w:insideV w:val="single" w:sz="6" w:space="0" w:color="9ADFD6"/>
        </w:tblBorders>
      </w:tblPr>
      <w:tblGrid>
        <w:gridCol w:w="9360"/>
      </w:tblGrid>
      <w:tr>
        <w:tc>
          <w:tcPr>
            <w:tcW w:type="dxa" w:w="9360"/>
            <w:vAlign w:val="center"/>
            <w:tcMar>
              <w:top w:w="80" w:type="dxa"/>
              <w:start w:w="120" w:type="dxa"/>
              <w:bottom w:w="80" w:type="dxa"/>
              <w:end w:w="120" w:type="dxa"/>
            </w:tcMar>
            <w:shd w:fill="F4F6F9"/>
          </w:tcPr>
          <w:p>
            <w:pPr>
              <w:spacing w:before="40" w:after="40" w:line="290" w:lineRule="auto"/>
            </w:pPr>
            <w:r>
              <w:rPr>
                <w:rFonts w:ascii="Calibri" w:hAnsi="Calibri"/>
                <w:b/>
                <w:color w:val="2E2D32"/>
              </w:rPr>
              <w:t>A mayor envergadura gremial, mayor necesidad de estructura operacional.</w:t>
            </w:r>
          </w:p>
        </w:tc>
      </w:tr>
    </w:tbl>
    <w:p>
      <w:pPr>
        <w:spacing w:before="0" w:after="80" w:line="320" w:lineRule="auto"/>
      </w:pPr>
    </w:p>
    <w:p>
      <w:pPr>
        <w:pStyle w:val="ListBullet"/>
        <w:spacing w:after="80" w:line="290" w:lineRule="auto"/>
      </w:pPr>
      <w:r>
        <w:t>Mas proyectos estrategicos.</w:t>
      </w:r>
    </w:p>
    <w:p>
      <w:pPr>
        <w:pStyle w:val="ListBullet"/>
        <w:spacing w:after="80" w:line="290" w:lineRule="auto"/>
      </w:pPr>
      <w:r>
        <w:t>Mas vinculos institucionales.</w:t>
      </w:r>
    </w:p>
    <w:p>
      <w:pPr>
        <w:pStyle w:val="ListBullet"/>
        <w:spacing w:after="80" w:line="290" w:lineRule="auto"/>
      </w:pPr>
      <w:r>
        <w:t>Mayor necesidad de trazabilidad.</w:t>
      </w:r>
    </w:p>
    <w:p>
      <w:pPr>
        <w:pStyle w:val="ListBullet"/>
        <w:spacing w:after="80" w:line="290" w:lineRule="auto"/>
      </w:pPr>
      <w:r>
        <w:t>Mayor responsabilidad sobre datos y activos digitales.</w:t>
      </w:r>
    </w:p>
    <w:p>
      <w:pPr>
        <w:pStyle w:val="ListBullet"/>
        <w:spacing w:after="80" w:line="290" w:lineRule="auto"/>
      </w:pPr>
      <w:r>
        <w:t>Mayor exigencia de coordinacion interna.</w:t>
      </w:r>
    </w:p>
    <w:p>
      <w:pPr>
        <w:pStyle w:val="Heading1"/>
      </w:pPr>
      <w:r>
        <w:t>04. Mirada macro del gremio</w:t>
      </w:r>
    </w:p>
    <w:p>
      <w:pPr>
        <w:spacing w:before="0" w:after="160" w:line="320" w:lineRule="auto"/>
        <w:jc w:val="both"/>
      </w:pPr>
      <w:r>
        <w:t>La musica electronica chilena ya no puede entenderse solo como escena o comunidad informal. Tambien requiere representacion gremial, datos, institucionalidad, redes, planificacion y capacidad de gestion.</w:t>
      </w:r>
    </w:p>
    <w:p>
      <w:pPr>
        <w:pStyle w:val="ListBullet"/>
        <w:spacing w:after="80" w:line="290" w:lineRule="auto"/>
      </w:pPr>
      <w:r>
        <w:t>Ecosistema artistico.</w:t>
      </w:r>
    </w:p>
    <w:p>
      <w:pPr>
        <w:pStyle w:val="ListBullet"/>
        <w:spacing w:after="80" w:line="290" w:lineRule="auto"/>
      </w:pPr>
      <w:r>
        <w:t>Ecosistema tecnico.</w:t>
      </w:r>
    </w:p>
    <w:p>
      <w:pPr>
        <w:pStyle w:val="ListBullet"/>
        <w:spacing w:after="80" w:line="290" w:lineRule="auto"/>
      </w:pPr>
      <w:r>
        <w:t>Ecosistema productivo.</w:t>
      </w:r>
    </w:p>
    <w:p>
      <w:pPr>
        <w:pStyle w:val="ListBullet"/>
        <w:spacing w:after="80" w:line="290" w:lineRule="auto"/>
      </w:pPr>
      <w:r>
        <w:t>Ecosistema territorial.</w:t>
      </w:r>
    </w:p>
    <w:p>
      <w:pPr>
        <w:pStyle w:val="ListBullet"/>
        <w:spacing w:after="80" w:line="290" w:lineRule="auto"/>
      </w:pPr>
      <w:r>
        <w:t>Ecosistema digital.</w:t>
      </w:r>
    </w:p>
    <w:p>
      <w:pPr>
        <w:pStyle w:val="ListBullet"/>
        <w:spacing w:after="80" w:line="290" w:lineRule="auto"/>
      </w:pPr>
      <w:r>
        <w:t>Ecosistema de datos y memoria cultural.</w:t>
      </w:r>
    </w:p>
    <w:p>
      <w:pPr>
        <w:pStyle w:val="Heading1"/>
      </w:pPr>
      <w:r>
        <w:t>05. Problema detectado</w:t>
      </w:r>
    </w:p>
    <w:p>
      <w:pPr>
        <w:spacing w:before="0" w:after="160" w:line="320" w:lineRule="auto"/>
        <w:jc w:val="both"/>
      </w:pPr>
      <w:r>
        <w:t>El principal problema no es la falta de ideas ni de voluntad. El problema esta en la gestion operacional: como ordenamos socios/as, acuerdos, documentos, comites, proyectos, datos, activos digitales, responsables, plazos y seguimiento.</w:t>
      </w:r>
    </w:p>
    <w:p>
      <w:pPr>
        <w:pStyle w:val="ListBullet"/>
        <w:spacing w:after="80" w:line="290" w:lineRule="auto"/>
      </w:pPr>
      <w:r>
        <w:t>Informacion dispersa.</w:t>
      </w:r>
    </w:p>
    <w:p>
      <w:pPr>
        <w:pStyle w:val="ListBullet"/>
        <w:spacing w:after="80" w:line="290" w:lineRule="auto"/>
      </w:pPr>
      <w:r>
        <w:t>Acuerdos sin seguimiento.</w:t>
      </w:r>
    </w:p>
    <w:p>
      <w:pPr>
        <w:pStyle w:val="ListBullet"/>
        <w:spacing w:after="80" w:line="290" w:lineRule="auto"/>
      </w:pPr>
      <w:r>
        <w:t>Sobrecarga del directorio.</w:t>
      </w:r>
    </w:p>
    <w:p>
      <w:pPr>
        <w:pStyle w:val="ListBullet"/>
        <w:spacing w:after="80" w:line="290" w:lineRule="auto"/>
      </w:pPr>
      <w:r>
        <w:t>Datos personales sin politica.</w:t>
      </w:r>
    </w:p>
    <w:p>
      <w:pPr>
        <w:pStyle w:val="ListBullet"/>
        <w:spacing w:after="80" w:line="290" w:lineRule="auto"/>
      </w:pPr>
      <w:r>
        <w:t>Proyectos sin priorizacion.</w:t>
      </w:r>
    </w:p>
    <w:p>
      <w:pPr>
        <w:pStyle w:val="ListBullet"/>
        <w:spacing w:after="80" w:line="290" w:lineRule="auto"/>
      </w:pPr>
      <w:r>
        <w:t>Alianzas ambiguas.</w:t>
      </w:r>
    </w:p>
    <w:p>
      <w:pPr>
        <w:pStyle w:val="ListBullet"/>
        <w:spacing w:after="80" w:line="290" w:lineRule="auto"/>
      </w:pPr>
      <w:r>
        <w:t>Trabajo operativo invisibilizado.</w:t>
      </w:r>
    </w:p>
    <w:p>
      <w:pPr>
        <w:pStyle w:val="ListBullet"/>
        <w:spacing w:after="80" w:line="290" w:lineRule="auto"/>
      </w:pPr>
      <w:r>
        <w:t>Activos digitales sin inventario.</w:t>
      </w:r>
    </w:p>
    <w:p>
      <w:pPr>
        <w:pStyle w:val="Heading1"/>
      </w:pPr>
      <w:r>
        <w:t>06. Analisis: el cuello de botella es operacional</w:t>
      </w:r>
    </w:p>
    <w:p>
      <w:pPr>
        <w:spacing w:before="0" w:after="160" w:line="320" w:lineRule="auto"/>
        <w:jc w:val="both"/>
      </w:pPr>
      <w:r>
        <w:t>El cuello de botella no esta en la creatividad del gremio, sino en su capacidad de gestion operacional.</w:t>
      </w:r>
    </w:p>
    <w:tbl>
      <w:tblPr>
        <w:tblW w:type="dxa" w:w="9360"/>
        <w:jc w:val="left"/>
        <w:tblLayout w:type="fixed"/>
        <w:tblLook w:firstColumn="1" w:firstRow="1" w:lastColumn="0" w:lastRow="0" w:noHBand="0" w:noVBand="1" w:val="04A0"/>
        <w:tblInd w:w="120" w:type="dxa"/>
        <w:tblBorders>
          <w:top w:val="single" w:sz="6" w:space="0" w:color="9ADFD6"/>
          <w:left w:val="single" w:sz="6" w:space="0" w:color="9ADFD6"/>
          <w:bottom w:val="single" w:sz="6" w:space="0" w:color="9ADFD6"/>
          <w:right w:val="single" w:sz="6" w:space="0" w:color="9ADFD6"/>
          <w:insideH w:val="single" w:sz="6" w:space="0" w:color="9ADFD6"/>
          <w:insideV w:val="single" w:sz="6" w:space="0" w:color="9ADFD6"/>
        </w:tblBorders>
      </w:tblPr>
      <w:tblGrid>
        <w:gridCol w:w="9360"/>
      </w:tblGrid>
      <w:tr>
        <w:tc>
          <w:tcPr>
            <w:tcW w:type="dxa" w:w="9360"/>
            <w:vAlign w:val="center"/>
            <w:tcMar>
              <w:top w:w="80" w:type="dxa"/>
              <w:start w:w="120" w:type="dxa"/>
              <w:bottom w:w="80" w:type="dxa"/>
              <w:end w:w="120" w:type="dxa"/>
            </w:tcMar>
            <w:shd w:fill="F4F6F9"/>
          </w:tcPr>
          <w:p>
            <w:pPr>
              <w:spacing w:before="40" w:after="40" w:line="290" w:lineRule="auto"/>
            </w:pPr>
            <w:r>
              <w:rPr>
                <w:rFonts w:ascii="Calibri" w:hAnsi="Calibri"/>
                <w:b/>
                <w:color w:val="2E2D32"/>
              </w:rPr>
              <w:t>No se trata solo de hacer mas proyectos. Se trata de construir la estructura que permita hacerlos bien.</w:t>
            </w:r>
          </w:p>
        </w:tc>
      </w:tr>
    </w:tbl>
    <w:p>
      <w:pPr>
        <w:spacing w:before="0" w:after="80" w:line="320" w:lineRule="auto"/>
      </w:pPr>
    </w:p>
    <w:tbl>
      <w:tblPr>
        <w:tblStyle w:val="TableGrid"/>
        <w:tblW w:type="dxa" w:w="9360"/>
        <w:tblLayout w:type="fixed"/>
        <w:tblLook w:firstColumn="1" w:firstRow="1" w:lastColumn="0" w:lastRow="0" w:noHBand="0" w:noVBand="1" w:val="04A0"/>
        <w:jc w:val="left"/>
        <w:tblInd w:w="120" w:type="dxa"/>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3200"/>
        <w:gridCol w:w="6160"/>
      </w:tblGrid>
      <w:tr>
        <w:tc>
          <w:tcPr>
            <w:tcW w:type="dxa" w:w="3200"/>
            <w:vAlign w:val="center"/>
            <w:tcMar>
              <w:top w:w="80" w:type="dxa"/>
              <w:start w:w="120" w:type="dxa"/>
              <w:bottom w:w="80" w:type="dxa"/>
              <w:end w:w="120" w:type="dxa"/>
            </w:tcMar>
            <w:shd w:fill="E8EEF5"/>
          </w:tcPr>
          <w:p>
            <w:pPr>
              <w:jc w:val="left"/>
            </w:pPr>
            <w:r>
              <w:rPr>
                <w:rFonts w:ascii="Calibri" w:hAnsi="Calibri"/>
                <w:b/>
                <w:color w:val="2E2D32"/>
                <w:sz w:val="19"/>
              </w:rPr>
              <w:t>Problema detectado</w:t>
            </w:r>
          </w:p>
        </w:tc>
        <w:tc>
          <w:tcPr>
            <w:tcW w:type="dxa" w:w="6160"/>
            <w:vAlign w:val="center"/>
            <w:tcMar>
              <w:top w:w="80" w:type="dxa"/>
              <w:start w:w="120" w:type="dxa"/>
              <w:bottom w:w="80" w:type="dxa"/>
              <w:end w:w="120" w:type="dxa"/>
            </w:tcMar>
            <w:shd w:fill="E8EEF5"/>
          </w:tcPr>
          <w:p>
            <w:pPr>
              <w:jc w:val="left"/>
            </w:pPr>
            <w:r>
              <w:rPr>
                <w:rFonts w:ascii="Calibri" w:hAnsi="Calibri"/>
                <w:b/>
                <w:color w:val="2E2D32"/>
                <w:sz w:val="19"/>
              </w:rPr>
              <w:t>Respuesta propuesta</w:t>
            </w:r>
          </w:p>
        </w:tc>
      </w:tr>
      <w:tr>
        <w:tc>
          <w:tcPr>
            <w:tcW w:type="dxa" w:w="3200"/>
            <w:vAlign w:val="center"/>
            <w:tcMar>
              <w:top w:w="80" w:type="dxa"/>
              <w:start w:w="120" w:type="dxa"/>
              <w:bottom w:w="80" w:type="dxa"/>
              <w:end w:w="120" w:type="dxa"/>
            </w:tcMar>
          </w:tcPr>
          <w:p>
            <w:pPr>
              <w:jc w:val="left"/>
            </w:pPr>
            <w:r>
              <w:rPr>
                <w:rFonts w:ascii="Calibri" w:hAnsi="Calibri"/>
                <w:color w:val="2E2D32"/>
                <w:sz w:val="18"/>
              </w:rPr>
              <w:t>Informacion dispersa</w:t>
            </w:r>
          </w:p>
        </w:tc>
        <w:tc>
          <w:tcPr>
            <w:tcW w:type="dxa" w:w="6160"/>
            <w:vAlign w:val="center"/>
            <w:tcMar>
              <w:top w:w="80" w:type="dxa"/>
              <w:start w:w="120" w:type="dxa"/>
              <w:bottom w:w="80" w:type="dxa"/>
              <w:end w:w="120" w:type="dxa"/>
            </w:tcMar>
          </w:tcPr>
          <w:p>
            <w:pPr>
              <w:jc w:val="left"/>
            </w:pPr>
            <w:r>
              <w:rPr>
                <w:rFonts w:ascii="Calibri" w:hAnsi="Calibri"/>
                <w:color w:val="2E2D32"/>
                <w:sz w:val="18"/>
              </w:rPr>
              <w:t>IME Conecta</w:t>
            </w:r>
          </w:p>
        </w:tc>
      </w:tr>
      <w:tr>
        <w:tc>
          <w:tcPr>
            <w:tcW w:type="dxa" w:w="3200"/>
            <w:vAlign w:val="center"/>
            <w:tcMar>
              <w:top w:w="80" w:type="dxa"/>
              <w:start w:w="120" w:type="dxa"/>
              <w:bottom w:w="80" w:type="dxa"/>
              <w:end w:w="120" w:type="dxa"/>
            </w:tcMar>
          </w:tcPr>
          <w:p>
            <w:pPr>
              <w:jc w:val="left"/>
            </w:pPr>
            <w:r>
              <w:rPr>
                <w:rFonts w:ascii="Calibri" w:hAnsi="Calibri"/>
                <w:color w:val="2E2D32"/>
                <w:sz w:val="18"/>
              </w:rPr>
              <w:t>Acuerdos sin seguimiento</w:t>
            </w:r>
          </w:p>
        </w:tc>
        <w:tc>
          <w:tcPr>
            <w:tcW w:type="dxa" w:w="6160"/>
            <w:vAlign w:val="center"/>
            <w:tcMar>
              <w:top w:w="80" w:type="dxa"/>
              <w:start w:w="120" w:type="dxa"/>
              <w:bottom w:w="80" w:type="dxa"/>
              <w:end w:w="120" w:type="dxa"/>
            </w:tcMar>
          </w:tcPr>
          <w:p>
            <w:pPr>
              <w:jc w:val="left"/>
            </w:pPr>
            <w:r>
              <w:rPr>
                <w:rFonts w:ascii="Calibri" w:hAnsi="Calibri"/>
                <w:color w:val="2E2D32"/>
                <w:sz w:val="18"/>
              </w:rPr>
              <w:t>Matriz de acuerdos</w:t>
            </w:r>
          </w:p>
        </w:tc>
      </w:tr>
      <w:tr>
        <w:tc>
          <w:tcPr>
            <w:tcW w:type="dxa" w:w="3200"/>
            <w:vAlign w:val="center"/>
            <w:tcMar>
              <w:top w:w="80" w:type="dxa"/>
              <w:start w:w="120" w:type="dxa"/>
              <w:bottom w:w="80" w:type="dxa"/>
              <w:end w:w="120" w:type="dxa"/>
            </w:tcMar>
          </w:tcPr>
          <w:p>
            <w:pPr>
              <w:jc w:val="left"/>
            </w:pPr>
            <w:r>
              <w:rPr>
                <w:rFonts w:ascii="Calibri" w:hAnsi="Calibri"/>
                <w:color w:val="2E2D32"/>
                <w:sz w:val="18"/>
              </w:rPr>
              <w:t>Sobrecarga del directorio</w:t>
            </w:r>
          </w:p>
        </w:tc>
        <w:tc>
          <w:tcPr>
            <w:tcW w:type="dxa" w:w="6160"/>
            <w:vAlign w:val="center"/>
            <w:tcMar>
              <w:top w:w="80" w:type="dxa"/>
              <w:start w:w="120" w:type="dxa"/>
              <w:bottom w:w="80" w:type="dxa"/>
              <w:end w:w="120" w:type="dxa"/>
            </w:tcMar>
          </w:tcPr>
          <w:p>
            <w:pPr>
              <w:jc w:val="left"/>
            </w:pPr>
            <w:r>
              <w:rPr>
                <w:rFonts w:ascii="Calibri" w:hAnsi="Calibri"/>
                <w:color w:val="2E2D32"/>
                <w:sz w:val="18"/>
              </w:rPr>
              <w:t>Separacion directiva / operativa</w:t>
            </w:r>
          </w:p>
        </w:tc>
      </w:tr>
      <w:tr>
        <w:tc>
          <w:tcPr>
            <w:tcW w:type="dxa" w:w="3200"/>
            <w:vAlign w:val="center"/>
            <w:tcMar>
              <w:top w:w="80" w:type="dxa"/>
              <w:start w:w="120" w:type="dxa"/>
              <w:bottom w:w="80" w:type="dxa"/>
              <w:end w:w="120" w:type="dxa"/>
            </w:tcMar>
          </w:tcPr>
          <w:p>
            <w:pPr>
              <w:jc w:val="left"/>
            </w:pPr>
            <w:r>
              <w:rPr>
                <w:rFonts w:ascii="Calibri" w:hAnsi="Calibri"/>
                <w:color w:val="2E2D32"/>
                <w:sz w:val="18"/>
              </w:rPr>
              <w:t>Directores sin area clara</w:t>
            </w:r>
          </w:p>
        </w:tc>
        <w:tc>
          <w:tcPr>
            <w:tcW w:type="dxa" w:w="6160"/>
            <w:vAlign w:val="center"/>
            <w:tcMar>
              <w:top w:w="80" w:type="dxa"/>
              <w:start w:w="120" w:type="dxa"/>
              <w:bottom w:w="80" w:type="dxa"/>
              <w:end w:w="120" w:type="dxa"/>
            </w:tcMar>
          </w:tcPr>
          <w:p>
            <w:pPr>
              <w:jc w:val="left"/>
            </w:pPr>
            <w:r>
              <w:rPr>
                <w:rFonts w:ascii="Calibri" w:hAnsi="Calibri"/>
                <w:color w:val="2E2D32"/>
                <w:sz w:val="18"/>
              </w:rPr>
              <w:t>Carteras Directivas Estrategicas</w:t>
            </w:r>
          </w:p>
        </w:tc>
      </w:tr>
      <w:tr>
        <w:tc>
          <w:tcPr>
            <w:tcW w:type="dxa" w:w="3200"/>
            <w:vAlign w:val="center"/>
            <w:tcMar>
              <w:top w:w="80" w:type="dxa"/>
              <w:start w:w="120" w:type="dxa"/>
              <w:bottom w:w="80" w:type="dxa"/>
              <w:end w:w="120" w:type="dxa"/>
            </w:tcMar>
          </w:tcPr>
          <w:p>
            <w:pPr>
              <w:jc w:val="left"/>
            </w:pPr>
            <w:r>
              <w:rPr>
                <w:rFonts w:ascii="Calibri" w:hAnsi="Calibri"/>
                <w:color w:val="2E2D32"/>
                <w:sz w:val="18"/>
              </w:rPr>
              <w:t>Proyectos sin priorizacion</w:t>
            </w:r>
          </w:p>
        </w:tc>
        <w:tc>
          <w:tcPr>
            <w:tcW w:type="dxa" w:w="6160"/>
            <w:vAlign w:val="center"/>
            <w:tcMar>
              <w:top w:w="80" w:type="dxa"/>
              <w:start w:w="120" w:type="dxa"/>
              <w:bottom w:w="80" w:type="dxa"/>
              <w:end w:w="120" w:type="dxa"/>
            </w:tcMar>
          </w:tcPr>
          <w:p>
            <w:pPr>
              <w:jc w:val="left"/>
            </w:pPr>
            <w:r>
              <w:rPr>
                <w:rFonts w:ascii="Calibri" w:hAnsi="Calibri"/>
                <w:color w:val="2E2D32"/>
                <w:sz w:val="18"/>
              </w:rPr>
              <w:t>Matriz de cartera y semaforo</w:t>
            </w:r>
          </w:p>
        </w:tc>
      </w:tr>
      <w:tr>
        <w:tc>
          <w:tcPr>
            <w:tcW w:type="dxa" w:w="3200"/>
            <w:vAlign w:val="center"/>
            <w:tcMar>
              <w:top w:w="80" w:type="dxa"/>
              <w:start w:w="120" w:type="dxa"/>
              <w:bottom w:w="80" w:type="dxa"/>
              <w:end w:w="120" w:type="dxa"/>
            </w:tcMar>
          </w:tcPr>
          <w:p>
            <w:pPr>
              <w:jc w:val="left"/>
            </w:pPr>
            <w:r>
              <w:rPr>
                <w:rFonts w:ascii="Calibri" w:hAnsi="Calibri"/>
                <w:color w:val="2E2D32"/>
                <w:sz w:val="18"/>
              </w:rPr>
              <w:t>Datos personales sin politica</w:t>
            </w:r>
          </w:p>
        </w:tc>
        <w:tc>
          <w:tcPr>
            <w:tcW w:type="dxa" w:w="6160"/>
            <w:vAlign w:val="center"/>
            <w:tcMar>
              <w:top w:w="80" w:type="dxa"/>
              <w:start w:w="120" w:type="dxa"/>
              <w:bottom w:w="80" w:type="dxa"/>
              <w:end w:w="120" w:type="dxa"/>
            </w:tcMar>
          </w:tcPr>
          <w:p>
            <w:pPr>
              <w:jc w:val="left"/>
            </w:pPr>
            <w:r>
              <w:rPr>
                <w:rFonts w:ascii="Calibri" w:hAnsi="Calibri"/>
                <w:color w:val="2E2D32"/>
                <w:sz w:val="18"/>
              </w:rPr>
              <w:t>Gobernanza de datos y Ley 21.719</w:t>
            </w:r>
          </w:p>
        </w:tc>
      </w:tr>
      <w:tr>
        <w:tc>
          <w:tcPr>
            <w:tcW w:type="dxa" w:w="3200"/>
            <w:vAlign w:val="center"/>
            <w:tcMar>
              <w:top w:w="80" w:type="dxa"/>
              <w:start w:w="120" w:type="dxa"/>
              <w:bottom w:w="80" w:type="dxa"/>
              <w:end w:w="120" w:type="dxa"/>
            </w:tcMar>
          </w:tcPr>
          <w:p>
            <w:pPr>
              <w:jc w:val="left"/>
            </w:pPr>
            <w:r>
              <w:rPr>
                <w:rFonts w:ascii="Calibri" w:hAnsi="Calibri"/>
                <w:color w:val="2E2D32"/>
                <w:sz w:val="18"/>
              </w:rPr>
              <w:t>Alianzas informales</w:t>
            </w:r>
          </w:p>
        </w:tc>
        <w:tc>
          <w:tcPr>
            <w:tcW w:type="dxa" w:w="6160"/>
            <w:vAlign w:val="center"/>
            <w:tcMar>
              <w:top w:w="80" w:type="dxa"/>
              <w:start w:w="120" w:type="dxa"/>
              <w:bottom w:w="80" w:type="dxa"/>
              <w:end w:w="120" w:type="dxa"/>
            </w:tcMar>
          </w:tcPr>
          <w:p>
            <w:pPr>
              <w:jc w:val="left"/>
            </w:pPr>
            <w:r>
              <w:rPr>
                <w:rFonts w:ascii="Calibri" w:hAnsi="Calibri"/>
                <w:color w:val="2E2D32"/>
                <w:sz w:val="18"/>
              </w:rPr>
              <w:t>Protocolo de alianzas externas</w:t>
            </w:r>
          </w:p>
        </w:tc>
      </w:tr>
      <w:tr>
        <w:tc>
          <w:tcPr>
            <w:tcW w:type="dxa" w:w="3200"/>
            <w:vAlign w:val="center"/>
            <w:tcMar>
              <w:top w:w="80" w:type="dxa"/>
              <w:start w:w="120" w:type="dxa"/>
              <w:bottom w:w="80" w:type="dxa"/>
              <w:end w:w="120" w:type="dxa"/>
            </w:tcMar>
          </w:tcPr>
          <w:p>
            <w:pPr>
              <w:jc w:val="left"/>
            </w:pPr>
            <w:r>
              <w:rPr>
                <w:rFonts w:ascii="Calibri" w:hAnsi="Calibri"/>
                <w:color w:val="2E2D32"/>
                <w:sz w:val="18"/>
              </w:rPr>
              <w:t>Trabajo operativo invisibilizado</w:t>
            </w:r>
          </w:p>
        </w:tc>
        <w:tc>
          <w:tcPr>
            <w:tcW w:type="dxa" w:w="6160"/>
            <w:vAlign w:val="center"/>
            <w:tcMar>
              <w:top w:w="80" w:type="dxa"/>
              <w:start w:w="120" w:type="dxa"/>
              <w:bottom w:w="80" w:type="dxa"/>
              <w:end w:w="120" w:type="dxa"/>
            </w:tcMar>
          </w:tcPr>
          <w:p>
            <w:pPr>
              <w:jc w:val="left"/>
            </w:pPr>
            <w:r>
              <w:rPr>
                <w:rFonts w:ascii="Calibri" w:hAnsi="Calibri"/>
                <w:color w:val="2E2D32"/>
                <w:sz w:val="18"/>
              </w:rPr>
              <w:t>Politica de valorizacion del trabajo</w:t>
            </w:r>
          </w:p>
        </w:tc>
      </w:tr>
    </w:tbl>
    <w:p>
      <w:pPr>
        <w:spacing w:before="0" w:after="120" w:line="320" w:lineRule="auto"/>
      </w:pPr>
    </w:p>
    <w:p>
      <w:pPr>
        <w:pStyle w:val="Heading1"/>
      </w:pPr>
      <w:r>
        <w:t>07. Concepto rector</w:t>
      </w:r>
    </w:p>
    <w:p>
      <w:pPr>
        <w:spacing w:before="0" w:after="160" w:line="320" w:lineRule="auto"/>
        <w:jc w:val="both"/>
      </w:pPr>
      <w:r>
        <w:t>Gobernanza operacional para una nueva escala gremial</w:t>
      </w:r>
    </w:p>
    <w:p>
      <w:pPr>
        <w:spacing w:before="0" w:after="160" w:line="320" w:lineRule="auto"/>
        <w:jc w:val="both"/>
      </w:pPr>
      <w:r>
        <w:t>La propuesta plantea que IME Chile necesita una gobernanza operacional que permita sostener su crecimiento gremial, ordenar su base interna y habilitar proyectos estrategicos de mayor escala.</w:t>
      </w:r>
    </w:p>
    <w:tbl>
      <w:tblPr>
        <w:tblW w:type="dxa" w:w="9360"/>
        <w:jc w:val="left"/>
        <w:tblLayout w:type="fixed"/>
        <w:tblLook w:firstColumn="1" w:firstRow="1" w:lastColumn="0" w:lastRow="0" w:noHBand="0" w:noVBand="1" w:val="04A0"/>
        <w:tblInd w:w="120" w:type="dxa"/>
        <w:tblBorders>
          <w:top w:val="single" w:sz="6" w:space="0" w:color="9ADFD6"/>
          <w:left w:val="single" w:sz="6" w:space="0" w:color="9ADFD6"/>
          <w:bottom w:val="single" w:sz="6" w:space="0" w:color="9ADFD6"/>
          <w:right w:val="single" w:sz="6" w:space="0" w:color="9ADFD6"/>
          <w:insideH w:val="single" w:sz="6" w:space="0" w:color="9ADFD6"/>
          <w:insideV w:val="single" w:sz="6" w:space="0" w:color="9ADFD6"/>
        </w:tblBorders>
      </w:tblPr>
      <w:tblGrid>
        <w:gridCol w:w="9360"/>
      </w:tblGrid>
      <w:tr>
        <w:tc>
          <w:tcPr>
            <w:tcW w:type="dxa" w:w="9360"/>
            <w:vAlign w:val="center"/>
            <w:tcMar>
              <w:top w:w="80" w:type="dxa"/>
              <w:start w:w="120" w:type="dxa"/>
              <w:bottom w:w="80" w:type="dxa"/>
              <w:end w:w="120" w:type="dxa"/>
            </w:tcMar>
            <w:shd w:fill="F4F6F9"/>
          </w:tcPr>
          <w:p>
            <w:pPr>
              <w:spacing w:before="40" w:after="40" w:line="290" w:lineRule="auto"/>
            </w:pPr>
            <w:r>
              <w:rPr>
                <w:rFonts w:ascii="Calibri" w:hAnsi="Calibri"/>
                <w:b/>
                <w:color w:val="2E2D32"/>
              </w:rPr>
              <w:t>Ordenar para crecer.</w:t>
            </w:r>
          </w:p>
        </w:tc>
      </w:tr>
    </w:tbl>
    <w:p>
      <w:pPr>
        <w:spacing w:before="0" w:after="80" w:line="320" w:lineRule="auto"/>
      </w:pPr>
    </w:p>
    <w:tbl>
      <w:tblPr>
        <w:tblW w:type="dxa" w:w="9360"/>
        <w:jc w:val="left"/>
        <w:tblLayout w:type="fixed"/>
        <w:tblLook w:firstColumn="1" w:firstRow="1" w:lastColumn="0" w:lastRow="0" w:noHBand="0" w:noVBand="1" w:val="04A0"/>
        <w:tblInd w:w="120" w:type="dxa"/>
        <w:tblBorders>
          <w:top w:val="single" w:sz="6" w:space="0" w:color="9ADFD6"/>
          <w:left w:val="single" w:sz="6" w:space="0" w:color="9ADFD6"/>
          <w:bottom w:val="single" w:sz="6" w:space="0" w:color="9ADFD6"/>
          <w:right w:val="single" w:sz="6" w:space="0" w:color="9ADFD6"/>
          <w:insideH w:val="single" w:sz="6" w:space="0" w:color="9ADFD6"/>
          <w:insideV w:val="single" w:sz="6" w:space="0" w:color="9ADFD6"/>
        </w:tblBorders>
      </w:tblPr>
      <w:tblGrid>
        <w:gridCol w:w="9360"/>
      </w:tblGrid>
      <w:tr>
        <w:tc>
          <w:tcPr>
            <w:tcW w:type="dxa" w:w="9360"/>
            <w:vAlign w:val="center"/>
            <w:tcMar>
              <w:top w:w="80" w:type="dxa"/>
              <w:start w:w="120" w:type="dxa"/>
              <w:bottom w:w="80" w:type="dxa"/>
              <w:end w:w="120" w:type="dxa"/>
            </w:tcMar>
            <w:shd w:fill="F4F6F9"/>
          </w:tcPr>
          <w:p>
            <w:pPr>
              <w:spacing w:before="40" w:after="40" w:line="290" w:lineRule="auto"/>
            </w:pPr>
            <w:r>
              <w:rPr>
                <w:rFonts w:ascii="Calibri" w:hAnsi="Calibri"/>
                <w:b/>
                <w:color w:val="2E2D32"/>
              </w:rPr>
              <w:t>La infraestructura interna tambien es estrategia.</w:t>
            </w:r>
          </w:p>
        </w:tc>
      </w:tr>
    </w:tbl>
    <w:p>
      <w:pPr>
        <w:spacing w:before="0" w:after="80" w:line="320" w:lineRule="auto"/>
      </w:pPr>
    </w:p>
    <w:tbl>
      <w:tblPr>
        <w:tblW w:type="dxa" w:w="9360"/>
        <w:jc w:val="left"/>
        <w:tblLayout w:type="fixed"/>
        <w:tblLook w:firstColumn="1" w:firstRow="1" w:lastColumn="0" w:lastRow="0" w:noHBand="0" w:noVBand="1" w:val="04A0"/>
        <w:tblInd w:w="120" w:type="dxa"/>
        <w:tblBorders>
          <w:top w:val="single" w:sz="6" w:space="0" w:color="9ADFD6"/>
          <w:left w:val="single" w:sz="6" w:space="0" w:color="9ADFD6"/>
          <w:bottom w:val="single" w:sz="6" w:space="0" w:color="9ADFD6"/>
          <w:right w:val="single" w:sz="6" w:space="0" w:color="9ADFD6"/>
          <w:insideH w:val="single" w:sz="6" w:space="0" w:color="9ADFD6"/>
          <w:insideV w:val="single" w:sz="6" w:space="0" w:color="9ADFD6"/>
        </w:tblBorders>
      </w:tblPr>
      <w:tblGrid>
        <w:gridCol w:w="9360"/>
      </w:tblGrid>
      <w:tr>
        <w:tc>
          <w:tcPr>
            <w:tcW w:type="dxa" w:w="9360"/>
            <w:vAlign w:val="center"/>
            <w:tcMar>
              <w:top w:w="80" w:type="dxa"/>
              <w:start w:w="120" w:type="dxa"/>
              <w:bottom w:w="80" w:type="dxa"/>
              <w:end w:w="120" w:type="dxa"/>
            </w:tcMar>
            <w:shd w:fill="F4F6F9"/>
          </w:tcPr>
          <w:p>
            <w:pPr>
              <w:spacing w:before="40" w:after="40" w:line="290" w:lineRule="auto"/>
            </w:pPr>
            <w:r>
              <w:rPr>
                <w:rFonts w:ascii="Calibri" w:hAnsi="Calibri"/>
                <w:b/>
                <w:color w:val="2E2D32"/>
              </w:rPr>
              <w:t>IME Conecta no compite con IME Link 2027: lo habilita.</w:t>
            </w:r>
          </w:p>
        </w:tc>
      </w:tr>
    </w:tbl>
    <w:p>
      <w:pPr>
        <w:spacing w:before="0" w:after="80" w:line="320" w:lineRule="auto"/>
      </w:pPr>
    </w:p>
    <w:p>
      <w:pPr>
        <w:pStyle w:val="Heading1"/>
      </w:pPr>
      <w:r>
        <w:t>08. IME Conecta</w:t>
      </w:r>
    </w:p>
    <w:p>
      <w:pPr>
        <w:spacing w:before="0" w:after="120" w:line="320" w:lineRule="auto"/>
      </w:pPr>
      <w:r>
        <w:rPr>
          <w:rFonts w:ascii="Calibri" w:hAnsi="Calibri"/>
          <w:i/>
          <w:color w:val="4D4C54"/>
          <w:sz w:val="24"/>
        </w:rPr>
        <w:t>Infraestructura interna de gestion gremial</w:t>
      </w:r>
    </w:p>
    <w:p>
      <w:pPr>
        <w:spacing w:before="0" w:after="160" w:line="320" w:lineRule="auto"/>
        <w:jc w:val="both"/>
      </w:pPr>
      <w:r>
        <w:t>IME Conecta sera la plataforma interna y modelo de coordinacion gremial orientado a ordenar la base de socios/as, comites de trabajo, acuerdos de directorio, documentos institucionales, proyectos estrategicos, responsables, plazos, activos digitales y avances.</w:t>
      </w:r>
    </w:p>
    <w:tbl>
      <w:tblPr>
        <w:tblW w:type="dxa" w:w="9360"/>
        <w:jc w:val="left"/>
        <w:tblLayout w:type="fixed"/>
        <w:tblLook w:firstColumn="1" w:firstRow="1" w:lastColumn="0" w:lastRow="0" w:noHBand="0" w:noVBand="1" w:val="04A0"/>
        <w:tblInd w:w="120" w:type="dxa"/>
        <w:tblBorders>
          <w:top w:val="single" w:sz="6" w:space="0" w:color="9ADFD6"/>
          <w:left w:val="single" w:sz="6" w:space="0" w:color="9ADFD6"/>
          <w:bottom w:val="single" w:sz="6" w:space="0" w:color="9ADFD6"/>
          <w:right w:val="single" w:sz="6" w:space="0" w:color="9ADFD6"/>
          <w:insideH w:val="single" w:sz="6" w:space="0" w:color="9ADFD6"/>
          <w:insideV w:val="single" w:sz="6" w:space="0" w:color="9ADFD6"/>
        </w:tblBorders>
      </w:tblPr>
      <w:tblGrid>
        <w:gridCol w:w="9360"/>
      </w:tblGrid>
      <w:tr>
        <w:tc>
          <w:tcPr>
            <w:tcW w:type="dxa" w:w="9360"/>
            <w:vAlign w:val="center"/>
            <w:tcMar>
              <w:top w:w="80" w:type="dxa"/>
              <w:start w:w="120" w:type="dxa"/>
              <w:bottom w:w="80" w:type="dxa"/>
              <w:end w:w="120" w:type="dxa"/>
            </w:tcMar>
            <w:shd w:fill="F4F6F9"/>
          </w:tcPr>
          <w:p>
            <w:pPr>
              <w:spacing w:before="40" w:after="40" w:line="290" w:lineRule="auto"/>
            </w:pPr>
            <w:r>
              <w:rPr>
                <w:rFonts w:ascii="Calibri" w:hAnsi="Calibri"/>
                <w:b/>
                <w:color w:val="2E2D32"/>
              </w:rPr>
              <w:t>No se presenta como simple software, sino como infraestructura de gestion.</w:t>
            </w:r>
          </w:p>
        </w:tc>
      </w:tr>
    </w:tbl>
    <w:p>
      <w:pPr>
        <w:spacing w:before="0" w:after="80" w:line="320" w:lineRule="auto"/>
      </w:pPr>
    </w:p>
    <w:p>
      <w:pPr>
        <w:pStyle w:val="Heading2"/>
      </w:pPr>
      <w:r>
        <w:t>Componentes</w:t>
      </w:r>
    </w:p>
    <w:p>
      <w:pPr>
        <w:pStyle w:val="ListBullet"/>
        <w:spacing w:after="80" w:line="290" w:lineRule="auto"/>
      </w:pPr>
      <w:r>
        <w:t>Socios/as</w:t>
      </w:r>
    </w:p>
    <w:p>
      <w:pPr>
        <w:pStyle w:val="ListBullet"/>
        <w:spacing w:after="80" w:line="290" w:lineRule="auto"/>
      </w:pPr>
      <w:r>
        <w:t>Comites</w:t>
      </w:r>
    </w:p>
    <w:p>
      <w:pPr>
        <w:pStyle w:val="ListBullet"/>
        <w:spacing w:after="80" w:line="290" w:lineRule="auto"/>
      </w:pPr>
      <w:r>
        <w:t>Acuerdos</w:t>
      </w:r>
    </w:p>
    <w:p>
      <w:pPr>
        <w:pStyle w:val="ListBullet"/>
        <w:spacing w:after="80" w:line="290" w:lineRule="auto"/>
      </w:pPr>
      <w:r>
        <w:t>Documentos</w:t>
      </w:r>
    </w:p>
    <w:p>
      <w:pPr>
        <w:pStyle w:val="ListBullet"/>
        <w:spacing w:after="80" w:line="290" w:lineRule="auto"/>
      </w:pPr>
      <w:r>
        <w:t>Proyectos</w:t>
      </w:r>
    </w:p>
    <w:p>
      <w:pPr>
        <w:pStyle w:val="ListBullet"/>
        <w:spacing w:after="80" w:line="290" w:lineRule="auto"/>
      </w:pPr>
      <w:r>
        <w:t>Activos digitales</w:t>
      </w:r>
    </w:p>
    <w:p>
      <w:pPr>
        <w:pStyle w:val="ListBullet"/>
        <w:spacing w:after="80" w:line="290" w:lineRule="auto"/>
      </w:pPr>
      <w:r>
        <w:t>Datos personales</w:t>
      </w:r>
    </w:p>
    <w:p>
      <w:pPr>
        <w:pStyle w:val="ListBullet"/>
        <w:spacing w:after="80" w:line="290" w:lineRule="auto"/>
      </w:pPr>
      <w:r>
        <w:t>Trazabilidad</w:t>
      </w:r>
    </w:p>
    <w:p>
      <w:pPr>
        <w:pStyle w:val="ListBullet"/>
        <w:spacing w:after="80" w:line="290" w:lineRule="auto"/>
      </w:pPr>
      <w:r>
        <w:t>Comunicaciones internas</w:t>
      </w:r>
    </w:p>
    <w:p>
      <w:pPr>
        <w:pStyle w:val="ListBullet"/>
        <w:spacing w:after="80" w:line="290" w:lineRule="auto"/>
      </w:pPr>
      <w:r>
        <w:t>Reportes</w:t>
      </w:r>
    </w:p>
    <w:p>
      <w:pPr>
        <w:pStyle w:val="Heading1"/>
      </w:pPr>
      <w:r>
        <w:t>09. Usabilidad de tecnologias web para la gestion operativa</w:t>
      </w:r>
    </w:p>
    <w:p>
      <w:pPr>
        <w:spacing w:before="0" w:after="120" w:line="320" w:lineRule="auto"/>
      </w:pPr>
      <w:r>
        <w:rPr>
          <w:rFonts w:ascii="Calibri" w:hAnsi="Calibri"/>
          <w:i/>
          <w:color w:val="4D4C54"/>
          <w:sz w:val="24"/>
        </w:rPr>
        <w:t>Capa Web-Video API</w:t>
      </w:r>
    </w:p>
    <w:p>
      <w:pPr>
        <w:spacing w:before="0" w:after="160" w:line="320" w:lineRule="auto"/>
        <w:jc w:val="both"/>
      </w:pPr>
      <w:r>
        <w:t>IME Conecta puede usar capacidades nativas del navegador para resolver tareas operativas simples sin agregar friccion: registrar una foto de avatar, respaldar una rendicion de gastos o dejar evidencia visual de una accion administrativa.</w:t>
      </w:r>
    </w:p>
    <w:tbl>
      <w:tblPr>
        <w:tblW w:type="dxa" w:w="9360"/>
        <w:jc w:val="left"/>
        <w:tblLayout w:type="fixed"/>
        <w:tblLook w:firstColumn="1" w:firstRow="1" w:lastColumn="0" w:lastRow="0" w:noHBand="0" w:noVBand="1" w:val="04A0"/>
        <w:tblInd w:w="120" w:type="dxa"/>
        <w:tblBorders>
          <w:top w:val="single" w:sz="6" w:space="0" w:color="9ADFD6"/>
          <w:left w:val="single" w:sz="6" w:space="0" w:color="9ADFD6"/>
          <w:bottom w:val="single" w:sz="6" w:space="0" w:color="9ADFD6"/>
          <w:right w:val="single" w:sz="6" w:space="0" w:color="9ADFD6"/>
          <w:insideH w:val="single" w:sz="6" w:space="0" w:color="9ADFD6"/>
          <w:insideV w:val="single" w:sz="6" w:space="0" w:color="9ADFD6"/>
        </w:tblBorders>
      </w:tblPr>
      <w:tblGrid>
        <w:gridCol w:w="9360"/>
      </w:tblGrid>
      <w:tr>
        <w:tc>
          <w:tcPr>
            <w:tcW w:type="dxa" w:w="9360"/>
            <w:vAlign w:val="center"/>
            <w:tcMar>
              <w:top w:w="80" w:type="dxa"/>
              <w:start w:w="120" w:type="dxa"/>
              <w:bottom w:w="80" w:type="dxa"/>
              <w:end w:w="120" w:type="dxa"/>
            </w:tcMar>
            <w:shd w:fill="F4F6F9"/>
          </w:tcPr>
          <w:p>
            <w:pPr>
              <w:spacing w:before="40" w:after="40" w:line="290" w:lineRule="auto"/>
            </w:pPr>
            <w:r>
              <w:rPr>
                <w:rFonts w:ascii="Calibri" w:hAnsi="Calibri"/>
                <w:b/>
                <w:color w:val="2E2D32"/>
              </w:rPr>
              <w:t>Presencia local con trazabilidad visual: la captura ocurre en el navegador, con accion explicita y sin subir imagenes a servidores externos.</w:t>
            </w:r>
          </w:p>
        </w:tc>
      </w:tr>
    </w:tbl>
    <w:p>
      <w:pPr>
        <w:spacing w:before="0" w:after="80" w:line="320" w:lineRule="auto"/>
      </w:pPr>
    </w:p>
    <w:p>
      <w:pPr>
        <w:pStyle w:val="ListBullet"/>
        <w:spacing w:after="80" w:line="290" w:lineRule="auto"/>
      </w:pPr>
      <w:r>
        <w:t>Foto de avatar para ficha de socio/a, comite o responsable operativo.</w:t>
      </w:r>
    </w:p>
    <w:p>
      <w:pPr>
        <w:pStyle w:val="ListBullet"/>
        <w:spacing w:after="80" w:line="290" w:lineRule="auto"/>
      </w:pPr>
      <w:r>
        <w:t>Foto de boleta para rendicion de gastos y respaldo documental.</w:t>
      </w:r>
    </w:p>
    <w:p>
      <w:pPr>
        <w:pStyle w:val="ListBullet"/>
        <w:spacing w:after="80" w:line="290" w:lineRule="auto"/>
      </w:pPr>
      <w:r>
        <w:t>Captura local descargable para adjuntar luego al flujo interno que corresponda.</w:t>
      </w:r>
    </w:p>
    <w:p>
      <w:pPr>
        <w:pStyle w:val="ListBullet"/>
        <w:spacing w:after="80" w:line="290" w:lineRule="auto"/>
      </w:pPr>
      <w:r>
        <w:t>Procesamiento visual en Canvas para validar encuadre y origen de la captura.</w:t>
      </w:r>
    </w:p>
    <w:p>
      <w:pPr>
        <w:pStyle w:val="Heading1"/>
      </w:pPr>
      <w:r>
        <w:t>10. Oportunidad inmediata: Sercotec Fortalecimiento Gremial</w:t>
      </w:r>
    </w:p>
    <w:p>
      <w:pPr>
        <w:spacing w:before="0" w:after="160" w:line="320" w:lineRule="auto"/>
        <w:jc w:val="both"/>
      </w:pPr>
      <w:r>
        <w:t>El fondo Sercotec Fortalecimiento Gremial representa una oportunidad tactica inmediata para financiar una primera etapa de IME Conecta.</w:t>
      </w:r>
    </w:p>
    <w:tbl>
      <w:tblPr>
        <w:tblW w:type="dxa" w:w="9360"/>
        <w:jc w:val="left"/>
        <w:tblLayout w:type="fixed"/>
        <w:tblLook w:firstColumn="1" w:firstRow="1" w:lastColumn="0" w:lastRow="0" w:noHBand="0" w:noVBand="1" w:val="04A0"/>
        <w:tblInd w:w="120" w:type="dxa"/>
        <w:tblBorders>
          <w:top w:val="single" w:sz="6" w:space="0" w:color="9ADFD6"/>
          <w:left w:val="single" w:sz="6" w:space="0" w:color="9ADFD6"/>
          <w:bottom w:val="single" w:sz="6" w:space="0" w:color="9ADFD6"/>
          <w:right w:val="single" w:sz="6" w:space="0" w:color="9ADFD6"/>
          <w:insideH w:val="single" w:sz="6" w:space="0" w:color="9ADFD6"/>
          <w:insideV w:val="single" w:sz="6" w:space="0" w:color="9ADFD6"/>
        </w:tblBorders>
      </w:tblPr>
      <w:tblGrid>
        <w:gridCol w:w="9360"/>
      </w:tblGrid>
      <w:tr>
        <w:tc>
          <w:tcPr>
            <w:tcW w:type="dxa" w:w="9360"/>
            <w:vAlign w:val="center"/>
            <w:tcMar>
              <w:top w:w="80" w:type="dxa"/>
              <w:start w:w="120" w:type="dxa"/>
              <w:bottom w:w="80" w:type="dxa"/>
              <w:end w:w="120" w:type="dxa"/>
            </w:tcMar>
            <w:shd w:fill="F4F6F9"/>
          </w:tcPr>
          <w:p>
            <w:pPr>
              <w:spacing w:before="40" w:after="40" w:line="290" w:lineRule="auto"/>
            </w:pPr>
            <w:r>
              <w:rPr>
                <w:rFonts w:ascii="Calibri" w:hAnsi="Calibri"/>
                <w:b/>
                <w:color w:val="2E2D32"/>
              </w:rPr>
              <w:t>Foco de postulacion: IME Conecta.</w:t>
            </w:r>
          </w:p>
        </w:tc>
      </w:tr>
    </w:tbl>
    <w:p>
      <w:pPr>
        <w:spacing w:before="0" w:after="80" w:line="320" w:lineRule="auto"/>
      </w:pPr>
    </w:p>
    <w:p>
      <w:pPr>
        <w:pStyle w:val="ListBullet"/>
        <w:spacing w:after="80" w:line="290" w:lineRule="auto"/>
      </w:pPr>
      <w:r>
        <w:t>Proyecto principal de corto plazo.</w:t>
      </w:r>
    </w:p>
    <w:p>
      <w:pPr>
        <w:pStyle w:val="ListBullet"/>
        <w:spacing w:after="80" w:line="290" w:lineRule="auto"/>
      </w:pPr>
      <w:r>
        <w:t>Pertinente con fortalecimiento gremial.</w:t>
      </w:r>
    </w:p>
    <w:p>
      <w:pPr>
        <w:pStyle w:val="ListBullet"/>
        <w:spacing w:after="80" w:line="290" w:lineRule="auto"/>
      </w:pPr>
      <w:r>
        <w:t>Permite financiar ordenamiento interno.</w:t>
      </w:r>
    </w:p>
    <w:p>
      <w:pPr>
        <w:pStyle w:val="ListBullet"/>
        <w:spacing w:after="80" w:line="290" w:lineRule="auto"/>
      </w:pPr>
      <w:r>
        <w:t>Puede apoyar catastro, asesorias, plataforma, gobernanza y vinculacion.</w:t>
      </w:r>
    </w:p>
    <w:p>
      <w:pPr>
        <w:pStyle w:val="ListBullet"/>
        <w:spacing w:after="80" w:line="290" w:lineRule="auto"/>
      </w:pPr>
      <w:r>
        <w:t>Cierra pronto, por lo que requiere decision rapida.</w:t>
      </w:r>
    </w:p>
    <w:p>
      <w:pPr>
        <w:pStyle w:val="Heading1"/>
      </w:pPr>
      <w:r>
        <w:t>11. IME Link 2027 como sujeto de prueba estrategico</w:t>
      </w:r>
    </w:p>
    <w:p>
      <w:pPr>
        <w:spacing w:before="0" w:after="160" w:line="320" w:lineRule="auto"/>
        <w:jc w:val="both"/>
      </w:pPr>
      <w:r>
        <w:t>Propongo mantener IME Link 2027 como sujeto de prueba estrategico para IME Conecta.</w:t>
      </w:r>
    </w:p>
    <w:p>
      <w:pPr>
        <w:spacing w:before="0" w:after="160" w:line="320" w:lineRule="auto"/>
        <w:jc w:val="both"/>
      </w:pPr>
      <w:r>
        <w:t>Esto permite que IME Link 2027 no sea tratado como una prioridad aislada, sino como un caso real para probar la nueva infraestructura de gestion gremial: planificacion, comites, alianzas, trazabilidad, activos digitales, comunicacion, presupuesto y seguimiento.</w:t>
      </w:r>
    </w:p>
    <w:tbl>
      <w:tblPr>
        <w:tblW w:type="dxa" w:w="9360"/>
        <w:jc w:val="left"/>
        <w:tblLayout w:type="fixed"/>
        <w:tblLook w:firstColumn="1" w:firstRow="1" w:lastColumn="0" w:lastRow="0" w:noHBand="0" w:noVBand="1" w:val="04A0"/>
        <w:tblInd w:w="120" w:type="dxa"/>
        <w:tblBorders>
          <w:top w:val="single" w:sz="6" w:space="0" w:color="9ADFD6"/>
          <w:left w:val="single" w:sz="6" w:space="0" w:color="9ADFD6"/>
          <w:bottom w:val="single" w:sz="6" w:space="0" w:color="9ADFD6"/>
          <w:right w:val="single" w:sz="6" w:space="0" w:color="9ADFD6"/>
          <w:insideH w:val="single" w:sz="6" w:space="0" w:color="9ADFD6"/>
          <w:insideV w:val="single" w:sz="6" w:space="0" w:color="9ADFD6"/>
        </w:tblBorders>
      </w:tblPr>
      <w:tblGrid>
        <w:gridCol w:w="9360"/>
      </w:tblGrid>
      <w:tr>
        <w:tc>
          <w:tcPr>
            <w:tcW w:type="dxa" w:w="9360"/>
            <w:vAlign w:val="center"/>
            <w:tcMar>
              <w:top w:w="80" w:type="dxa"/>
              <w:start w:w="120" w:type="dxa"/>
              <w:bottom w:w="80" w:type="dxa"/>
              <w:end w:w="120" w:type="dxa"/>
            </w:tcMar>
            <w:shd w:fill="F4F6F9"/>
          </w:tcPr>
          <w:p>
            <w:pPr>
              <w:spacing w:before="40" w:after="40" w:line="290" w:lineRule="auto"/>
            </w:pPr>
            <w:r>
              <w:rPr>
                <w:rFonts w:ascii="Calibri" w:hAnsi="Calibri"/>
                <w:b/>
                <w:color w:val="2E2D32"/>
              </w:rPr>
              <w:t>IME Link 2027 permite probar si IME Conecta realmente ayuda a sostener proyectos de mayor escala.</w:t>
            </w:r>
          </w:p>
        </w:tc>
      </w:tr>
    </w:tbl>
    <w:p>
      <w:pPr>
        <w:spacing w:before="0" w:after="80" w:line="320" w:lineRule="auto"/>
      </w:pPr>
    </w:p>
    <w:tbl>
      <w:tblPr>
        <w:tblStyle w:val="TableGrid"/>
        <w:tblW w:type="dxa" w:w="9360"/>
        <w:tblLayout w:type="fixed"/>
        <w:tblLook w:firstColumn="1" w:firstRow="1" w:lastColumn="0" w:lastRow="0" w:noHBand="0" w:noVBand="1" w:val="04A0"/>
        <w:jc w:val="left"/>
        <w:tblInd w:w="120" w:type="dxa"/>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4680"/>
        <w:gridCol w:w="4680"/>
      </w:tblGrid>
      <w:tr>
        <w:tc>
          <w:tcPr>
            <w:tcW w:type="dxa" w:w="4680"/>
            <w:vAlign w:val="center"/>
            <w:tcMar>
              <w:top w:w="80" w:type="dxa"/>
              <w:start w:w="120" w:type="dxa"/>
              <w:bottom w:w="80" w:type="dxa"/>
              <w:end w:w="120" w:type="dxa"/>
            </w:tcMar>
            <w:shd w:fill="E8EEF5"/>
          </w:tcPr>
          <w:p>
            <w:pPr>
              <w:jc w:val="left"/>
            </w:pPr>
            <w:r>
              <w:rPr>
                <w:rFonts w:ascii="Calibri" w:hAnsi="Calibri"/>
                <w:b/>
                <w:color w:val="2E2D32"/>
                <w:sz w:val="19"/>
              </w:rPr>
              <w:t>IME Conecta</w:t>
            </w:r>
          </w:p>
        </w:tc>
        <w:tc>
          <w:tcPr>
            <w:tcW w:type="dxa" w:w="4680"/>
            <w:vAlign w:val="center"/>
            <w:tcMar>
              <w:top w:w="80" w:type="dxa"/>
              <w:start w:w="120" w:type="dxa"/>
              <w:bottom w:w="80" w:type="dxa"/>
              <w:end w:w="120" w:type="dxa"/>
            </w:tcMar>
            <w:shd w:fill="E8EEF5"/>
          </w:tcPr>
          <w:p>
            <w:pPr>
              <w:jc w:val="left"/>
            </w:pPr>
            <w:r>
              <w:rPr>
                <w:rFonts w:ascii="Calibri" w:hAnsi="Calibri"/>
                <w:b/>
                <w:color w:val="2E2D32"/>
                <w:sz w:val="19"/>
              </w:rPr>
              <w:t>IME Link 2027</w:t>
            </w:r>
          </w:p>
        </w:tc>
      </w:tr>
      <w:tr>
        <w:tc>
          <w:tcPr>
            <w:tcW w:type="dxa" w:w="4680"/>
            <w:vAlign w:val="center"/>
            <w:tcMar>
              <w:top w:w="80" w:type="dxa"/>
              <w:start w:w="120" w:type="dxa"/>
              <w:bottom w:w="80" w:type="dxa"/>
              <w:end w:w="120" w:type="dxa"/>
            </w:tcMar>
          </w:tcPr>
          <w:p>
            <w:pPr>
              <w:jc w:val="left"/>
            </w:pPr>
            <w:r>
              <w:rPr>
                <w:rFonts w:ascii="Calibri" w:hAnsi="Calibri"/>
                <w:color w:val="2E2D32"/>
                <w:sz w:val="18"/>
              </w:rPr>
              <w:t>Infraestructura interna</w:t>
            </w:r>
          </w:p>
        </w:tc>
        <w:tc>
          <w:tcPr>
            <w:tcW w:type="dxa" w:w="4680"/>
            <w:vAlign w:val="center"/>
            <w:tcMar>
              <w:top w:w="80" w:type="dxa"/>
              <w:start w:w="120" w:type="dxa"/>
              <w:bottom w:w="80" w:type="dxa"/>
              <w:end w:w="120" w:type="dxa"/>
            </w:tcMar>
          </w:tcPr>
          <w:p>
            <w:pPr>
              <w:jc w:val="left"/>
            </w:pPr>
            <w:r>
              <w:rPr>
                <w:rFonts w:ascii="Calibri" w:hAnsi="Calibri"/>
                <w:color w:val="2E2D32"/>
                <w:sz w:val="18"/>
              </w:rPr>
              <w:t>Caso de prueba estrategico</w:t>
            </w:r>
          </w:p>
        </w:tc>
      </w:tr>
      <w:tr>
        <w:tc>
          <w:tcPr>
            <w:tcW w:type="dxa" w:w="4680"/>
            <w:vAlign w:val="center"/>
            <w:tcMar>
              <w:top w:w="80" w:type="dxa"/>
              <w:start w:w="120" w:type="dxa"/>
              <w:bottom w:w="80" w:type="dxa"/>
              <w:end w:w="120" w:type="dxa"/>
            </w:tcMar>
          </w:tcPr>
          <w:p>
            <w:pPr>
              <w:jc w:val="left"/>
            </w:pPr>
            <w:r>
              <w:rPr>
                <w:rFonts w:ascii="Calibri" w:hAnsi="Calibri"/>
                <w:color w:val="2E2D32"/>
                <w:sz w:val="18"/>
              </w:rPr>
              <w:t>Gestion gremial</w:t>
            </w:r>
          </w:p>
        </w:tc>
        <w:tc>
          <w:tcPr>
            <w:tcW w:type="dxa" w:w="4680"/>
            <w:vAlign w:val="center"/>
            <w:tcMar>
              <w:top w:w="80" w:type="dxa"/>
              <w:start w:w="120" w:type="dxa"/>
              <w:bottom w:w="80" w:type="dxa"/>
              <w:end w:w="120" w:type="dxa"/>
            </w:tcMar>
          </w:tcPr>
          <w:p>
            <w:pPr>
              <w:jc w:val="left"/>
            </w:pPr>
            <w:r>
              <w:rPr>
                <w:rFonts w:ascii="Calibri" w:hAnsi="Calibri"/>
                <w:color w:val="2E2D32"/>
                <w:sz w:val="18"/>
              </w:rPr>
              <w:t>Hito publico-cultural</w:t>
            </w:r>
          </w:p>
        </w:tc>
      </w:tr>
      <w:tr>
        <w:tc>
          <w:tcPr>
            <w:tcW w:type="dxa" w:w="4680"/>
            <w:vAlign w:val="center"/>
            <w:tcMar>
              <w:top w:w="80" w:type="dxa"/>
              <w:start w:w="120" w:type="dxa"/>
              <w:bottom w:w="80" w:type="dxa"/>
              <w:end w:w="120" w:type="dxa"/>
            </w:tcMar>
          </w:tcPr>
          <w:p>
            <w:pPr>
              <w:jc w:val="left"/>
            </w:pPr>
            <w:r>
              <w:rPr>
                <w:rFonts w:ascii="Calibri" w:hAnsi="Calibri"/>
                <w:color w:val="2E2D32"/>
                <w:sz w:val="18"/>
              </w:rPr>
              <w:t>Matrices y trazabilidad</w:t>
            </w:r>
          </w:p>
        </w:tc>
        <w:tc>
          <w:tcPr>
            <w:tcW w:type="dxa" w:w="4680"/>
            <w:vAlign w:val="center"/>
            <w:tcMar>
              <w:top w:w="80" w:type="dxa"/>
              <w:start w:w="120" w:type="dxa"/>
              <w:bottom w:w="80" w:type="dxa"/>
              <w:end w:w="120" w:type="dxa"/>
            </w:tcMar>
          </w:tcPr>
          <w:p>
            <w:pPr>
              <w:jc w:val="left"/>
            </w:pPr>
            <w:r>
              <w:rPr>
                <w:rFonts w:ascii="Calibri" w:hAnsi="Calibri"/>
                <w:color w:val="2E2D32"/>
                <w:sz w:val="18"/>
              </w:rPr>
              <w:t>Aplicacion real</w:t>
            </w:r>
          </w:p>
        </w:tc>
      </w:tr>
      <w:tr>
        <w:tc>
          <w:tcPr>
            <w:tcW w:type="dxa" w:w="4680"/>
            <w:vAlign w:val="center"/>
            <w:tcMar>
              <w:top w:w="80" w:type="dxa"/>
              <w:start w:w="120" w:type="dxa"/>
              <w:bottom w:w="80" w:type="dxa"/>
              <w:end w:w="120" w:type="dxa"/>
            </w:tcMar>
          </w:tcPr>
          <w:p>
            <w:pPr>
              <w:jc w:val="left"/>
            </w:pPr>
            <w:r>
              <w:rPr>
                <w:rFonts w:ascii="Calibri" w:hAnsi="Calibri"/>
                <w:color w:val="2E2D32"/>
                <w:sz w:val="18"/>
              </w:rPr>
              <w:t>Gobernanza de datos</w:t>
            </w:r>
          </w:p>
        </w:tc>
        <w:tc>
          <w:tcPr>
            <w:tcW w:type="dxa" w:w="4680"/>
            <w:vAlign w:val="center"/>
            <w:tcMar>
              <w:top w:w="80" w:type="dxa"/>
              <w:start w:w="120" w:type="dxa"/>
              <w:bottom w:w="80" w:type="dxa"/>
              <w:end w:w="120" w:type="dxa"/>
            </w:tcMar>
          </w:tcPr>
          <w:p>
            <w:pPr>
              <w:jc w:val="left"/>
            </w:pPr>
            <w:r>
              <w:rPr>
                <w:rFonts w:ascii="Calibri" w:hAnsi="Calibri"/>
                <w:color w:val="2E2D32"/>
                <w:sz w:val="18"/>
              </w:rPr>
              <w:t>Registro y memoria del proyecto</w:t>
            </w:r>
          </w:p>
        </w:tc>
      </w:tr>
      <w:tr>
        <w:tc>
          <w:tcPr>
            <w:tcW w:type="dxa" w:w="4680"/>
            <w:vAlign w:val="center"/>
            <w:tcMar>
              <w:top w:w="80" w:type="dxa"/>
              <w:start w:w="120" w:type="dxa"/>
              <w:bottom w:w="80" w:type="dxa"/>
              <w:end w:w="120" w:type="dxa"/>
            </w:tcMar>
          </w:tcPr>
          <w:p>
            <w:pPr>
              <w:jc w:val="left"/>
            </w:pPr>
            <w:r>
              <w:rPr>
                <w:rFonts w:ascii="Calibri" w:hAnsi="Calibri"/>
                <w:color w:val="2E2D32"/>
                <w:sz w:val="18"/>
              </w:rPr>
              <w:t>Comites y roles</w:t>
            </w:r>
          </w:p>
        </w:tc>
        <w:tc>
          <w:tcPr>
            <w:tcW w:type="dxa" w:w="4680"/>
            <w:vAlign w:val="center"/>
            <w:tcMar>
              <w:top w:w="80" w:type="dxa"/>
              <w:start w:w="120" w:type="dxa"/>
              <w:bottom w:w="80" w:type="dxa"/>
              <w:end w:w="120" w:type="dxa"/>
            </w:tcMar>
          </w:tcPr>
          <w:p>
            <w:pPr>
              <w:jc w:val="left"/>
            </w:pPr>
            <w:r>
              <w:rPr>
                <w:rFonts w:ascii="Calibri" w:hAnsi="Calibri"/>
                <w:color w:val="2E2D32"/>
                <w:sz w:val="18"/>
              </w:rPr>
              <w:t>Produccion y articulacion validada</w:t>
            </w:r>
          </w:p>
        </w:tc>
      </w:tr>
      <w:tr>
        <w:tc>
          <w:tcPr>
            <w:tcW w:type="dxa" w:w="4680"/>
            <w:vAlign w:val="center"/>
            <w:tcMar>
              <w:top w:w="80" w:type="dxa"/>
              <w:start w:w="120" w:type="dxa"/>
              <w:bottom w:w="80" w:type="dxa"/>
              <w:end w:w="120" w:type="dxa"/>
            </w:tcMar>
          </w:tcPr>
          <w:p>
            <w:pPr>
              <w:jc w:val="left"/>
            </w:pPr>
            <w:r>
              <w:rPr>
                <w:rFonts w:ascii="Calibri" w:hAnsi="Calibri"/>
                <w:color w:val="2E2D32"/>
                <w:sz w:val="18"/>
              </w:rPr>
              <w:t>Orden interno</w:t>
            </w:r>
          </w:p>
        </w:tc>
        <w:tc>
          <w:tcPr>
            <w:tcW w:type="dxa" w:w="4680"/>
            <w:vAlign w:val="center"/>
            <w:tcMar>
              <w:top w:w="80" w:type="dxa"/>
              <w:start w:w="120" w:type="dxa"/>
              <w:bottom w:w="80" w:type="dxa"/>
              <w:end w:w="120" w:type="dxa"/>
            </w:tcMar>
          </w:tcPr>
          <w:p>
            <w:pPr>
              <w:jc w:val="left"/>
            </w:pPr>
            <w:r>
              <w:rPr>
                <w:rFonts w:ascii="Calibri" w:hAnsi="Calibri"/>
                <w:color w:val="2E2D32"/>
                <w:sz w:val="18"/>
              </w:rPr>
              <w:t>Proyeccion externa</w:t>
            </w:r>
          </w:p>
        </w:tc>
      </w:tr>
    </w:tbl>
    <w:p>
      <w:pPr>
        <w:spacing w:before="0" w:after="120" w:line="320" w:lineRule="auto"/>
      </w:pPr>
    </w:p>
    <w:p>
      <w:pPr>
        <w:pStyle w:val="Heading1"/>
      </w:pPr>
      <w:r>
        <w:t>12. Modelo de gobernanza propuesto</w:t>
      </w:r>
    </w:p>
    <w:p>
      <w:pPr>
        <w:pStyle w:val="ListBullet"/>
        <w:spacing w:after="80" w:line="290" w:lineRule="auto"/>
      </w:pPr>
      <w:r>
        <w:t>El directorio define estrategia.</w:t>
      </w:r>
    </w:p>
    <w:p>
      <w:pPr>
        <w:pStyle w:val="ListBullet"/>
        <w:spacing w:after="80" w:line="290" w:lineRule="auto"/>
      </w:pPr>
      <w:r>
        <w:t>Las carteras directivas conducen areas.</w:t>
      </w:r>
    </w:p>
    <w:p>
      <w:pPr>
        <w:pStyle w:val="ListBullet"/>
        <w:spacing w:after="80" w:line="290" w:lineRule="auto"/>
      </w:pPr>
      <w:r>
        <w:t>Los comites ejecutan y colaboran.</w:t>
      </w:r>
    </w:p>
    <w:p>
      <w:pPr>
        <w:pStyle w:val="ListBullet"/>
        <w:spacing w:after="80" w:line="290" w:lineRule="auto"/>
      </w:pPr>
      <w:r>
        <w:t>La operacion especializada se valoriza.</w:t>
      </w:r>
    </w:p>
    <w:p>
      <w:pPr>
        <w:pStyle w:val="ListBullet"/>
        <w:spacing w:after="80" w:line="290" w:lineRule="auto"/>
      </w:pPr>
      <w:r>
        <w:t>IME Conecta registra acuerdos, datos, documentos y avances.</w:t>
      </w:r>
    </w:p>
    <w:p>
      <w:pPr>
        <w:pStyle w:val="Heading2"/>
      </w:pPr>
      <w:r>
        <w:t>Flujo propuesto</w:t>
      </w:r>
    </w:p>
    <w:p>
      <w:pPr>
        <w:pStyle w:val="ListNumber"/>
        <w:spacing w:after="80" w:line="290" w:lineRule="auto"/>
      </w:pPr>
      <w:r>
        <w:t>Directorio estrategico</w:t>
      </w:r>
    </w:p>
    <w:p>
      <w:pPr>
        <w:pStyle w:val="ListNumber"/>
        <w:spacing w:after="80" w:line="290" w:lineRule="auto"/>
      </w:pPr>
      <w:r>
        <w:t>Carteras Directivas</w:t>
      </w:r>
    </w:p>
    <w:p>
      <w:pPr>
        <w:pStyle w:val="ListNumber"/>
        <w:spacing w:after="80" w:line="290" w:lineRule="auto"/>
      </w:pPr>
      <w:r>
        <w:t>Comites ejecutivos</w:t>
      </w:r>
    </w:p>
    <w:p>
      <w:pPr>
        <w:pStyle w:val="ListNumber"/>
        <w:spacing w:after="80" w:line="290" w:lineRule="auto"/>
      </w:pPr>
      <w:r>
        <w:t>Operacion valorizable</w:t>
      </w:r>
    </w:p>
    <w:p>
      <w:pPr>
        <w:pStyle w:val="ListNumber"/>
        <w:spacing w:after="80" w:line="290" w:lineRule="auto"/>
      </w:pPr>
      <w:r>
        <w:t>IME Conecta registra y da trazabilidad</w:t>
      </w:r>
    </w:p>
    <w:p>
      <w:pPr>
        <w:pStyle w:val="Heading1"/>
      </w:pPr>
      <w:r>
        <w:t>13. Carteras Directivas Estrategicas</w:t>
      </w:r>
    </w:p>
    <w:p>
      <w:pPr>
        <w:spacing w:before="0" w:after="160" w:line="320" w:lineRule="auto"/>
        <w:jc w:val="both"/>
      </w:pPr>
      <w:r>
        <w:t>El directorio no debe organizarse solo por cargos formales, sino tambien por carteras estrategicas que permitan distribuir conduccion, responsabilidad y seguimiento por areas.</w:t>
      </w:r>
    </w:p>
    <w:tbl>
      <w:tblPr>
        <w:tblStyle w:val="TableGrid"/>
        <w:tblW w:type="dxa" w:w="9360"/>
        <w:tblLayout w:type="fixed"/>
        <w:tblLook w:firstColumn="1" w:firstRow="1" w:lastColumn="0" w:lastRow="0" w:noHBand="0" w:noVBand="1" w:val="04A0"/>
        <w:jc w:val="left"/>
        <w:tblInd w:w="120" w:type="dxa"/>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2100"/>
        <w:gridCol w:w="3600"/>
        <w:gridCol w:w="3660"/>
      </w:tblGrid>
      <w:tr>
        <w:tc>
          <w:tcPr>
            <w:tcW w:type="dxa" w:w="2100"/>
            <w:vAlign w:val="center"/>
            <w:tcMar>
              <w:top w:w="80" w:type="dxa"/>
              <w:start w:w="120" w:type="dxa"/>
              <w:bottom w:w="80" w:type="dxa"/>
              <w:end w:w="120" w:type="dxa"/>
            </w:tcMar>
            <w:shd w:fill="E8EEF5"/>
          </w:tcPr>
          <w:p>
            <w:pPr>
              <w:jc w:val="left"/>
            </w:pPr>
            <w:r>
              <w:rPr>
                <w:rFonts w:ascii="Calibri" w:hAnsi="Calibri"/>
                <w:b/>
                <w:color w:val="2E2D32"/>
                <w:sz w:val="19"/>
              </w:rPr>
              <w:t>Director/a</w:t>
            </w:r>
          </w:p>
        </w:tc>
        <w:tc>
          <w:tcPr>
            <w:tcW w:type="dxa" w:w="3600"/>
            <w:vAlign w:val="center"/>
            <w:tcMar>
              <w:top w:w="80" w:type="dxa"/>
              <w:start w:w="120" w:type="dxa"/>
              <w:bottom w:w="80" w:type="dxa"/>
              <w:end w:w="120" w:type="dxa"/>
            </w:tcMar>
            <w:shd w:fill="E8EEF5"/>
          </w:tcPr>
          <w:p>
            <w:pPr>
              <w:jc w:val="left"/>
            </w:pPr>
            <w:r>
              <w:rPr>
                <w:rFonts w:ascii="Calibri" w:hAnsi="Calibri"/>
                <w:b/>
                <w:color w:val="2E2D32"/>
                <w:sz w:val="19"/>
              </w:rPr>
              <w:t>Cartera Directiva Estrategica</w:t>
            </w:r>
          </w:p>
        </w:tc>
        <w:tc>
          <w:tcPr>
            <w:tcW w:type="dxa" w:w="3660"/>
            <w:vAlign w:val="center"/>
            <w:tcMar>
              <w:top w:w="80" w:type="dxa"/>
              <w:start w:w="120" w:type="dxa"/>
              <w:bottom w:w="80" w:type="dxa"/>
              <w:end w:w="120" w:type="dxa"/>
            </w:tcMar>
            <w:shd w:fill="E8EEF5"/>
          </w:tcPr>
          <w:p>
            <w:pPr>
              <w:jc w:val="left"/>
            </w:pPr>
            <w:r>
              <w:rPr>
                <w:rFonts w:ascii="Calibri" w:hAnsi="Calibri"/>
                <w:b/>
                <w:color w:val="2E2D32"/>
                <w:sz w:val="19"/>
              </w:rPr>
              <w:t>Foco</w:t>
            </w:r>
          </w:p>
        </w:tc>
      </w:tr>
      <w:tr>
        <w:tc>
          <w:tcPr>
            <w:tcW w:type="dxa" w:w="2100"/>
            <w:vAlign w:val="center"/>
            <w:tcMar>
              <w:top w:w="80" w:type="dxa"/>
              <w:start w:w="120" w:type="dxa"/>
              <w:bottom w:w="80" w:type="dxa"/>
              <w:end w:w="120" w:type="dxa"/>
            </w:tcMar>
          </w:tcPr>
          <w:p>
            <w:pPr>
              <w:jc w:val="left"/>
            </w:pPr>
            <w:r>
              <w:rPr>
                <w:rFonts w:ascii="Calibri" w:hAnsi="Calibri"/>
                <w:color w:val="2E2D32"/>
                <w:sz w:val="18"/>
              </w:rPr>
              <w:t>Teko Pamies</w:t>
            </w:r>
          </w:p>
        </w:tc>
        <w:tc>
          <w:tcPr>
            <w:tcW w:type="dxa" w:w="3600"/>
            <w:vAlign w:val="center"/>
            <w:tcMar>
              <w:top w:w="80" w:type="dxa"/>
              <w:start w:w="120" w:type="dxa"/>
              <w:bottom w:w="80" w:type="dxa"/>
              <w:end w:w="120" w:type="dxa"/>
            </w:tcMar>
          </w:tcPr>
          <w:p>
            <w:pPr>
              <w:jc w:val="left"/>
            </w:pPr>
            <w:r>
              <w:rPr>
                <w:rFonts w:ascii="Calibri" w:hAnsi="Calibri"/>
                <w:color w:val="2E2D32"/>
                <w:sz w:val="18"/>
              </w:rPr>
              <w:t>Direccion de Comunidad, Escena y Vinculacion Artistica</w:t>
            </w:r>
          </w:p>
        </w:tc>
        <w:tc>
          <w:tcPr>
            <w:tcW w:type="dxa" w:w="3660"/>
            <w:vAlign w:val="center"/>
            <w:tcMar>
              <w:top w:w="80" w:type="dxa"/>
              <w:start w:w="120" w:type="dxa"/>
              <w:bottom w:w="80" w:type="dxa"/>
              <w:end w:w="120" w:type="dxa"/>
            </w:tcMar>
          </w:tcPr>
          <w:p>
            <w:pPr>
              <w:jc w:val="left"/>
            </w:pPr>
            <w:r>
              <w:rPr>
                <w:rFonts w:ascii="Calibri" w:hAnsi="Calibri"/>
                <w:color w:val="2E2D32"/>
                <w:sz w:val="18"/>
              </w:rPr>
              <w:t>Socios/as, escena, artistas, redes territoriales y participacion gremial.</w:t>
            </w:r>
          </w:p>
        </w:tc>
      </w:tr>
      <w:tr>
        <w:tc>
          <w:tcPr>
            <w:tcW w:type="dxa" w:w="2100"/>
            <w:vAlign w:val="center"/>
            <w:tcMar>
              <w:top w:w="80" w:type="dxa"/>
              <w:start w:w="120" w:type="dxa"/>
              <w:bottom w:w="80" w:type="dxa"/>
              <w:end w:w="120" w:type="dxa"/>
            </w:tcMar>
          </w:tcPr>
          <w:p>
            <w:pPr>
              <w:jc w:val="left"/>
            </w:pPr>
            <w:r>
              <w:rPr>
                <w:rFonts w:ascii="Calibri" w:hAnsi="Calibri"/>
                <w:color w:val="2E2D32"/>
                <w:sz w:val="18"/>
              </w:rPr>
              <w:t>Josefa Mujica</w:t>
            </w:r>
          </w:p>
        </w:tc>
        <w:tc>
          <w:tcPr>
            <w:tcW w:type="dxa" w:w="3600"/>
            <w:vAlign w:val="center"/>
            <w:tcMar>
              <w:top w:w="80" w:type="dxa"/>
              <w:start w:w="120" w:type="dxa"/>
              <w:bottom w:w="80" w:type="dxa"/>
              <w:end w:w="120" w:type="dxa"/>
            </w:tcMar>
          </w:tcPr>
          <w:p>
            <w:pPr>
              <w:jc w:val="left"/>
            </w:pPr>
            <w:r>
              <w:rPr>
                <w:rFonts w:ascii="Calibri" w:hAnsi="Calibri"/>
                <w:color w:val="2E2D32"/>
                <w:sz w:val="18"/>
              </w:rPr>
              <w:t>Direccion de Cultura, Programacion y Perspectiva Sectorial</w:t>
            </w:r>
          </w:p>
        </w:tc>
        <w:tc>
          <w:tcPr>
            <w:tcW w:type="dxa" w:w="3660"/>
            <w:vAlign w:val="center"/>
            <w:tcMar>
              <w:top w:w="80" w:type="dxa"/>
              <w:start w:w="120" w:type="dxa"/>
              <w:bottom w:w="80" w:type="dxa"/>
              <w:end w:w="120" w:type="dxa"/>
            </w:tcMar>
          </w:tcPr>
          <w:p>
            <w:pPr>
              <w:jc w:val="left"/>
            </w:pPr>
            <w:r>
              <w:rPr>
                <w:rFonts w:ascii="Calibri" w:hAnsi="Calibri"/>
                <w:color w:val="2E2D32"/>
                <w:sz w:val="18"/>
              </w:rPr>
              <w:t>Agenda cultural, contenidos, programacion, criterios curatoriales y lectura sectorial.</w:t>
            </w:r>
          </w:p>
        </w:tc>
      </w:tr>
      <w:tr>
        <w:tc>
          <w:tcPr>
            <w:tcW w:type="dxa" w:w="2100"/>
            <w:vAlign w:val="center"/>
            <w:tcMar>
              <w:top w:w="80" w:type="dxa"/>
              <w:start w:w="120" w:type="dxa"/>
              <w:bottom w:w="80" w:type="dxa"/>
              <w:end w:w="120" w:type="dxa"/>
            </w:tcMar>
          </w:tcPr>
          <w:p>
            <w:pPr>
              <w:jc w:val="left"/>
            </w:pPr>
            <w:r>
              <w:rPr>
                <w:rFonts w:ascii="Calibri" w:hAnsi="Calibri"/>
                <w:color w:val="2E2D32"/>
                <w:sz w:val="18"/>
              </w:rPr>
              <w:t>Javier Gonzalez</w:t>
            </w:r>
          </w:p>
        </w:tc>
        <w:tc>
          <w:tcPr>
            <w:tcW w:type="dxa" w:w="3600"/>
            <w:vAlign w:val="center"/>
            <w:tcMar>
              <w:top w:w="80" w:type="dxa"/>
              <w:start w:w="120" w:type="dxa"/>
              <w:bottom w:w="80" w:type="dxa"/>
              <w:end w:w="120" w:type="dxa"/>
            </w:tcMar>
          </w:tcPr>
          <w:p>
            <w:pPr>
              <w:jc w:val="left"/>
            </w:pPr>
            <w:r>
              <w:rPr>
                <w:rFonts w:ascii="Calibri" w:hAnsi="Calibri"/>
                <w:color w:val="2E2D32"/>
                <w:sz w:val="18"/>
              </w:rPr>
              <w:t>Direccion de Innovacion y Comunicacion</w:t>
            </w:r>
          </w:p>
        </w:tc>
        <w:tc>
          <w:tcPr>
            <w:tcW w:type="dxa" w:w="3660"/>
            <w:vAlign w:val="center"/>
            <w:tcMar>
              <w:top w:w="80" w:type="dxa"/>
              <w:start w:w="120" w:type="dxa"/>
              <w:bottom w:w="80" w:type="dxa"/>
              <w:end w:w="120" w:type="dxa"/>
            </w:tcMar>
          </w:tcPr>
          <w:p>
            <w:pPr>
              <w:jc w:val="left"/>
            </w:pPr>
            <w:r>
              <w:rPr>
                <w:rFonts w:ascii="Calibri" w:hAnsi="Calibri"/>
                <w:color w:val="2E2D32"/>
                <w:sz w:val="18"/>
              </w:rPr>
              <w:t>Estrategia comunicacional, herramientas digitales, IME Conecta, innovacion y canales institucionales.</w:t>
            </w:r>
          </w:p>
        </w:tc>
      </w:tr>
    </w:tbl>
    <w:p>
      <w:pPr>
        <w:spacing w:before="0" w:after="120" w:line="320" w:lineRule="auto"/>
      </w:pPr>
    </w:p>
    <w:p>
      <w:pPr>
        <w:pStyle w:val="Heading1"/>
      </w:pPr>
      <w:r>
        <w:t>14. Separacion directiva / operativa</w:t>
      </w:r>
    </w:p>
    <w:p>
      <w:pPr>
        <w:spacing w:before="0" w:after="160" w:line="320" w:lineRule="auto"/>
        <w:jc w:val="both"/>
      </w:pPr>
      <w:r>
        <w:t>IME debe distinguir claramente entre el trabajo directivo-gremial y el trabajo operativo-productivo.</w:t>
      </w:r>
    </w:p>
    <w:tbl>
      <w:tblPr>
        <w:tblW w:type="dxa" w:w="9360"/>
        <w:jc w:val="left"/>
        <w:tblLayout w:type="fixed"/>
        <w:tblLook w:firstColumn="1" w:firstRow="1" w:lastColumn="0" w:lastRow="0" w:noHBand="0" w:noVBand="1" w:val="04A0"/>
        <w:tblInd w:w="120" w:type="dxa"/>
        <w:tblBorders>
          <w:top w:val="single" w:sz="6" w:space="0" w:color="9ADFD6"/>
          <w:left w:val="single" w:sz="6" w:space="0" w:color="9ADFD6"/>
          <w:bottom w:val="single" w:sz="6" w:space="0" w:color="9ADFD6"/>
          <w:right w:val="single" w:sz="6" w:space="0" w:color="9ADFD6"/>
          <w:insideH w:val="single" w:sz="6" w:space="0" w:color="9ADFD6"/>
          <w:insideV w:val="single" w:sz="6" w:space="0" w:color="9ADFD6"/>
        </w:tblBorders>
      </w:tblPr>
      <w:tblGrid>
        <w:gridCol w:w="9360"/>
      </w:tblGrid>
      <w:tr>
        <w:tc>
          <w:tcPr>
            <w:tcW w:type="dxa" w:w="9360"/>
            <w:vAlign w:val="center"/>
            <w:tcMar>
              <w:top w:w="80" w:type="dxa"/>
              <w:start w:w="120" w:type="dxa"/>
              <w:bottom w:w="80" w:type="dxa"/>
              <w:end w:w="120" w:type="dxa"/>
            </w:tcMar>
            <w:shd w:fill="F4F6F9"/>
          </w:tcPr>
          <w:p>
            <w:pPr>
              <w:spacing w:before="40" w:after="40" w:line="290" w:lineRule="auto"/>
            </w:pPr>
            <w:r>
              <w:rPr>
                <w:rFonts w:ascii="Calibri" w:hAnsi="Calibri"/>
                <w:b/>
                <w:color w:val="2E2D32"/>
              </w:rPr>
              <w:t>IME no puede profesionalizar al sector precarizando su propia operacion interna.</w:t>
            </w:r>
          </w:p>
        </w:tc>
      </w:tr>
    </w:tbl>
    <w:p>
      <w:pPr>
        <w:spacing w:before="0" w:after="80" w:line="320" w:lineRule="auto"/>
      </w:pPr>
    </w:p>
    <w:tbl>
      <w:tblPr>
        <w:tblStyle w:val="TableGrid"/>
        <w:tblW w:type="dxa" w:w="9360"/>
        <w:tblLayout w:type="fixed"/>
        <w:tblLook w:firstColumn="1" w:firstRow="1" w:lastColumn="0" w:lastRow="0" w:noHBand="0" w:noVBand="1" w:val="04A0"/>
        <w:jc w:val="left"/>
        <w:tblInd w:w="120" w:type="dxa"/>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1700"/>
        <w:gridCol w:w="2300"/>
        <w:gridCol w:w="3300"/>
        <w:gridCol w:w="2060"/>
      </w:tblGrid>
      <w:tr>
        <w:tc>
          <w:tcPr>
            <w:tcW w:type="dxa" w:w="1700"/>
            <w:vAlign w:val="center"/>
            <w:tcMar>
              <w:top w:w="80" w:type="dxa"/>
              <w:start w:w="120" w:type="dxa"/>
              <w:bottom w:w="80" w:type="dxa"/>
              <w:end w:w="120" w:type="dxa"/>
            </w:tcMar>
            <w:shd w:fill="E8EEF5"/>
          </w:tcPr>
          <w:p>
            <w:pPr>
              <w:jc w:val="left"/>
            </w:pPr>
            <w:r>
              <w:rPr>
                <w:rFonts w:ascii="Calibri" w:hAnsi="Calibri"/>
                <w:b/>
                <w:color w:val="2E2D32"/>
                <w:sz w:val="19"/>
              </w:rPr>
              <w:t>Capa</w:t>
            </w:r>
          </w:p>
        </w:tc>
        <w:tc>
          <w:tcPr>
            <w:tcW w:type="dxa" w:w="2300"/>
            <w:vAlign w:val="center"/>
            <w:tcMar>
              <w:top w:w="80" w:type="dxa"/>
              <w:start w:w="120" w:type="dxa"/>
              <w:bottom w:w="80" w:type="dxa"/>
              <w:end w:w="120" w:type="dxa"/>
            </w:tcMar>
            <w:shd w:fill="E8EEF5"/>
          </w:tcPr>
          <w:p>
            <w:pPr>
              <w:jc w:val="left"/>
            </w:pPr>
            <w:r>
              <w:rPr>
                <w:rFonts w:ascii="Calibri" w:hAnsi="Calibri"/>
                <w:b/>
                <w:color w:val="2E2D32"/>
                <w:sz w:val="19"/>
              </w:rPr>
              <w:t>Tipo de trabajo</w:t>
            </w:r>
          </w:p>
        </w:tc>
        <w:tc>
          <w:tcPr>
            <w:tcW w:type="dxa" w:w="3300"/>
            <w:vAlign w:val="center"/>
            <w:tcMar>
              <w:top w:w="80" w:type="dxa"/>
              <w:start w:w="120" w:type="dxa"/>
              <w:bottom w:w="80" w:type="dxa"/>
              <w:end w:w="120" w:type="dxa"/>
            </w:tcMar>
            <w:shd w:fill="E8EEF5"/>
          </w:tcPr>
          <w:p>
            <w:pPr>
              <w:jc w:val="left"/>
            </w:pPr>
            <w:r>
              <w:rPr>
                <w:rFonts w:ascii="Calibri" w:hAnsi="Calibri"/>
                <w:b/>
                <w:color w:val="2E2D32"/>
                <w:sz w:val="19"/>
              </w:rPr>
              <w:t>Ejemplos</w:t>
            </w:r>
          </w:p>
        </w:tc>
        <w:tc>
          <w:tcPr>
            <w:tcW w:type="dxa" w:w="2060"/>
            <w:vAlign w:val="center"/>
            <w:tcMar>
              <w:top w:w="80" w:type="dxa"/>
              <w:start w:w="120" w:type="dxa"/>
              <w:bottom w:w="80" w:type="dxa"/>
              <w:end w:w="120" w:type="dxa"/>
            </w:tcMar>
            <w:shd w:fill="E8EEF5"/>
          </w:tcPr>
          <w:p>
            <w:pPr>
              <w:jc w:val="left"/>
            </w:pPr>
            <w:r>
              <w:rPr>
                <w:rFonts w:ascii="Calibri" w:hAnsi="Calibri"/>
                <w:b/>
                <w:color w:val="2E2D32"/>
                <w:sz w:val="19"/>
              </w:rPr>
              <w:t>Condicion</w:t>
            </w:r>
          </w:p>
        </w:tc>
      </w:tr>
      <w:tr>
        <w:tc>
          <w:tcPr>
            <w:tcW w:type="dxa" w:w="1700"/>
            <w:vAlign w:val="center"/>
            <w:tcMar>
              <w:top w:w="80" w:type="dxa"/>
              <w:start w:w="120" w:type="dxa"/>
              <w:bottom w:w="80" w:type="dxa"/>
              <w:end w:w="120" w:type="dxa"/>
            </w:tcMar>
          </w:tcPr>
          <w:p>
            <w:pPr>
              <w:jc w:val="left"/>
            </w:pPr>
            <w:r>
              <w:rPr>
                <w:rFonts w:ascii="Calibri" w:hAnsi="Calibri"/>
                <w:color w:val="2E2D32"/>
                <w:sz w:val="18"/>
              </w:rPr>
              <w:t>Directiva</w:t>
            </w:r>
          </w:p>
        </w:tc>
        <w:tc>
          <w:tcPr>
            <w:tcW w:type="dxa" w:w="2300"/>
            <w:vAlign w:val="center"/>
            <w:tcMar>
              <w:top w:w="80" w:type="dxa"/>
              <w:start w:w="120" w:type="dxa"/>
              <w:bottom w:w="80" w:type="dxa"/>
              <w:end w:w="120" w:type="dxa"/>
            </w:tcMar>
          </w:tcPr>
          <w:p>
            <w:pPr>
              <w:jc w:val="left"/>
            </w:pPr>
            <w:r>
              <w:rPr>
                <w:rFonts w:ascii="Calibri" w:hAnsi="Calibri"/>
                <w:color w:val="2E2D32"/>
                <w:sz w:val="18"/>
              </w:rPr>
              <w:t>Estrategico-gremial</w:t>
            </w:r>
          </w:p>
        </w:tc>
        <w:tc>
          <w:tcPr>
            <w:tcW w:type="dxa" w:w="3300"/>
            <w:vAlign w:val="center"/>
            <w:tcMar>
              <w:top w:w="80" w:type="dxa"/>
              <w:start w:w="120" w:type="dxa"/>
              <w:bottom w:w="80" w:type="dxa"/>
              <w:end w:w="120" w:type="dxa"/>
            </w:tcMar>
          </w:tcPr>
          <w:p>
            <w:pPr>
              <w:jc w:val="left"/>
            </w:pPr>
            <w:r>
              <w:rPr>
                <w:rFonts w:ascii="Calibri" w:hAnsi="Calibri"/>
                <w:color w:val="2E2D32"/>
                <w:sz w:val="18"/>
              </w:rPr>
              <w:t>Reuniones, planificacion, representacion, decisiones institucionales</w:t>
            </w:r>
          </w:p>
        </w:tc>
        <w:tc>
          <w:tcPr>
            <w:tcW w:type="dxa" w:w="2060"/>
            <w:vAlign w:val="center"/>
            <w:tcMar>
              <w:top w:w="80" w:type="dxa"/>
              <w:start w:w="120" w:type="dxa"/>
              <w:bottom w:w="80" w:type="dxa"/>
              <w:end w:w="120" w:type="dxa"/>
            </w:tcMar>
          </w:tcPr>
          <w:p>
            <w:pPr>
              <w:jc w:val="left"/>
            </w:pPr>
            <w:r>
              <w:rPr>
                <w:rFonts w:ascii="Calibri" w:hAnsi="Calibri"/>
                <w:color w:val="2E2D32"/>
                <w:sz w:val="18"/>
              </w:rPr>
              <w:t>Ad honorem, propio del cargo directivo.</w:t>
            </w:r>
          </w:p>
        </w:tc>
      </w:tr>
      <w:tr>
        <w:tc>
          <w:tcPr>
            <w:tcW w:type="dxa" w:w="1700"/>
            <w:vAlign w:val="center"/>
            <w:tcMar>
              <w:top w:w="80" w:type="dxa"/>
              <w:start w:w="120" w:type="dxa"/>
              <w:bottom w:w="80" w:type="dxa"/>
              <w:end w:w="120" w:type="dxa"/>
            </w:tcMar>
          </w:tcPr>
          <w:p>
            <w:pPr>
              <w:jc w:val="left"/>
            </w:pPr>
            <w:r>
              <w:rPr>
                <w:rFonts w:ascii="Calibri" w:hAnsi="Calibri"/>
                <w:color w:val="2E2D32"/>
                <w:sz w:val="18"/>
              </w:rPr>
              <w:t>Tecnico-operativa</w:t>
            </w:r>
          </w:p>
        </w:tc>
        <w:tc>
          <w:tcPr>
            <w:tcW w:type="dxa" w:w="2300"/>
            <w:vAlign w:val="center"/>
            <w:tcMar>
              <w:top w:w="80" w:type="dxa"/>
              <w:start w:w="120" w:type="dxa"/>
              <w:bottom w:w="80" w:type="dxa"/>
              <w:end w:w="120" w:type="dxa"/>
            </w:tcMar>
          </w:tcPr>
          <w:p>
            <w:pPr>
              <w:jc w:val="left"/>
            </w:pPr>
            <w:r>
              <w:rPr>
                <w:rFonts w:ascii="Calibri" w:hAnsi="Calibri"/>
                <w:color w:val="2E2D32"/>
                <w:sz w:val="18"/>
              </w:rPr>
              <w:t>Ejecucion profesional</w:t>
            </w:r>
          </w:p>
        </w:tc>
        <w:tc>
          <w:tcPr>
            <w:tcW w:type="dxa" w:w="3300"/>
            <w:vAlign w:val="center"/>
            <w:tcMar>
              <w:top w:w="80" w:type="dxa"/>
              <w:start w:w="120" w:type="dxa"/>
              <w:bottom w:w="80" w:type="dxa"/>
              <w:end w:w="120" w:type="dxa"/>
            </w:tcMar>
          </w:tcPr>
          <w:p>
            <w:pPr>
              <w:jc w:val="left"/>
            </w:pPr>
            <w:r>
              <w:rPr>
                <w:rFonts w:ascii="Calibri" w:hAnsi="Calibri"/>
                <w:color w:val="2E2D32"/>
                <w:sz w:val="18"/>
              </w:rPr>
              <w:t>Produccion, diseno, formulacion, rendiciones, desarrollo web, comunicaciones</w:t>
            </w:r>
          </w:p>
        </w:tc>
        <w:tc>
          <w:tcPr>
            <w:tcW w:type="dxa" w:w="2060"/>
            <w:vAlign w:val="center"/>
            <w:tcMar>
              <w:top w:w="80" w:type="dxa"/>
              <w:start w:w="120" w:type="dxa"/>
              <w:bottom w:w="80" w:type="dxa"/>
              <w:end w:w="120" w:type="dxa"/>
            </w:tcMar>
          </w:tcPr>
          <w:p>
            <w:pPr>
              <w:jc w:val="left"/>
            </w:pPr>
            <w:r>
              <w:rPr>
                <w:rFonts w:ascii="Calibri" w:hAnsi="Calibri"/>
                <w:color w:val="2E2D32"/>
                <w:sz w:val="18"/>
              </w:rPr>
              <w:t>Valorizable y remunerable si existe presupuesto.</w:t>
            </w:r>
          </w:p>
        </w:tc>
      </w:tr>
      <w:tr>
        <w:tc>
          <w:tcPr>
            <w:tcW w:type="dxa" w:w="1700"/>
            <w:vAlign w:val="center"/>
            <w:tcMar>
              <w:top w:w="80" w:type="dxa"/>
              <w:start w:w="120" w:type="dxa"/>
              <w:bottom w:w="80" w:type="dxa"/>
              <w:end w:w="120" w:type="dxa"/>
            </w:tcMar>
          </w:tcPr>
          <w:p>
            <w:pPr>
              <w:jc w:val="left"/>
            </w:pPr>
            <w:r>
              <w:rPr>
                <w:rFonts w:ascii="Calibri" w:hAnsi="Calibri"/>
                <w:color w:val="2E2D32"/>
                <w:sz w:val="18"/>
              </w:rPr>
              <w:t>Comites</w:t>
            </w:r>
          </w:p>
        </w:tc>
        <w:tc>
          <w:tcPr>
            <w:tcW w:type="dxa" w:w="2300"/>
            <w:vAlign w:val="center"/>
            <w:tcMar>
              <w:top w:w="80" w:type="dxa"/>
              <w:start w:w="120" w:type="dxa"/>
              <w:bottom w:w="80" w:type="dxa"/>
              <w:end w:w="120" w:type="dxa"/>
            </w:tcMar>
          </w:tcPr>
          <w:p>
            <w:pPr>
              <w:jc w:val="left"/>
            </w:pPr>
            <w:r>
              <w:rPr>
                <w:rFonts w:ascii="Calibri" w:hAnsi="Calibri"/>
                <w:color w:val="2E2D32"/>
                <w:sz w:val="18"/>
              </w:rPr>
              <w:t>Mixta</w:t>
            </w:r>
          </w:p>
        </w:tc>
        <w:tc>
          <w:tcPr>
            <w:tcW w:type="dxa" w:w="3300"/>
            <w:vAlign w:val="center"/>
            <w:tcMar>
              <w:top w:w="80" w:type="dxa"/>
              <w:start w:w="120" w:type="dxa"/>
              <w:bottom w:w="80" w:type="dxa"/>
              <w:end w:w="120" w:type="dxa"/>
            </w:tcMar>
          </w:tcPr>
          <w:p>
            <w:pPr>
              <w:jc w:val="left"/>
            </w:pPr>
            <w:r>
              <w:rPr>
                <w:rFonts w:ascii="Calibri" w:hAnsi="Calibri"/>
                <w:color w:val="2E2D32"/>
                <w:sz w:val="18"/>
              </w:rPr>
              <w:t>Diagnostico, propuestas, coordinacion inicial, apoyo sectorial</w:t>
            </w:r>
          </w:p>
        </w:tc>
        <w:tc>
          <w:tcPr>
            <w:tcW w:type="dxa" w:w="2060"/>
            <w:vAlign w:val="center"/>
            <w:tcMar>
              <w:top w:w="80" w:type="dxa"/>
              <w:start w:w="120" w:type="dxa"/>
              <w:bottom w:w="80" w:type="dxa"/>
              <w:end w:w="120" w:type="dxa"/>
            </w:tcMar>
          </w:tcPr>
          <w:p>
            <w:pPr>
              <w:jc w:val="left"/>
            </w:pPr>
            <w:r>
              <w:rPr>
                <w:rFonts w:ascii="Calibri" w:hAnsi="Calibri"/>
                <w:color w:val="2E2D32"/>
                <w:sz w:val="18"/>
              </w:rPr>
              <w:t>Puede ser voluntaria o remunerada segun carga y financiamiento.</w:t>
            </w:r>
          </w:p>
        </w:tc>
      </w:tr>
      <w:tr>
        <w:tc>
          <w:tcPr>
            <w:tcW w:type="dxa" w:w="1700"/>
            <w:vAlign w:val="center"/>
            <w:tcMar>
              <w:top w:w="80" w:type="dxa"/>
              <w:start w:w="120" w:type="dxa"/>
              <w:bottom w:w="80" w:type="dxa"/>
              <w:end w:w="120" w:type="dxa"/>
            </w:tcMar>
          </w:tcPr>
          <w:p>
            <w:pPr>
              <w:jc w:val="left"/>
            </w:pPr>
            <w:r>
              <w:rPr>
                <w:rFonts w:ascii="Calibri" w:hAnsi="Calibri"/>
                <w:color w:val="2E2D32"/>
                <w:sz w:val="18"/>
              </w:rPr>
              <w:t>Servicios externos</w:t>
            </w:r>
          </w:p>
        </w:tc>
        <w:tc>
          <w:tcPr>
            <w:tcW w:type="dxa" w:w="2300"/>
            <w:vAlign w:val="center"/>
            <w:tcMar>
              <w:top w:w="80" w:type="dxa"/>
              <w:start w:w="120" w:type="dxa"/>
              <w:bottom w:w="80" w:type="dxa"/>
              <w:end w:w="120" w:type="dxa"/>
            </w:tcMar>
          </w:tcPr>
          <w:p>
            <w:pPr>
              <w:jc w:val="left"/>
            </w:pPr>
            <w:r>
              <w:rPr>
                <w:rFonts w:ascii="Calibri" w:hAnsi="Calibri"/>
                <w:color w:val="2E2D32"/>
                <w:sz w:val="18"/>
              </w:rPr>
              <w:t>Especializada</w:t>
            </w:r>
          </w:p>
        </w:tc>
        <w:tc>
          <w:tcPr>
            <w:tcW w:type="dxa" w:w="3300"/>
            <w:vAlign w:val="center"/>
            <w:tcMar>
              <w:top w:w="80" w:type="dxa"/>
              <w:start w:w="120" w:type="dxa"/>
              <w:bottom w:w="80" w:type="dxa"/>
              <w:end w:w="120" w:type="dxa"/>
            </w:tcMar>
          </w:tcPr>
          <w:p>
            <w:pPr>
              <w:jc w:val="left"/>
            </w:pPr>
            <w:r>
              <w:rPr>
                <w:rFonts w:ascii="Calibri" w:hAnsi="Calibri"/>
                <w:color w:val="2E2D32"/>
                <w:sz w:val="18"/>
              </w:rPr>
              <w:t>Legal, contabilidad, desarrollo, produccion, audiovisual, tecnologia</w:t>
            </w:r>
          </w:p>
        </w:tc>
        <w:tc>
          <w:tcPr>
            <w:tcW w:type="dxa" w:w="2060"/>
            <w:vAlign w:val="center"/>
            <w:tcMar>
              <w:top w:w="80" w:type="dxa"/>
              <w:start w:w="120" w:type="dxa"/>
              <w:bottom w:w="80" w:type="dxa"/>
              <w:end w:w="120" w:type="dxa"/>
            </w:tcMar>
          </w:tcPr>
          <w:p>
            <w:pPr>
              <w:jc w:val="left"/>
            </w:pPr>
            <w:r>
              <w:rPr>
                <w:rFonts w:ascii="Calibri" w:hAnsi="Calibri"/>
                <w:color w:val="2E2D32"/>
                <w:sz w:val="18"/>
              </w:rPr>
              <w:t>Presupuestada y contratada.</w:t>
            </w:r>
          </w:p>
        </w:tc>
      </w:tr>
    </w:tbl>
    <w:p>
      <w:pPr>
        <w:spacing w:before="0" w:after="120" w:line="320" w:lineRule="auto"/>
      </w:pPr>
    </w:p>
    <w:p>
      <w:pPr>
        <w:pStyle w:val="Heading1"/>
      </w:pPr>
      <w:r>
        <w:t>15. Datos, activos digitales y Ley 21.719</w:t>
      </w:r>
    </w:p>
    <w:p>
      <w:pPr>
        <w:spacing w:before="0" w:after="160" w:line="320" w:lineRule="auto"/>
        <w:jc w:val="both"/>
      </w:pPr>
      <w:r>
        <w:t>IME no solo administra socios/as, proyectos y documentos. Tambien administra activos digitales: bases de datos, contenidos, redes, archivos, marcas, dominios, documentos, fotografias, videos, registros historicos, comunicaciones, formularios, credenciales, estadisticas, informes e IME Conecta.</w:t>
      </w:r>
    </w:p>
    <w:p>
      <w:pPr>
        <w:spacing w:before="0" w:after="160" w:line="320" w:lineRule="auto"/>
        <w:jc w:val="both"/>
      </w:pPr>
      <w:r>
        <w:t>Los activos digitales de IME Chile son todos aquellos recursos informacionales, documentales, tecnologicos, comunicacionales y culturales que existen en formato digital y que tienen valor gremial, estrategico, historico, operativo, reputacional o economico para la organizacion.</w:t>
      </w:r>
    </w:p>
    <w:tbl>
      <w:tblPr>
        <w:tblW w:type="dxa" w:w="9360"/>
        <w:jc w:val="left"/>
        <w:tblLayout w:type="fixed"/>
        <w:tblLook w:firstColumn="1" w:firstRow="1" w:lastColumn="0" w:lastRow="0" w:noHBand="0" w:noVBand="1" w:val="04A0"/>
        <w:tblInd w:w="120" w:type="dxa"/>
        <w:tblBorders>
          <w:top w:val="single" w:sz="6" w:space="0" w:color="9ADFD6"/>
          <w:left w:val="single" w:sz="6" w:space="0" w:color="9ADFD6"/>
          <w:bottom w:val="single" w:sz="6" w:space="0" w:color="9ADFD6"/>
          <w:right w:val="single" w:sz="6" w:space="0" w:color="9ADFD6"/>
          <w:insideH w:val="single" w:sz="6" w:space="0" w:color="9ADFD6"/>
          <w:insideV w:val="single" w:sz="6" w:space="0" w:color="9ADFD6"/>
        </w:tblBorders>
      </w:tblPr>
      <w:tblGrid>
        <w:gridCol w:w="9360"/>
      </w:tblGrid>
      <w:tr>
        <w:tc>
          <w:tcPr>
            <w:tcW w:type="dxa" w:w="9360"/>
            <w:vAlign w:val="center"/>
            <w:tcMar>
              <w:top w:w="80" w:type="dxa"/>
              <w:start w:w="120" w:type="dxa"/>
              <w:bottom w:w="80" w:type="dxa"/>
              <w:end w:w="120" w:type="dxa"/>
            </w:tcMar>
            <w:shd w:fill="F4F6F9"/>
          </w:tcPr>
          <w:p>
            <w:pPr>
              <w:spacing w:before="40" w:after="40" w:line="290" w:lineRule="auto"/>
            </w:pPr>
            <w:r>
              <w:rPr>
                <w:rFonts w:ascii="Calibri" w:hAnsi="Calibri"/>
                <w:b/>
                <w:color w:val="2E2D32"/>
              </w:rPr>
              <w:t>Con la nueva Ley 21.719 de Proteccion de Datos Personales, IME debe incorporar criterios de consentimiento, finalidad, proporcionalidad, seguridad, confidencialidad, transparencia y trazabilidad en el tratamiento de datos personales.</w:t>
            </w:r>
          </w:p>
        </w:tc>
      </w:tr>
    </w:tbl>
    <w:p>
      <w:pPr>
        <w:spacing w:before="0" w:after="80" w:line="320" w:lineRule="auto"/>
      </w:pPr>
    </w:p>
    <w:p>
      <w:pPr>
        <w:pStyle w:val="ListBullet"/>
        <w:spacing w:after="80" w:line="290" w:lineRule="auto"/>
      </w:pPr>
      <w:r>
        <w:t>Base de socios/as.</w:t>
      </w:r>
    </w:p>
    <w:p>
      <w:pPr>
        <w:pStyle w:val="ListBullet"/>
        <w:spacing w:after="80" w:line="290" w:lineRule="auto"/>
      </w:pPr>
      <w:r>
        <w:t>Actas y documentos.</w:t>
      </w:r>
    </w:p>
    <w:p>
      <w:pPr>
        <w:pStyle w:val="ListBullet"/>
        <w:spacing w:after="80" w:line="290" w:lineRule="auto"/>
      </w:pPr>
      <w:r>
        <w:t>Redes sociales.</w:t>
      </w:r>
    </w:p>
    <w:p>
      <w:pPr>
        <w:pStyle w:val="ListBullet"/>
        <w:spacing w:after="80" w:line="290" w:lineRule="auto"/>
      </w:pPr>
      <w:r>
        <w:t>Dominio imechile.org.</w:t>
      </w:r>
    </w:p>
    <w:p>
      <w:pPr>
        <w:pStyle w:val="ListBullet"/>
        <w:spacing w:after="80" w:line="290" w:lineRule="auto"/>
      </w:pPr>
      <w:r>
        <w:t>Formularios.</w:t>
      </w:r>
    </w:p>
    <w:p>
      <w:pPr>
        <w:pStyle w:val="ListBullet"/>
        <w:spacing w:after="80" w:line="290" w:lineRule="auto"/>
      </w:pPr>
      <w:r>
        <w:t>IME Conecta.</w:t>
      </w:r>
    </w:p>
    <w:p>
      <w:pPr>
        <w:pStyle w:val="ListBullet"/>
        <w:spacing w:after="80" w:line="290" w:lineRule="auto"/>
      </w:pPr>
      <w:r>
        <w:t>Archivos culturales.</w:t>
      </w:r>
    </w:p>
    <w:p>
      <w:pPr>
        <w:pStyle w:val="ListBullet"/>
        <w:spacing w:after="80" w:line="290" w:lineRule="auto"/>
      </w:pPr>
      <w:r>
        <w:t>Registros audiovisuales.</w:t>
      </w:r>
    </w:p>
    <w:p>
      <w:pPr>
        <w:pStyle w:val="ListBullet"/>
        <w:spacing w:after="80" w:line="290" w:lineRule="auto"/>
      </w:pPr>
      <w:r>
        <w:t>Reportes y catastros.</w:t>
      </w:r>
    </w:p>
    <w:p>
      <w:pPr>
        <w:pStyle w:val="ListBullet"/>
        <w:spacing w:after="80" w:line="290" w:lineRule="auto"/>
      </w:pPr>
      <w:r>
        <w:t>Credenciales y accesos.</w:t>
      </w:r>
    </w:p>
    <w:p>
      <w:pPr>
        <w:pStyle w:val="Heading1"/>
      </w:pPr>
      <w:r>
        <w:t>16. Riesgos si no se ordena</w:t>
      </w:r>
    </w:p>
    <w:tbl>
      <w:tblPr>
        <w:tblStyle w:val="TableGrid"/>
        <w:tblW w:type="dxa" w:w="9360"/>
        <w:tblLayout w:type="fixed"/>
        <w:tblLook w:firstColumn="1" w:firstRow="1" w:lastColumn="0" w:lastRow="0" w:noHBand="0" w:noVBand="1" w:val="04A0"/>
        <w:jc w:val="left"/>
        <w:tblInd w:w="120" w:type="dxa"/>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3200"/>
        <w:gridCol w:w="6160"/>
      </w:tblGrid>
      <w:tr>
        <w:tc>
          <w:tcPr>
            <w:tcW w:type="dxa" w:w="3200"/>
            <w:vAlign w:val="center"/>
            <w:tcMar>
              <w:top w:w="80" w:type="dxa"/>
              <w:start w:w="120" w:type="dxa"/>
              <w:bottom w:w="80" w:type="dxa"/>
              <w:end w:w="120" w:type="dxa"/>
            </w:tcMar>
            <w:shd w:fill="E8EEF5"/>
          </w:tcPr>
          <w:p>
            <w:pPr>
              <w:jc w:val="left"/>
            </w:pPr>
            <w:r>
              <w:rPr>
                <w:rFonts w:ascii="Calibri" w:hAnsi="Calibri"/>
                <w:b/>
                <w:color w:val="2E2D32"/>
                <w:sz w:val="19"/>
              </w:rPr>
              <w:t>Riesgo</w:t>
            </w:r>
          </w:p>
        </w:tc>
        <w:tc>
          <w:tcPr>
            <w:tcW w:type="dxa" w:w="6160"/>
            <w:vAlign w:val="center"/>
            <w:tcMar>
              <w:top w:w="80" w:type="dxa"/>
              <w:start w:w="120" w:type="dxa"/>
              <w:bottom w:w="80" w:type="dxa"/>
              <w:end w:w="120" w:type="dxa"/>
            </w:tcMar>
            <w:shd w:fill="E8EEF5"/>
          </w:tcPr>
          <w:p>
            <w:pPr>
              <w:jc w:val="left"/>
            </w:pPr>
            <w:r>
              <w:rPr>
                <w:rFonts w:ascii="Calibri" w:hAnsi="Calibri"/>
                <w:b/>
                <w:color w:val="2E2D32"/>
                <w:sz w:val="19"/>
              </w:rPr>
              <w:t>Mitigacion</w:t>
            </w:r>
          </w:p>
        </w:tc>
      </w:tr>
      <w:tr>
        <w:tc>
          <w:tcPr>
            <w:tcW w:type="dxa" w:w="3200"/>
            <w:vAlign w:val="center"/>
            <w:tcMar>
              <w:top w:w="80" w:type="dxa"/>
              <w:start w:w="120" w:type="dxa"/>
              <w:bottom w:w="80" w:type="dxa"/>
              <w:end w:w="120" w:type="dxa"/>
            </w:tcMar>
          </w:tcPr>
          <w:p>
            <w:pPr>
              <w:jc w:val="left"/>
            </w:pPr>
            <w:r>
              <w:rPr>
                <w:rFonts w:ascii="Calibri" w:hAnsi="Calibri"/>
                <w:color w:val="2E2D32"/>
                <w:sz w:val="18"/>
              </w:rPr>
              <w:t>Sobrecarga del directorio</w:t>
            </w:r>
          </w:p>
        </w:tc>
        <w:tc>
          <w:tcPr>
            <w:tcW w:type="dxa" w:w="6160"/>
            <w:vAlign w:val="center"/>
            <w:tcMar>
              <w:top w:w="80" w:type="dxa"/>
              <w:start w:w="120" w:type="dxa"/>
              <w:bottom w:w="80" w:type="dxa"/>
              <w:end w:w="120" w:type="dxa"/>
            </w:tcMar>
          </w:tcPr>
          <w:p>
            <w:pPr>
              <w:jc w:val="left"/>
            </w:pPr>
            <w:r>
              <w:rPr>
                <w:rFonts w:ascii="Calibri" w:hAnsi="Calibri"/>
                <w:color w:val="2E2D32"/>
                <w:sz w:val="18"/>
              </w:rPr>
              <w:t>Separar capa directiva y operativa.</w:t>
            </w:r>
          </w:p>
        </w:tc>
      </w:tr>
      <w:tr>
        <w:tc>
          <w:tcPr>
            <w:tcW w:type="dxa" w:w="3200"/>
            <w:vAlign w:val="center"/>
            <w:tcMar>
              <w:top w:w="80" w:type="dxa"/>
              <w:start w:w="120" w:type="dxa"/>
              <w:bottom w:w="80" w:type="dxa"/>
              <w:end w:w="120" w:type="dxa"/>
            </w:tcMar>
          </w:tcPr>
          <w:p>
            <w:pPr>
              <w:jc w:val="left"/>
            </w:pPr>
            <w:r>
              <w:rPr>
                <w:rFonts w:ascii="Calibri" w:hAnsi="Calibri"/>
                <w:color w:val="2E2D32"/>
                <w:sz w:val="18"/>
              </w:rPr>
              <w:t>Falta de trazabilidad</w:t>
            </w:r>
          </w:p>
        </w:tc>
        <w:tc>
          <w:tcPr>
            <w:tcW w:type="dxa" w:w="6160"/>
            <w:vAlign w:val="center"/>
            <w:tcMar>
              <w:top w:w="80" w:type="dxa"/>
              <w:start w:w="120" w:type="dxa"/>
              <w:bottom w:w="80" w:type="dxa"/>
              <w:end w:w="120" w:type="dxa"/>
            </w:tcMar>
          </w:tcPr>
          <w:p>
            <w:pPr>
              <w:jc w:val="left"/>
            </w:pPr>
            <w:r>
              <w:rPr>
                <w:rFonts w:ascii="Calibri" w:hAnsi="Calibri"/>
                <w:color w:val="2E2D32"/>
                <w:sz w:val="18"/>
              </w:rPr>
              <w:t>IME Conecta + actas + matriz de acuerdos.</w:t>
            </w:r>
          </w:p>
        </w:tc>
      </w:tr>
      <w:tr>
        <w:tc>
          <w:tcPr>
            <w:tcW w:type="dxa" w:w="3200"/>
            <w:vAlign w:val="center"/>
            <w:tcMar>
              <w:top w:w="80" w:type="dxa"/>
              <w:start w:w="120" w:type="dxa"/>
              <w:bottom w:w="80" w:type="dxa"/>
              <w:end w:w="120" w:type="dxa"/>
            </w:tcMar>
          </w:tcPr>
          <w:p>
            <w:pPr>
              <w:jc w:val="left"/>
            </w:pPr>
            <w:r>
              <w:rPr>
                <w:rFonts w:ascii="Calibri" w:hAnsi="Calibri"/>
                <w:color w:val="2E2D32"/>
                <w:sz w:val="18"/>
              </w:rPr>
              <w:t>Conflictos de interes</w:t>
            </w:r>
          </w:p>
        </w:tc>
        <w:tc>
          <w:tcPr>
            <w:tcW w:type="dxa" w:w="6160"/>
            <w:vAlign w:val="center"/>
            <w:tcMar>
              <w:top w:w="80" w:type="dxa"/>
              <w:start w:w="120" w:type="dxa"/>
              <w:bottom w:w="80" w:type="dxa"/>
              <w:end w:w="120" w:type="dxa"/>
            </w:tcMar>
          </w:tcPr>
          <w:p>
            <w:pPr>
              <w:jc w:val="left"/>
            </w:pPr>
            <w:r>
              <w:rPr>
                <w:rFonts w:ascii="Calibri" w:hAnsi="Calibri"/>
                <w:color w:val="2E2D32"/>
                <w:sz w:val="18"/>
              </w:rPr>
              <w:t>Declaracion y abstencion cuando corresponda.</w:t>
            </w:r>
          </w:p>
        </w:tc>
      </w:tr>
      <w:tr>
        <w:tc>
          <w:tcPr>
            <w:tcW w:type="dxa" w:w="3200"/>
            <w:vAlign w:val="center"/>
            <w:tcMar>
              <w:top w:w="80" w:type="dxa"/>
              <w:start w:w="120" w:type="dxa"/>
              <w:bottom w:w="80" w:type="dxa"/>
              <w:end w:w="120" w:type="dxa"/>
            </w:tcMar>
          </w:tcPr>
          <w:p>
            <w:pPr>
              <w:jc w:val="left"/>
            </w:pPr>
            <w:r>
              <w:rPr>
                <w:rFonts w:ascii="Calibri" w:hAnsi="Calibri"/>
                <w:color w:val="2E2D32"/>
                <w:sz w:val="18"/>
              </w:rPr>
              <w:t>Proyectos sin capacidad real</w:t>
            </w:r>
          </w:p>
        </w:tc>
        <w:tc>
          <w:tcPr>
            <w:tcW w:type="dxa" w:w="6160"/>
            <w:vAlign w:val="center"/>
            <w:tcMar>
              <w:top w:w="80" w:type="dxa"/>
              <w:start w:w="120" w:type="dxa"/>
              <w:bottom w:w="80" w:type="dxa"/>
              <w:end w:w="120" w:type="dxa"/>
            </w:tcMar>
          </w:tcPr>
          <w:p>
            <w:pPr>
              <w:jc w:val="left"/>
            </w:pPr>
            <w:r>
              <w:rPr>
                <w:rFonts w:ascii="Calibri" w:hAnsi="Calibri"/>
                <w:color w:val="2E2D32"/>
                <w:sz w:val="18"/>
              </w:rPr>
              <w:t>Matriz de priorizacion.</w:t>
            </w:r>
          </w:p>
        </w:tc>
      </w:tr>
      <w:tr>
        <w:tc>
          <w:tcPr>
            <w:tcW w:type="dxa" w:w="3200"/>
            <w:vAlign w:val="center"/>
            <w:tcMar>
              <w:top w:w="80" w:type="dxa"/>
              <w:start w:w="120" w:type="dxa"/>
              <w:bottom w:w="80" w:type="dxa"/>
              <w:end w:w="120" w:type="dxa"/>
            </w:tcMar>
          </w:tcPr>
          <w:p>
            <w:pPr>
              <w:jc w:val="left"/>
            </w:pPr>
            <w:r>
              <w:rPr>
                <w:rFonts w:ascii="Calibri" w:hAnsi="Calibri"/>
                <w:color w:val="2E2D32"/>
                <w:sz w:val="18"/>
              </w:rPr>
              <w:t>Mezcla entre IME y vehiculos externos</w:t>
            </w:r>
          </w:p>
        </w:tc>
        <w:tc>
          <w:tcPr>
            <w:tcW w:type="dxa" w:w="6160"/>
            <w:vAlign w:val="center"/>
            <w:tcMar>
              <w:top w:w="80" w:type="dxa"/>
              <w:start w:w="120" w:type="dxa"/>
              <w:bottom w:w="80" w:type="dxa"/>
              <w:end w:w="120" w:type="dxa"/>
            </w:tcMar>
          </w:tcPr>
          <w:p>
            <w:pPr>
              <w:jc w:val="left"/>
            </w:pPr>
            <w:r>
              <w:rPr>
                <w:rFonts w:ascii="Calibri" w:hAnsi="Calibri"/>
                <w:color w:val="2E2D32"/>
                <w:sz w:val="18"/>
              </w:rPr>
              <w:t>Separacion juridica y funcional.</w:t>
            </w:r>
          </w:p>
        </w:tc>
      </w:tr>
      <w:tr>
        <w:tc>
          <w:tcPr>
            <w:tcW w:type="dxa" w:w="3200"/>
            <w:vAlign w:val="center"/>
            <w:tcMar>
              <w:top w:w="80" w:type="dxa"/>
              <w:start w:w="120" w:type="dxa"/>
              <w:bottom w:w="80" w:type="dxa"/>
              <w:end w:w="120" w:type="dxa"/>
            </w:tcMar>
          </w:tcPr>
          <w:p>
            <w:pPr>
              <w:jc w:val="left"/>
            </w:pPr>
            <w:r>
              <w:rPr>
                <w:rFonts w:ascii="Calibri" w:hAnsi="Calibri"/>
                <w:color w:val="2E2D32"/>
                <w:sz w:val="18"/>
              </w:rPr>
              <w:t>Desorden documental</w:t>
            </w:r>
          </w:p>
        </w:tc>
        <w:tc>
          <w:tcPr>
            <w:tcW w:type="dxa" w:w="6160"/>
            <w:vAlign w:val="center"/>
            <w:tcMar>
              <w:top w:w="80" w:type="dxa"/>
              <w:start w:w="120" w:type="dxa"/>
              <w:bottom w:w="80" w:type="dxa"/>
              <w:end w:w="120" w:type="dxa"/>
            </w:tcMar>
          </w:tcPr>
          <w:p>
            <w:pPr>
              <w:jc w:val="left"/>
            </w:pPr>
            <w:r>
              <w:rPr>
                <w:rFonts w:ascii="Calibri" w:hAnsi="Calibri"/>
                <w:color w:val="2E2D32"/>
                <w:sz w:val="18"/>
              </w:rPr>
              <w:t>Secretaria Tecnica y archivo oficial.</w:t>
            </w:r>
          </w:p>
        </w:tc>
      </w:tr>
      <w:tr>
        <w:tc>
          <w:tcPr>
            <w:tcW w:type="dxa" w:w="3200"/>
            <w:vAlign w:val="center"/>
            <w:tcMar>
              <w:top w:w="80" w:type="dxa"/>
              <w:start w:w="120" w:type="dxa"/>
              <w:bottom w:w="80" w:type="dxa"/>
              <w:end w:w="120" w:type="dxa"/>
            </w:tcMar>
          </w:tcPr>
          <w:p>
            <w:pPr>
              <w:jc w:val="left"/>
            </w:pPr>
            <w:r>
              <w:rPr>
                <w:rFonts w:ascii="Calibri" w:hAnsi="Calibri"/>
                <w:color w:val="2E2D32"/>
                <w:sz w:val="18"/>
              </w:rPr>
              <w:t>Baja participacion de socios/as</w:t>
            </w:r>
          </w:p>
        </w:tc>
        <w:tc>
          <w:tcPr>
            <w:tcW w:type="dxa" w:w="6160"/>
            <w:vAlign w:val="center"/>
            <w:tcMar>
              <w:top w:w="80" w:type="dxa"/>
              <w:start w:w="120" w:type="dxa"/>
              <w:bottom w:w="80" w:type="dxa"/>
              <w:end w:w="120" w:type="dxa"/>
            </w:tcMar>
          </w:tcPr>
          <w:p>
            <w:pPr>
              <w:jc w:val="left"/>
            </w:pPr>
            <w:r>
              <w:rPr>
                <w:rFonts w:ascii="Calibri" w:hAnsi="Calibri"/>
                <w:color w:val="2E2D32"/>
                <w:sz w:val="18"/>
              </w:rPr>
              <w:t>Comites y comunicacion clara.</w:t>
            </w:r>
          </w:p>
        </w:tc>
      </w:tr>
      <w:tr>
        <w:tc>
          <w:tcPr>
            <w:tcW w:type="dxa" w:w="3200"/>
            <w:vAlign w:val="center"/>
            <w:tcMar>
              <w:top w:w="80" w:type="dxa"/>
              <w:start w:w="120" w:type="dxa"/>
              <w:bottom w:w="80" w:type="dxa"/>
              <w:end w:w="120" w:type="dxa"/>
            </w:tcMar>
          </w:tcPr>
          <w:p>
            <w:pPr>
              <w:jc w:val="left"/>
            </w:pPr>
            <w:r>
              <w:rPr>
                <w:rFonts w:ascii="Calibri" w:hAnsi="Calibri"/>
                <w:color w:val="2E2D32"/>
                <w:sz w:val="18"/>
              </w:rPr>
              <w:t>Dependencia de personas especificas</w:t>
            </w:r>
          </w:p>
        </w:tc>
        <w:tc>
          <w:tcPr>
            <w:tcW w:type="dxa" w:w="6160"/>
            <w:vAlign w:val="center"/>
            <w:tcMar>
              <w:top w:w="80" w:type="dxa"/>
              <w:start w:w="120" w:type="dxa"/>
              <w:bottom w:w="80" w:type="dxa"/>
              <w:end w:w="120" w:type="dxa"/>
            </w:tcMar>
          </w:tcPr>
          <w:p>
            <w:pPr>
              <w:jc w:val="left"/>
            </w:pPr>
            <w:r>
              <w:rPr>
                <w:rFonts w:ascii="Calibri" w:hAnsi="Calibri"/>
                <w:color w:val="2E2D32"/>
                <w:sz w:val="18"/>
              </w:rPr>
              <w:t>Roles, procedimientos y archivo compartido.</w:t>
            </w:r>
          </w:p>
        </w:tc>
      </w:tr>
      <w:tr>
        <w:tc>
          <w:tcPr>
            <w:tcW w:type="dxa" w:w="3200"/>
            <w:vAlign w:val="center"/>
            <w:tcMar>
              <w:top w:w="80" w:type="dxa"/>
              <w:start w:w="120" w:type="dxa"/>
              <w:bottom w:w="80" w:type="dxa"/>
              <w:end w:w="120" w:type="dxa"/>
            </w:tcMar>
          </w:tcPr>
          <w:p>
            <w:pPr>
              <w:jc w:val="left"/>
            </w:pPr>
            <w:r>
              <w:rPr>
                <w:rFonts w:ascii="Calibri" w:hAnsi="Calibri"/>
                <w:color w:val="2E2D32"/>
                <w:sz w:val="18"/>
              </w:rPr>
              <w:t>Precarizacion del trabajo operativo</w:t>
            </w:r>
          </w:p>
        </w:tc>
        <w:tc>
          <w:tcPr>
            <w:tcW w:type="dxa" w:w="6160"/>
            <w:vAlign w:val="center"/>
            <w:tcMar>
              <w:top w:w="80" w:type="dxa"/>
              <w:start w:w="120" w:type="dxa"/>
              <w:bottom w:w="80" w:type="dxa"/>
              <w:end w:w="120" w:type="dxa"/>
            </w:tcMar>
          </w:tcPr>
          <w:p>
            <w:pPr>
              <w:jc w:val="left"/>
            </w:pPr>
            <w:r>
              <w:rPr>
                <w:rFonts w:ascii="Calibri" w:hAnsi="Calibri"/>
                <w:color w:val="2E2D32"/>
                <w:sz w:val="18"/>
              </w:rPr>
              <w:t>Politica de valorizacion.</w:t>
            </w:r>
          </w:p>
        </w:tc>
      </w:tr>
      <w:tr>
        <w:tc>
          <w:tcPr>
            <w:tcW w:type="dxa" w:w="3200"/>
            <w:vAlign w:val="center"/>
            <w:tcMar>
              <w:top w:w="80" w:type="dxa"/>
              <w:start w:w="120" w:type="dxa"/>
              <w:bottom w:w="80" w:type="dxa"/>
              <w:end w:w="120" w:type="dxa"/>
            </w:tcMar>
          </w:tcPr>
          <w:p>
            <w:pPr>
              <w:jc w:val="left"/>
            </w:pPr>
            <w:r>
              <w:rPr>
                <w:rFonts w:ascii="Calibri" w:hAnsi="Calibri"/>
                <w:color w:val="2E2D32"/>
                <w:sz w:val="18"/>
              </w:rPr>
              <w:t>Alianzas ambiguas</w:t>
            </w:r>
          </w:p>
        </w:tc>
        <w:tc>
          <w:tcPr>
            <w:tcW w:type="dxa" w:w="6160"/>
            <w:vAlign w:val="center"/>
            <w:tcMar>
              <w:top w:w="80" w:type="dxa"/>
              <w:start w:w="120" w:type="dxa"/>
              <w:bottom w:w="80" w:type="dxa"/>
              <w:end w:w="120" w:type="dxa"/>
            </w:tcMar>
          </w:tcPr>
          <w:p>
            <w:pPr>
              <w:jc w:val="left"/>
            </w:pPr>
            <w:r>
              <w:rPr>
                <w:rFonts w:ascii="Calibri" w:hAnsi="Calibri"/>
                <w:color w:val="2E2D32"/>
                <w:sz w:val="18"/>
              </w:rPr>
              <w:t>Protocolo de alianzas.</w:t>
            </w:r>
          </w:p>
        </w:tc>
      </w:tr>
    </w:tbl>
    <w:p>
      <w:pPr>
        <w:spacing w:before="0" w:after="120" w:line="320" w:lineRule="auto"/>
      </w:pPr>
    </w:p>
    <w:p>
      <w:pPr>
        <w:pStyle w:val="Heading1"/>
      </w:pPr>
      <w:r>
        <w:t>17. Ruta de implementacion</w:t>
      </w:r>
    </w:p>
    <w:p>
      <w:pPr>
        <w:pStyle w:val="Heading2"/>
      </w:pPr>
      <w:r>
        <w:t>Hitos</w:t>
      </w:r>
    </w:p>
    <w:tbl>
      <w:tblPr>
        <w:tblStyle w:val="TableGrid"/>
        <w:tblW w:type="dxa" w:w="9360"/>
        <w:tblLayout w:type="fixed"/>
        <w:tblLook w:firstColumn="1" w:firstRow="1" w:lastColumn="0" w:lastRow="0" w:noHBand="0" w:noVBand="1" w:val="04A0"/>
        <w:jc w:val="left"/>
        <w:tblInd w:w="120" w:type="dxa"/>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2000"/>
        <w:gridCol w:w="7360"/>
      </w:tblGrid>
      <w:tr>
        <w:tc>
          <w:tcPr>
            <w:tcW w:type="dxa" w:w="2000"/>
            <w:vAlign w:val="center"/>
            <w:tcMar>
              <w:top w:w="80" w:type="dxa"/>
              <w:start w:w="120" w:type="dxa"/>
              <w:bottom w:w="80" w:type="dxa"/>
              <w:end w:w="120" w:type="dxa"/>
            </w:tcMar>
            <w:shd w:fill="E8EEF5"/>
          </w:tcPr>
          <w:p>
            <w:pPr>
              <w:jc w:val="left"/>
            </w:pPr>
            <w:r>
              <w:rPr>
                <w:rFonts w:ascii="Calibri" w:hAnsi="Calibri"/>
                <w:b/>
                <w:color w:val="2E2D32"/>
                <w:sz w:val="19"/>
              </w:rPr>
              <w:t>Horizonte</w:t>
            </w:r>
          </w:p>
        </w:tc>
        <w:tc>
          <w:tcPr>
            <w:tcW w:type="dxa" w:w="7360"/>
            <w:vAlign w:val="center"/>
            <w:tcMar>
              <w:top w:w="80" w:type="dxa"/>
              <w:start w:w="120" w:type="dxa"/>
              <w:bottom w:w="80" w:type="dxa"/>
              <w:end w:w="120" w:type="dxa"/>
            </w:tcMar>
            <w:shd w:fill="E8EEF5"/>
          </w:tcPr>
          <w:p>
            <w:pPr>
              <w:jc w:val="left"/>
            </w:pPr>
            <w:r>
              <w:rPr>
                <w:rFonts w:ascii="Calibri" w:hAnsi="Calibri"/>
                <w:b/>
                <w:color w:val="2E2D32"/>
                <w:sz w:val="19"/>
              </w:rPr>
              <w:t>Acciones</w:t>
            </w:r>
          </w:p>
        </w:tc>
      </w:tr>
      <w:tr>
        <w:tc>
          <w:tcPr>
            <w:tcW w:type="dxa" w:w="2000"/>
            <w:vAlign w:val="center"/>
            <w:tcMar>
              <w:top w:w="80" w:type="dxa"/>
              <w:start w:w="120" w:type="dxa"/>
              <w:bottom w:w="80" w:type="dxa"/>
              <w:end w:w="120" w:type="dxa"/>
            </w:tcMar>
          </w:tcPr>
          <w:p>
            <w:pPr>
              <w:jc w:val="left"/>
            </w:pPr>
            <w:r>
              <w:rPr>
                <w:rFonts w:ascii="Calibri" w:hAnsi="Calibri"/>
                <w:color w:val="2E2D32"/>
                <w:sz w:val="18"/>
              </w:rPr>
              <w:t>15 dias</w:t>
            </w:r>
          </w:p>
        </w:tc>
        <w:tc>
          <w:tcPr>
            <w:tcW w:type="dxa" w:w="7360"/>
            <w:vAlign w:val="center"/>
            <w:tcMar>
              <w:top w:w="80" w:type="dxa"/>
              <w:start w:w="120" w:type="dxa"/>
              <w:bottom w:w="80" w:type="dxa"/>
              <w:end w:w="120" w:type="dxa"/>
            </w:tcMar>
          </w:tcPr>
          <w:p>
            <w:pPr>
              <w:jc w:val="left"/>
            </w:pPr>
            <w:r>
              <w:rPr>
                <w:rFonts w:ascii="Calibri" w:hAnsi="Calibri"/>
                <w:color w:val="2E2D32"/>
                <w:sz w:val="18"/>
              </w:rPr>
              <w:t>Validar diagnostico; Ajustar concepto rector; Crear matriz de proyectos; Preparar postulacion Sercotec; Definir mesa de trabajo.</w:t>
            </w:r>
          </w:p>
        </w:tc>
      </w:tr>
      <w:tr>
        <w:tc>
          <w:tcPr>
            <w:tcW w:type="dxa" w:w="2000"/>
            <w:vAlign w:val="center"/>
            <w:tcMar>
              <w:top w:w="80" w:type="dxa"/>
              <w:start w:w="120" w:type="dxa"/>
              <w:bottom w:w="80" w:type="dxa"/>
              <w:end w:w="120" w:type="dxa"/>
            </w:tcMar>
          </w:tcPr>
          <w:p>
            <w:pPr>
              <w:jc w:val="left"/>
            </w:pPr>
            <w:r>
              <w:rPr>
                <w:rFonts w:ascii="Calibri" w:hAnsi="Calibri"/>
                <w:color w:val="2E2D32"/>
                <w:sz w:val="18"/>
              </w:rPr>
              <w:t>30 dias</w:t>
            </w:r>
          </w:p>
        </w:tc>
        <w:tc>
          <w:tcPr>
            <w:tcW w:type="dxa" w:w="7360"/>
            <w:vAlign w:val="center"/>
            <w:tcMar>
              <w:top w:w="80" w:type="dxa"/>
              <w:start w:w="120" w:type="dxa"/>
              <w:bottom w:w="80" w:type="dxa"/>
              <w:end w:w="120" w:type="dxa"/>
            </w:tcMar>
          </w:tcPr>
          <w:p>
            <w:pPr>
              <w:jc w:val="left"/>
            </w:pPr>
            <w:r>
              <w:rPr>
                <w:rFonts w:ascii="Calibri" w:hAnsi="Calibri"/>
                <w:color w:val="2E2D32"/>
                <w:sz w:val="18"/>
              </w:rPr>
              <w:t>Actualizar base de socios/as; Disenar version inicial de IME Conecta; Activar comites prioritarios; Ordenar documentacion; Definir criterios de datos y permisos.</w:t>
            </w:r>
          </w:p>
        </w:tc>
      </w:tr>
      <w:tr>
        <w:tc>
          <w:tcPr>
            <w:tcW w:type="dxa" w:w="2000"/>
            <w:vAlign w:val="center"/>
            <w:tcMar>
              <w:top w:w="80" w:type="dxa"/>
              <w:start w:w="120" w:type="dxa"/>
              <w:bottom w:w="80" w:type="dxa"/>
              <w:end w:w="120" w:type="dxa"/>
            </w:tcMar>
          </w:tcPr>
          <w:p>
            <w:pPr>
              <w:jc w:val="left"/>
            </w:pPr>
            <w:r>
              <w:rPr>
                <w:rFonts w:ascii="Calibri" w:hAnsi="Calibri"/>
                <w:color w:val="2E2D32"/>
                <w:sz w:val="18"/>
              </w:rPr>
              <w:t>90 dias</w:t>
            </w:r>
          </w:p>
        </w:tc>
        <w:tc>
          <w:tcPr>
            <w:tcW w:type="dxa" w:w="7360"/>
            <w:vAlign w:val="center"/>
            <w:tcMar>
              <w:top w:w="80" w:type="dxa"/>
              <w:start w:w="120" w:type="dxa"/>
              <w:bottom w:w="80" w:type="dxa"/>
              <w:end w:w="120" w:type="dxa"/>
            </w:tcMar>
          </w:tcPr>
          <w:p>
            <w:pPr>
              <w:jc w:val="left"/>
            </w:pPr>
            <w:r>
              <w:rPr>
                <w:rFonts w:ascii="Calibri" w:hAnsi="Calibri"/>
                <w:color w:val="2E2D32"/>
                <w:sz w:val="18"/>
              </w:rPr>
              <w:t>Piloto operativo de IME Conecta; Matriz de acuerdos funcionando; Matriz de proyectos activa; Carteras directivas reportando avances; IME Link 2027 como caso de prueba estrategico.</w:t>
            </w:r>
          </w:p>
        </w:tc>
      </w:tr>
      <w:tr>
        <w:tc>
          <w:tcPr>
            <w:tcW w:type="dxa" w:w="2000"/>
            <w:vAlign w:val="center"/>
            <w:tcMar>
              <w:top w:w="80" w:type="dxa"/>
              <w:start w:w="120" w:type="dxa"/>
              <w:bottom w:w="80" w:type="dxa"/>
              <w:end w:w="120" w:type="dxa"/>
            </w:tcMar>
          </w:tcPr>
          <w:p>
            <w:pPr>
              <w:jc w:val="left"/>
            </w:pPr>
            <w:r>
              <w:rPr>
                <w:rFonts w:ascii="Calibri" w:hAnsi="Calibri"/>
                <w:color w:val="2E2D32"/>
                <w:sz w:val="18"/>
              </w:rPr>
              <w:t>2027</w:t>
            </w:r>
          </w:p>
        </w:tc>
        <w:tc>
          <w:tcPr>
            <w:tcW w:type="dxa" w:w="7360"/>
            <w:vAlign w:val="center"/>
            <w:tcMar>
              <w:top w:w="80" w:type="dxa"/>
              <w:start w:w="120" w:type="dxa"/>
              <w:bottom w:w="80" w:type="dxa"/>
              <w:end w:w="120" w:type="dxa"/>
            </w:tcMar>
          </w:tcPr>
          <w:p>
            <w:pPr>
              <w:jc w:val="left"/>
            </w:pPr>
            <w:r>
              <w:rPr>
                <w:rFonts w:ascii="Calibri" w:hAnsi="Calibri"/>
                <w:color w:val="2E2D32"/>
                <w:sz w:val="18"/>
              </w:rPr>
              <w:t>IME Link 2027 como validacion publica de la nueva infraestructura de gestion.</w:t>
            </w:r>
          </w:p>
        </w:tc>
      </w:tr>
    </w:tbl>
    <w:p>
      <w:pPr>
        <w:spacing w:before="0" w:after="120" w:line="320" w:lineRule="auto"/>
      </w:pPr>
    </w:p>
    <w:p>
      <w:pPr>
        <w:pStyle w:val="Heading1"/>
      </w:pPr>
      <w:r>
        <w:t>18. Discusion directiva: validacion, ajustes y proximos acuerdos</w:t>
      </w:r>
    </w:p>
    <w:p>
      <w:pPr>
        <w:spacing w:before="0" w:after="160" w:line="320" w:lineRule="auto"/>
        <w:jc w:val="both"/>
      </w:pPr>
      <w:r>
        <w:t>Esta propuesta no busca cerrar una decision de manera automatica, sino abrir una discusion estrategica del directorio sobre la forma en que IME Chile debe organizarse para enfrentar una nueva escala gremial.</w:t>
      </w:r>
    </w:p>
    <w:p>
      <w:pPr>
        <w:pStyle w:val="Heading2"/>
      </w:pPr>
      <w:r>
        <w:t>Preguntas para deliberacion</w:t>
      </w:r>
    </w:p>
    <w:p>
      <w:pPr>
        <w:pStyle w:val="ListNumber"/>
        <w:spacing w:after="80" w:line="290" w:lineRule="auto"/>
      </w:pPr>
      <w:r>
        <w:t>El directorio comparte el diagnostico operacional?</w:t>
      </w:r>
    </w:p>
    <w:p>
      <w:pPr>
        <w:pStyle w:val="ListNumber"/>
        <w:spacing w:after="80" w:line="290" w:lineRule="auto"/>
      </w:pPr>
      <w:r>
        <w:t>El concepto "Gobernanza operacional para una nueva escala gremial" representa bien el momento de IME?</w:t>
      </w:r>
    </w:p>
    <w:p>
      <w:pPr>
        <w:pStyle w:val="ListNumber"/>
        <w:spacing w:after="80" w:line="290" w:lineRule="auto"/>
      </w:pPr>
      <w:r>
        <w:t>IME Conecta debe ser el foco principal de corto plazo?</w:t>
      </w:r>
    </w:p>
    <w:p>
      <w:pPr>
        <w:pStyle w:val="ListNumber"/>
        <w:spacing w:after="80" w:line="290" w:lineRule="auto"/>
      </w:pPr>
      <w:r>
        <w:t>IME Link 2027 debe operar como sujeto de prueba estrategico?</w:t>
      </w:r>
    </w:p>
    <w:p>
      <w:pPr>
        <w:pStyle w:val="ListNumber"/>
        <w:spacing w:after="80" w:line="290" w:lineRule="auto"/>
      </w:pPr>
      <w:r>
        <w:t>Es necesario reformular objetivos antes de votar?</w:t>
      </w:r>
    </w:p>
    <w:p>
      <w:pPr>
        <w:pStyle w:val="ListNumber"/>
        <w:spacing w:after="80" w:line="290" w:lineRule="auto"/>
      </w:pPr>
      <w:r>
        <w:t>Que acuerdos minimos deberian quedar para una proxima sesion o votacion?</w:t>
      </w:r>
    </w:p>
    <w:p>
      <w:pPr>
        <w:pStyle w:val="Heading1"/>
      </w:pPr>
      <w:r>
        <w:t>19. Propuesta de acuerdos para eventual votacion</w:t>
      </w:r>
    </w:p>
    <w:p>
      <w:pPr>
        <w:spacing w:before="0" w:after="160" w:line="320" w:lineRule="auto"/>
        <w:jc w:val="both"/>
      </w:pPr>
      <w:r>
        <w:t>A partir de la discusion, el directorio podra reformular objetivos, ajustar prioridades y definir que materias deben ser sometidas a votacion en esta sesion o en una proxima reunion.</w:t>
      </w:r>
    </w:p>
    <w:p>
      <w:pPr>
        <w:pStyle w:val="Heading2"/>
      </w:pPr>
      <w:r>
        <w:t>Materias posibles de acuerdo</w:t>
      </w:r>
    </w:p>
    <w:p>
      <w:pPr>
        <w:pStyle w:val="ListNumber"/>
        <w:spacing w:after="80" w:line="290" w:lineRule="auto"/>
      </w:pPr>
      <w:r>
        <w:t>Aprobar, rechazar o reformular el concepto rector.</w:t>
      </w:r>
    </w:p>
    <w:p>
      <w:pPr>
        <w:pStyle w:val="ListNumber"/>
        <w:spacing w:after="80" w:line="290" w:lineRule="auto"/>
      </w:pPr>
      <w:r>
        <w:t>Definir si IME Conecta sera priorizado como proyecto principal para Sercotec Fortalecimiento Gremial.</w:t>
      </w:r>
    </w:p>
    <w:p>
      <w:pPr>
        <w:pStyle w:val="ListNumber"/>
        <w:spacing w:after="80" w:line="290" w:lineRule="auto"/>
      </w:pPr>
      <w:r>
        <w:t>Definir si IME Link 2027 sera tratado como sujeto de prueba estrategico de IME Conecta.</w:t>
      </w:r>
    </w:p>
    <w:p>
      <w:pPr>
        <w:pStyle w:val="ListNumber"/>
        <w:spacing w:after="80" w:line="290" w:lineRule="auto"/>
      </w:pPr>
      <w:r>
        <w:t>Mandatar una mesa de trabajo para ajustar la propuesta y preparar la postulacion.</w:t>
      </w:r>
    </w:p>
    <w:p>
      <w:pPr>
        <w:pStyle w:val="ListNumber"/>
        <w:spacing w:after="80" w:line="290" w:lineRule="auto"/>
      </w:pPr>
      <w:r>
        <w:t>Encargar una version final del plan para ser revisada y votada por el directorio.</w:t>
      </w:r>
    </w:p>
    <w:p>
      <w:pPr>
        <w:pStyle w:val="Heading1"/>
      </w:pPr>
      <w:r>
        <w:t>20. Cierre</w:t>
      </w:r>
    </w:p>
    <w:tbl>
      <w:tblPr>
        <w:tblW w:type="dxa" w:w="9360"/>
        <w:jc w:val="left"/>
        <w:tblLayout w:type="fixed"/>
        <w:tblLook w:firstColumn="1" w:firstRow="1" w:lastColumn="0" w:lastRow="0" w:noHBand="0" w:noVBand="1" w:val="04A0"/>
        <w:tblInd w:w="120" w:type="dxa"/>
        <w:tblBorders>
          <w:top w:val="single" w:sz="6" w:space="0" w:color="9ADFD6"/>
          <w:left w:val="single" w:sz="6" w:space="0" w:color="9ADFD6"/>
          <w:bottom w:val="single" w:sz="6" w:space="0" w:color="9ADFD6"/>
          <w:right w:val="single" w:sz="6" w:space="0" w:color="9ADFD6"/>
          <w:insideH w:val="single" w:sz="6" w:space="0" w:color="9ADFD6"/>
          <w:insideV w:val="single" w:sz="6" w:space="0" w:color="9ADFD6"/>
        </w:tblBorders>
      </w:tblPr>
      <w:tblGrid>
        <w:gridCol w:w="9360"/>
      </w:tblGrid>
      <w:tr>
        <w:tc>
          <w:tcPr>
            <w:tcW w:type="dxa" w:w="9360"/>
            <w:vAlign w:val="center"/>
            <w:tcMar>
              <w:top w:w="80" w:type="dxa"/>
              <w:start w:w="120" w:type="dxa"/>
              <w:bottom w:w="80" w:type="dxa"/>
              <w:end w:w="120" w:type="dxa"/>
            </w:tcMar>
            <w:shd w:fill="F4F6F9"/>
          </w:tcPr>
          <w:p>
            <w:pPr>
              <w:spacing w:before="40" w:after="40" w:line="290" w:lineRule="auto"/>
            </w:pPr>
            <w:r>
              <w:rPr>
                <w:rFonts w:ascii="Calibri" w:hAnsi="Calibri"/>
                <w:b/>
                <w:color w:val="2E2D32"/>
              </w:rPr>
              <w:t>Ordenar para crecer.</w:t>
            </w:r>
          </w:p>
        </w:tc>
      </w:tr>
    </w:tbl>
    <w:p>
      <w:pPr>
        <w:spacing w:before="0" w:after="80" w:line="320" w:lineRule="auto"/>
      </w:pPr>
    </w:p>
    <w:tbl>
      <w:tblPr>
        <w:tblW w:type="dxa" w:w="9360"/>
        <w:jc w:val="left"/>
        <w:tblLayout w:type="fixed"/>
        <w:tblLook w:firstColumn="1" w:firstRow="1" w:lastColumn="0" w:lastRow="0" w:noHBand="0" w:noVBand="1" w:val="04A0"/>
        <w:tblInd w:w="120" w:type="dxa"/>
        <w:tblBorders>
          <w:top w:val="single" w:sz="6" w:space="0" w:color="9ADFD6"/>
          <w:left w:val="single" w:sz="6" w:space="0" w:color="9ADFD6"/>
          <w:bottom w:val="single" w:sz="6" w:space="0" w:color="9ADFD6"/>
          <w:right w:val="single" w:sz="6" w:space="0" w:color="9ADFD6"/>
          <w:insideH w:val="single" w:sz="6" w:space="0" w:color="9ADFD6"/>
          <w:insideV w:val="single" w:sz="6" w:space="0" w:color="9ADFD6"/>
        </w:tblBorders>
      </w:tblPr>
      <w:tblGrid>
        <w:gridCol w:w="9360"/>
      </w:tblGrid>
      <w:tr>
        <w:tc>
          <w:tcPr>
            <w:tcW w:type="dxa" w:w="9360"/>
            <w:vAlign w:val="center"/>
            <w:tcMar>
              <w:top w:w="80" w:type="dxa"/>
              <w:start w:w="120" w:type="dxa"/>
              <w:bottom w:w="80" w:type="dxa"/>
              <w:end w:w="120" w:type="dxa"/>
            </w:tcMar>
            <w:shd w:fill="F4F6F9"/>
          </w:tcPr>
          <w:p>
            <w:pPr>
              <w:spacing w:before="40" w:after="40" w:line="290" w:lineRule="auto"/>
            </w:pPr>
            <w:r>
              <w:rPr>
                <w:rFonts w:ascii="Calibri" w:hAnsi="Calibri"/>
                <w:b/>
                <w:color w:val="2E2D32"/>
              </w:rPr>
              <w:t>La infraestructura interna tambien es estrategia.</w:t>
            </w:r>
          </w:p>
        </w:tc>
      </w:tr>
    </w:tbl>
    <w:p>
      <w:pPr>
        <w:spacing w:before="0" w:after="80" w:line="320" w:lineRule="auto"/>
      </w:pPr>
    </w:p>
    <w:tbl>
      <w:tblPr>
        <w:tblW w:type="dxa" w:w="9360"/>
        <w:jc w:val="left"/>
        <w:tblLayout w:type="fixed"/>
        <w:tblLook w:firstColumn="1" w:firstRow="1" w:lastColumn="0" w:lastRow="0" w:noHBand="0" w:noVBand="1" w:val="04A0"/>
        <w:tblInd w:w="120" w:type="dxa"/>
        <w:tblBorders>
          <w:top w:val="single" w:sz="6" w:space="0" w:color="9ADFD6"/>
          <w:left w:val="single" w:sz="6" w:space="0" w:color="9ADFD6"/>
          <w:bottom w:val="single" w:sz="6" w:space="0" w:color="9ADFD6"/>
          <w:right w:val="single" w:sz="6" w:space="0" w:color="9ADFD6"/>
          <w:insideH w:val="single" w:sz="6" w:space="0" w:color="9ADFD6"/>
          <w:insideV w:val="single" w:sz="6" w:space="0" w:color="9ADFD6"/>
        </w:tblBorders>
      </w:tblPr>
      <w:tblGrid>
        <w:gridCol w:w="9360"/>
      </w:tblGrid>
      <w:tr>
        <w:tc>
          <w:tcPr>
            <w:tcW w:type="dxa" w:w="9360"/>
            <w:vAlign w:val="center"/>
            <w:tcMar>
              <w:top w:w="80" w:type="dxa"/>
              <w:start w:w="120" w:type="dxa"/>
              <w:bottom w:w="80" w:type="dxa"/>
              <w:end w:w="120" w:type="dxa"/>
            </w:tcMar>
            <w:shd w:fill="F4F6F9"/>
          </w:tcPr>
          <w:p>
            <w:pPr>
              <w:spacing w:before="40" w:after="40" w:line="290" w:lineRule="auto"/>
            </w:pPr>
            <w:r>
              <w:rPr>
                <w:rFonts w:ascii="Calibri" w:hAnsi="Calibri"/>
                <w:b/>
                <w:color w:val="2E2D32"/>
              </w:rPr>
              <w:t>IME Conecta no compite con IME Link 2027: lo habilita.</w:t>
            </w:r>
          </w:p>
        </w:tc>
      </w:tr>
    </w:tbl>
    <w:p>
      <w:pPr>
        <w:spacing w:before="0" w:after="80" w:line="320" w:lineRule="auto"/>
      </w:pPr>
    </w:p>
    <w:tbl>
      <w:tblPr>
        <w:tblW w:type="dxa" w:w="9360"/>
        <w:jc w:val="left"/>
        <w:tblLayout w:type="fixed"/>
        <w:tblLook w:firstColumn="1" w:firstRow="1" w:lastColumn="0" w:lastRow="0" w:noHBand="0" w:noVBand="1" w:val="04A0"/>
        <w:tblInd w:w="120" w:type="dxa"/>
        <w:tblBorders>
          <w:top w:val="single" w:sz="6" w:space="0" w:color="9ADFD6"/>
          <w:left w:val="single" w:sz="6" w:space="0" w:color="9ADFD6"/>
          <w:bottom w:val="single" w:sz="6" w:space="0" w:color="9ADFD6"/>
          <w:right w:val="single" w:sz="6" w:space="0" w:color="9ADFD6"/>
          <w:insideH w:val="single" w:sz="6" w:space="0" w:color="9ADFD6"/>
          <w:insideV w:val="single" w:sz="6" w:space="0" w:color="9ADFD6"/>
        </w:tblBorders>
      </w:tblPr>
      <w:tblGrid>
        <w:gridCol w:w="9360"/>
      </w:tblGrid>
      <w:tr>
        <w:tc>
          <w:tcPr>
            <w:tcW w:type="dxa" w:w="9360"/>
            <w:vAlign w:val="center"/>
            <w:tcMar>
              <w:top w:w="80" w:type="dxa"/>
              <w:start w:w="120" w:type="dxa"/>
              <w:bottom w:w="80" w:type="dxa"/>
              <w:end w:w="120" w:type="dxa"/>
            </w:tcMar>
            <w:shd w:fill="F4F6F9"/>
          </w:tcPr>
          <w:p>
            <w:pPr>
              <w:spacing w:before="40" w:after="40" w:line="290" w:lineRule="auto"/>
            </w:pPr>
            <w:r>
              <w:rPr>
                <w:rFonts w:ascii="Calibri" w:hAnsi="Calibri"/>
                <w:b/>
                <w:color w:val="2E2D32"/>
              </w:rPr>
              <w:t>El objetivo no es burocratizar IME, sino darle una estructura minima para crecer sin depender de la memoria, la buena voluntad o la sobrecarga de sus directores/as.</w:t>
            </w:r>
          </w:p>
        </w:tc>
      </w:tr>
    </w:tbl>
    <w:p>
      <w:pPr>
        <w:spacing w:before="0" w:after="80" w:line="320" w:lineRule="auto"/>
      </w:pP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D4C54"/>
        <w:sz w:val="17"/>
      </w:rPr>
      <w:t>IME Conecta | Gobernanza operacional para una nueva escala gremial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color w:val="2E2D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370E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370E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