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900"/>
        <w:jc w:val="center"/>
      </w:pPr>
      <w:r>
        <w:drawing>
          <wp:inline distT="0" distB="0" distL="0" distR="0">
            <wp:extent cx="1238250" cy="1504950"/>
            <wp:effectExtent t="0" r="0" b="0" l="0"/>
            <wp:docPr id="1" name="logo" descr="Logo" title="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11114"/>
          <w:sz w:val="38"/>
          <w:szCs w:val="38"/>
        </w:rPr>
        <w:t xml:space="preserve">Borrador — Aviso de Privacidad 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4"/>
          <w:sz w:val="38"/>
          <w:szCs w:val="38"/>
        </w:rPr>
        <w:t xml:space="preserve">Flujo de Consentimiento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IME Conecta · capa privada</w:t>
      </w:r>
    </w:p>
    <w:p>
      <w:pPr>
        <w:spacing w:after="30"/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Industria Musical Electrónica Independiente de Chile A.G.</w:t>
      </w:r>
    </w:p>
    <w:p>
      <w:pPr>
        <w:jc w:val="center"/>
      </w:pPr>
      <w:r>
        <w:rPr>
          <w:rFonts w:ascii="Arial" w:cs="Arial" w:eastAsia="Arial" w:hAnsi="Arial"/>
          <w:color w:val="555560"/>
          <w:sz w:val="22"/>
          <w:szCs w:val="22"/>
        </w:rPr>
        <w:t xml:space="preserve">Versión 0.1 (BORRADOR para revisión legal) · 21 de junio de 2026</w:t>
      </w:r>
    </w:p>
    <w:p>
      <w:r>
        <w:br w:type="pag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Aviso. </w:t>
      </w:r>
      <w:r>
        <w:rPr>
          <w:rFonts w:ascii="Arial" w:cs="Arial" w:eastAsia="Arial" w:hAnsi="Arial"/>
          <w:i/>
          <w:iCs/>
          <w:color w:val="111114"/>
          <w:sz w:val="22"/>
          <w:szCs w:val="22"/>
        </w:rPr>
        <w:t xml:space="preserve">Este texto es un borrador operativo preparado para facilitar la revisión por un abogado especializado en protección de datos (Ley N.º 19.628 y Ley N.º 21.719). No constituye asesoría jurídica. Los campos marcados como [A DEFINIR] deben completarse y validarse legalmente antes de publicar.</w:t>
      </w:r>
    </w:p>
    <w:p>
      <w:pPr>
        <w:pStyle w:val="Heading1"/>
      </w:pPr>
      <w:r>
        <w:t xml:space="preserve">Parte A — Aviso de Privacidad (texto para la persona usuaria)</w:t>
      </w:r>
    </w:p>
    <w:p>
      <w:pPr>
        <w:pStyle w:val="Heading2"/>
      </w:pPr>
      <w:r>
        <w:t xml:space="preserve">1. Quiénes somos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IME Conecta es un proyecto de la Industria Musical Electrónica Independiente de Chile A.G. (IME), responsable del tratamiento de tus datos. Consultas de privacidad: ime.conecta@gmail.com.</w:t>
      </w:r>
    </w:p>
    <w:p>
      <w:pPr>
        <w:pStyle w:val="Heading2"/>
      </w:pPr>
      <w:r>
        <w:t xml:space="preserve">2. Qué datos tratamos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Navegación pública (anónima):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si solo visitas el sitio público, usamos analítica de visitas anónima y sin cookies (Vercel). No se almacena tu IP ni se te identifica.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Cuenta registrada: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al crear una cuenta tratamos tu correo electrónico y nombre o alias para autenticarte.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Trazas de navegación (solo si lo autorizas): 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sección o activo digital visitado, tiempo de permanencia y, según corresponda, interacciones (scroll, clics, descargas, uso de la capa audiovisual), para análisis y modelado en los laboratorios web.</w:t>
      </w:r>
    </w:p>
    <w:p>
      <w:pPr>
        <w:pStyle w:val="Heading2"/>
      </w:pPr>
      <w:r>
        <w:t xml:space="preserve">3. Finalidades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Autenticar tu acceso y gestionar tu cuenta.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Analizar y modelar el uso del sitio para mejorar el proyecto y la gestión gremial.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Cumplir obligaciones legales aplicables.</w:t>
      </w:r>
    </w:p>
    <w:p>
      <w:pPr>
        <w:pStyle w:val="Heading2"/>
      </w:pPr>
      <w:r>
        <w:t xml:space="preserve">4. Base que nos habilita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Tratamos tus datos sobre la base de tu consentimiento, otorgado al registrarte y revocable en cualquier momento.</w:t>
      </w:r>
    </w:p>
    <w:p>
      <w:pPr>
        <w:pStyle w:val="Heading2"/>
      </w:pPr>
      <w:r>
        <w:t xml:space="preserve">5. Encargados y ubicación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Vercel Inc. (alojamiento y analítica anónima).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Supabase (autenticación y base de datos de la capa privada).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Estos proveedores pueden procesar datos fuera de Chile (p. ej., Estados Unidos). Adoptamos las garantías exigidas por la ley para dichas transferencias.</w:t>
      </w:r>
    </w:p>
    <w:p>
      <w:pPr>
        <w:pStyle w:val="Heading2"/>
      </w:pPr>
      <w:r>
        <w:t xml:space="preserve">6. Retención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Conservamos tus datos mientras tu cuenta esté activa y por el plazo [A DEFINIR]. Para investigación en el laboratorio, los datos se anonimizan de forma irreversible antes de su análisis, de modo que dejan de ser datos personales.</w:t>
      </w:r>
    </w:p>
    <w:p>
      <w:pPr>
        <w:pStyle w:val="Heading2"/>
      </w:pPr>
      <w:r>
        <w:t xml:space="preserve">7. Tus derechos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Puedes ejercer, sin costo y con respuesta dentro de 30 días, los derechos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Acceso — saber qué datos tenemos de ti.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Rectificación — corregir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Supresión — eliminar tus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Oposición — oponerte a un tratamiento.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Portabilidad — descargar tus datos en formato estructurado.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Bloqueo temporal — suspender el uso mientras resolvemos una solicitud.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Lo haces desde tu panel “Gestiona mis datos” (descargar / eliminar) o escribiendo a ime.conecta@gmail.com. También puedes reclamar ante la Agencia de Protección de Datos Personales.</w:t>
      </w:r>
    </w:p>
    <w:p>
      <w:pPr>
        <w:pStyle w:val="Heading2"/>
      </w:pPr>
      <w:r>
        <w:t xml:space="preserve">8. Seguridad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Aplicamos medidas técnicas y organizativas razonables (control de acceso, cifrado en tránsito, registro de actividad y cabeceras de seguridad).</w:t>
      </w:r>
    </w:p>
    <w:p>
      <w:pPr>
        <w:pStyle w:val="Heading2"/>
      </w:pPr>
      <w:r>
        <w:t xml:space="preserve">9. Cambios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Podemos actualizar este aviso. Te informaremos los cambios relevantes y, cuando corresponda, te pediremos un nuevo consentimiento.</w:t>
      </w:r>
    </w:p>
    <w:p>
      <w:pPr>
        <w:pStyle w:val="Heading1"/>
      </w:pPr>
      <w:r>
        <w:t xml:space="preserve">Parte B — Flujo de consentimiento (operativo)</w:t>
      </w:r>
    </w:p>
    <w:p>
      <w:pPr>
        <w:pStyle w:val="Heading2"/>
      </w:pPr>
      <w:r>
        <w:t xml:space="preserve">B.1 Momento y forma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El consentimiento se solicita al registrarse, de manera libre, específica, informada e inequívoca, mediante casillas no premarcadas (opt-in).</w:t>
      </w:r>
    </w:p>
    <w:p>
      <w:pPr>
        <w:pStyle w:val="Heading2"/>
      </w:pPr>
      <w:r>
        <w:t xml:space="preserve">B.2 Consentimiento granular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(Obligatorio) Cuenta y autenticación.</w:t>
      </w:r>
      <w:r>
        <w:rPr>
          <w:rFonts w:ascii="Arial" w:cs="Arial" w:eastAsia="Arial" w:hAnsi="Arial"/>
          <w:color w:val="111114"/>
          <w:sz w:val="22"/>
          <w:szCs w:val="22"/>
        </w:rPr>
        <w:t xml:space="preserve"> Necesario para usar la capa privada.</w:t>
      </w:r>
    </w:p>
    <w:p>
      <w:pPr>
        <w:pBdr>
          <w:left w:val="single" w:color="7C3AED" w:sz="18" w:space="12"/>
        </w:pBdr>
        <w:spacing w:after="120" w:line="276"/>
        <w:ind w:left="5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“Acepto el Aviso de Privacidad y el tratamiento de mi correo y nombre para crear y gestionar mi cuenta.”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11114"/>
          <w:sz w:val="22"/>
          <w:szCs w:val="22"/>
        </w:rPr>
        <w:t xml:space="preserve">(Opcional, separable) Trazas para análisis y modelado.</w:t>
      </w:r>
    </w:p>
    <w:p>
      <w:pPr>
        <w:pBdr>
          <w:left w:val="single" w:color="7C3AED" w:sz="18" w:space="12"/>
        </w:pBdr>
        <w:spacing w:after="120" w:line="276"/>
        <w:ind w:left="5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“Autorizo, de forma voluntaria, la captura de mis trazas de navegación (sección visitada y tiempo) para fines de análisis y modelado en los laboratorios web de IME. Puedo revocar esta autorización cuando quiera.”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La persona debe poder crear cuenta sin aceptar la casilla opcional.</w:t>
      </w:r>
    </w:p>
    <w:p>
      <w:pPr>
        <w:pStyle w:val="Heading2"/>
      </w:pPr>
      <w:r>
        <w:t xml:space="preserve">B.3 Registro auditable del consentimiento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Por cada consentimiento se almacena: identificador de usuarix, versión del texto aceptado, marca de tiempo, canal (web) y estado (otorgado/revocado), para acreditar cumplimiento ante la autoridad.</w:t>
      </w:r>
    </w:p>
    <w:p>
      <w:pPr>
        <w:pStyle w:val="Heading2"/>
      </w:pPr>
      <w:r>
        <w:t xml:space="preserve">B.4 Revocación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Desde el panel “Gestiona mis datos”, la persona puede revocar el consentimiento opcional en un clic; tras la revocación se detiene la captura y se [eliminan / anonimizan] las trazas asociadas según política [A DEFINIR].</w:t>
      </w:r>
    </w:p>
    <w:p>
      <w:pPr>
        <w:pStyle w:val="Heading2"/>
      </w:pPr>
      <w:r>
        <w:t xml:space="preserve">B.5 Personas menores de edad</w:t>
      </w:r>
    </w:p>
    <w:p>
      <w:pPr>
        <w:spacing w:after="12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[A DEFINIR con el abogado] — definir si el servicio admite menores y, en su caso, el mecanismo de consentimiento de quien ejerza la representación legal. (El gremio agrupa principalmente a personas adultas.)</w:t>
      </w:r>
    </w:p>
    <w:p>
      <w:pPr>
        <w:pStyle w:val="Heading1"/>
      </w:pPr>
      <w:r>
        <w:t xml:space="preserve">Parte C — Textos de interfaz (copy sugerido)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Pie del sitio (capa privada): “Tus datos se tratan según nuestro Aviso de Privacidad. Gestiona o elimina tus datos en tu panel.”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Botón panel: “Gestiona mis datos”.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Acciones del panel: “Descargar mis datos” · “Eliminar mi cuenta y mis datos” · “Revocar captura de trazas”.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Confirmación de eliminación: “Esto eliminará tu cuenta y tus datos personales de forma permanente. ¿Confirmas?”.</w:t>
      </w:r>
    </w:p>
    <w:p>
      <w:pPr>
        <w:pStyle w:val="Heading1"/>
      </w:pPr>
      <w:r>
        <w:t xml:space="preserve">Parte D — Notas para el abogado revisor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Validar que el consentimiento sea la base idónea y que la granularidad propuesta sea suficiente.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Confirmar plazos de retención por categoría de dato ([A DEFINIR]).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Revisar garantías para la transferencia internacional (Vercel, Supabase).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Determinar si procede una Evaluación de Impacto (EIPD) por el perfilamiento/modelado.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Definir política respecto de menores de edad.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11114"/>
          <w:sz w:val="22"/>
          <w:szCs w:val="22"/>
        </w:rPr>
        <w:t xml:space="preserve">Aprobar la redacción final de las Partes A, B y C.</w:t>
      </w:r>
    </w:p>
    <w:p>
      <w:pPr>
        <w:spacing w:after="120" w:line="276"/>
        <w:rPr>
          <w:i/>
          <w:iCs/>
          <w:color w:val="555560"/>
        </w:rPr>
      </w:pPr>
      <w:r>
        <w:rPr>
          <w:rFonts w:ascii="Arial" w:cs="Arial" w:eastAsia="Arial" w:hAnsi="Arial"/>
          <w:i/>
          <w:iCs/>
          <w:color w:val="555560"/>
          <w:sz w:val="22"/>
          <w:szCs w:val="22"/>
        </w:rPr>
        <w:t xml:space="preserve">Referencias normativas de contexto: Ley N.º 19.628 (1999); Ley N.º 21.719 (2024). Ver el Informe Operativo-Legal del proyecto para citas y fuentes en APA 7.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60"/>
        <w:sz w:val="16"/>
        <w:szCs w:val="16"/>
      </w:rPr>
      <w:t xml:space="preserve">IME Conecta — Borrador Aviso de Privacidad y Consentimiento · </w:t>
    </w:r>
    <w:r>
      <w:rPr>
        <w:rFonts w:ascii="Arial" w:cs="Arial" w:eastAsia="Arial" w:hAnsi="Arial"/>
        <w:color w:val="555560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40" w:before="300"/>
      <w:outlineLvl w:val="0"/>
    </w:pPr>
    <w:rPr>
      <w:rFonts w:ascii="Arial" w:cs="Arial" w:eastAsia="Arial" w:hAnsi="Arial"/>
      <w:b/>
      <w:bCs/>
      <w:color w:val="11111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7C3AE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4d7f62a06cf45d24a994c356285ce2b94d444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2026-06-26T17:50:50.981Z</dcterms:created>
  <dcterms:modified xsi:type="dcterms:W3CDTF">2026-06-26T17:50:50.981Z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