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drawing>
          <wp:inline distT="0" distB="0" distL="0" distR="0">
            <wp:extent cx="1333500" cy="1619250"/>
            <wp:effectExtent t="0" r="0" b="0" l="0"/>
            <wp:docPr id="1" name="logo" descr="Logo IME" title="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619250"/>
                    </a:xfrm>
                    <a:prstGeom prst="rect">
                      <a:avLst/>
                    </a:prstGeom>
                  </pic:spPr>
                </pic:pic>
              </a:graphicData>
            </a:graphic>
          </wp:inline>
        </w:drawing>
      </w:r>
    </w:p>
    <w:p>
      <w:pPr>
        <w:spacing w:after="60"/>
        <w:jc w:val="center"/>
      </w:pPr>
      <w:r>
        <w:rPr>
          <w:rFonts w:ascii="Arial" w:cs="Arial" w:eastAsia="Arial" w:hAnsi="Arial"/>
          <w:b/>
          <w:bCs/>
          <w:color w:val="111114"/>
          <w:sz w:val="44"/>
          <w:szCs w:val="44"/>
        </w:rPr>
        <w:t xml:space="preserve">Informe Operativo-Legal</w:t>
      </w:r>
    </w:p>
    <w:p>
      <w:pPr>
        <w:spacing w:after="60"/>
        <w:jc w:val="center"/>
      </w:pPr>
      <w:r>
        <w:rPr>
          <w:rFonts w:ascii="Arial" w:cs="Arial" w:eastAsia="Arial" w:hAnsi="Arial"/>
          <w:b/>
          <w:bCs/>
          <w:color w:val="7C3AED"/>
          <w:sz w:val="26"/>
          <w:szCs w:val="26"/>
        </w:rPr>
        <w:t xml:space="preserve">Tratamiento de datos del sitio IME Conecta</w:t>
      </w:r>
    </w:p>
    <w:p>
      <w:pPr>
        <w:spacing w:after="200"/>
        <w:jc w:val="center"/>
      </w:pPr>
      <w:r>
        <w:rPr>
          <w:rFonts w:ascii="Arial" w:cs="Arial" w:eastAsia="Arial" w:hAnsi="Arial"/>
          <w:color w:val="555560"/>
          <w:sz w:val="22"/>
          <w:szCs w:val="22"/>
        </w:rPr>
        <w:t xml:space="preserve">Documento preparado para revisión legal</w:t>
      </w:r>
    </w:p>
    <w:p>
      <w:pPr>
        <w:spacing w:after="40"/>
        <w:jc w:val="center"/>
      </w:pPr>
      <w:r>
        <w:rPr>
          <w:rFonts w:ascii="Arial" w:cs="Arial" w:eastAsia="Arial" w:hAnsi="Arial"/>
          <w:color w:val="555560"/>
          <w:sz w:val="22"/>
          <w:szCs w:val="22"/>
        </w:rPr>
        <w:t xml:space="preserve">Industria Musical Electrónica Independiente de Chile A.G.</w:t>
      </w:r>
    </w:p>
    <w:p>
      <w:pPr>
        <w:jc w:val="center"/>
      </w:pPr>
      <w:hyperlink w:history="1" r:id="rIdzfmv9o__9vvaxb0bd_xzd">
        <w:r>
          <w:rPr>
            <w:rStyle w:val="Hyperlink"/>
            <w:rFonts w:ascii="Arial" w:cs="Arial" w:eastAsia="Arial" w:hAnsi="Arial"/>
            <w:sz w:val="22"/>
            <w:szCs w:val="22"/>
          </w:rPr>
          <w:t xml:space="preserve">ime-conecta.vercel.app</w:t>
        </w:r>
      </w:hyperlink>
    </w:p>
    <w:p>
      <w:pPr>
        <w:spacing w:before="200"/>
        <w:jc w:val="center"/>
      </w:pPr>
      <w:r>
        <w:rPr>
          <w:rFonts w:ascii="Arial" w:cs="Arial" w:eastAsia="Arial" w:hAnsi="Arial"/>
          <w:color w:val="555560"/>
          <w:sz w:val="22"/>
          <w:szCs w:val="22"/>
        </w:rPr>
        <w:t xml:space="preserve">21 de junio de 2026</w:t>
      </w:r>
    </w:p>
    <w:p>
      <w:r>
        <w:br w:type="page"/>
      </w:r>
    </w:p>
    <w:p>
      <w:pPr>
        <w:spacing w:after="120" w:line="276"/>
      </w:pPr>
      <w:r>
        <w:rPr>
          <w:rFonts w:ascii="Arial" w:cs="Arial" w:eastAsia="Arial" w:hAnsi="Arial"/>
          <w:b/>
          <w:bCs/>
          <w:color w:val="111114"/>
          <w:sz w:val="22"/>
          <w:szCs w:val="22"/>
        </w:rPr>
        <w:t xml:space="preserve">Aviso. </w:t>
      </w:r>
      <w:r>
        <w:rPr>
          <w:rFonts w:ascii="Arial" w:cs="Arial" w:eastAsia="Arial" w:hAnsi="Arial"/>
          <w:i/>
          <w:iCs/>
          <w:color w:val="111114"/>
          <w:sz w:val="22"/>
          <w:szCs w:val="22"/>
        </w:rPr>
        <w:t xml:space="preserve">Este informe es un instrumento operativo-técnico preparado para facilitar la revisión por un profesional del derecho. No constituye asesoría legal ni una opinión jurídica. Las referencias normativas se incluyen para contextualizar y deben ser verificadas y validadas por el abogado revisor.</w:t>
      </w:r>
    </w:p>
    <w:p>
      <w:r>
        <w:br w:type="page"/>
      </w:r>
    </w:p>
    <w:p>
      <w:pPr>
        <w:pStyle w:val="Heading1"/>
      </w:pPr>
      <w:r>
        <w:t xml:space="preserve">Contenido</w:t>
      </w:r>
    </w:p>
    <w:sdt>
      <w:sdtPr>
        <w:alias w:val="Tabla de contenido"/>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Objeto y alcance</w:t>
      </w:r>
    </w:p>
    <w:p>
      <w:pPr>
        <w:spacing w:after="120" w:line="276"/>
      </w:pPr>
      <w:r>
        <w:rPr>
          <w:rFonts w:ascii="Arial" w:cs="Arial" w:eastAsia="Arial" w:hAnsi="Arial"/>
          <w:color w:val="111114"/>
          <w:sz w:val="22"/>
          <w:szCs w:val="22"/>
        </w:rPr>
        <w:t xml:space="preserve">Este informe describe, con fines operativos y de cumplimiento, el tratamiento de datos asociado al sitio web IME Conecta: qué datos se tratan actualmente, qué datos se planea tratar en una futura capa privada, quiénes son los encargados, y el marco legal chileno aplicable. Su finalidad es servir de base para la revisión de un abogado especializado en protección de datos, quien deberá validar las bases de licitud, los textos de consentimiento, las transferencias internacionales y demás obligaciones.</w:t>
      </w:r>
    </w:p>
    <w:p>
      <w:pPr>
        <w:pStyle w:val="Heading1"/>
      </w:pPr>
      <w:r>
        <w:t xml:space="preserve">2. Identificación del responsable y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Campo</w:t>
            </w:r>
          </w:p>
        </w:tc>
        <w:tc>
          <w:tcPr>
            <w:tcW w:type="dxa" w:w="646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Detalle</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Responsable del tratamiento</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Industria Musical Electrónica Independiente de Chile A.G. (IME)</w:t>
            </w:r>
          </w:p>
        </w:tc>
      </w:tr>
      <w:tr>
        <w:tc>
          <w:tcPr>
            <w:tcW w:type="dxa" w:w="2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Proyecto</w:t>
            </w:r>
          </w:p>
        </w:tc>
        <w:tc>
          <w:tcPr>
            <w:tcW w:type="dxa" w:w="64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IME Conecta — presentación web y futura plataforma de gestión gremial</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Sitio en producción</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https://ime-conecta.vercel.app</w:t>
            </w:r>
          </w:p>
        </w:tc>
      </w:tr>
      <w:tr>
        <w:tc>
          <w:tcPr>
            <w:tcW w:type="dxa" w:w="2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Repositorio</w:t>
            </w:r>
          </w:p>
        </w:tc>
        <w:tc>
          <w:tcPr>
            <w:tcW w:type="dxa" w:w="64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co-dec-org/ime-conecta (GitHub)</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Infraestructura (hosting)</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Vercel Inc. (encargado)</w:t>
            </w:r>
          </w:p>
        </w:tc>
      </w:tr>
      <w:tr>
        <w:tc>
          <w:tcPr>
            <w:tcW w:type="dxa" w:w="2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Backend planificado</w:t>
            </w:r>
          </w:p>
        </w:tc>
        <w:tc>
          <w:tcPr>
            <w:tcW w:type="dxa" w:w="64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Supabase (encargado, capa privada)</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Contacto</w:t>
            </w:r>
          </w:p>
        </w:tc>
        <w:tc>
          <w:tcPr>
            <w:tcW w:type="dxa" w:w="64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ime.conecta@gmail.com</w:t>
            </w:r>
          </w:p>
        </w:tc>
      </w:tr>
    </w:tbl>
    <w:p>
      <w:pPr>
        <w:pStyle w:val="Heading1"/>
      </w:pPr>
      <w:r>
        <w:t xml:space="preserve">3. Descripción operativa del sistema</w:t>
      </w:r>
    </w:p>
    <w:p>
      <w:pPr>
        <w:spacing w:after="120" w:line="276"/>
      </w:pPr>
      <w:r>
        <w:rPr>
          <w:rFonts w:ascii="Arial" w:cs="Arial" w:eastAsia="Arial" w:hAnsi="Arial"/>
          <w:color w:val="111114"/>
          <w:sz w:val="22"/>
          <w:szCs w:val="22"/>
        </w:rPr>
        <w:t xml:space="preserve">El proyecto se estructura, por diseño, en dos capas con tratamientos de datos diferenciados:</w:t>
      </w:r>
    </w:p>
    <w:p>
      <w:pPr>
        <w:pStyle w:val="Heading2"/>
      </w:pPr>
      <w:r>
        <w:t xml:space="preserve">3.1 Capa pública (operativa hoy)</w:t>
      </w:r>
    </w:p>
    <w:p>
      <w:pPr>
        <w:spacing w:after="120" w:line="276"/>
      </w:pPr>
      <w:r>
        <w:rPr>
          <w:rFonts w:ascii="Arial" w:cs="Arial" w:eastAsia="Arial" w:hAnsi="Arial"/>
          <w:color w:val="111114"/>
          <w:sz w:val="22"/>
          <w:szCs w:val="22"/>
        </w:rPr>
        <w:t xml:space="preserve">Sitio estático de acceso abierto, sin registro ni inicio de sesión. Construido en Vite + React + TypeScript y desplegado en Vercel. Incorpora analítica de visitas anónima y sin cookies (Vercel Web Analytics). Las notas y preferencias del usuario se guardan exclusivamente en el navegador (localStorage) y no se transmiten a ningún servidor.</w:t>
      </w:r>
    </w:p>
    <w:p>
      <w:pPr>
        <w:pStyle w:val="Heading2"/>
      </w:pPr>
      <w:r>
        <w:t xml:space="preserve">3.2 Capa privada (planificada)</w:t>
      </w:r>
    </w:p>
    <w:p>
      <w:pPr>
        <w:spacing w:after="120" w:line="276"/>
      </w:pPr>
      <w:r>
        <w:rPr>
          <w:rFonts w:ascii="Arial" w:cs="Arial" w:eastAsia="Arial" w:hAnsi="Arial"/>
          <w:color w:val="111114"/>
          <w:sz w:val="22"/>
          <w:szCs w:val="22"/>
        </w:rPr>
        <w:t xml:space="preserve">Área para personas usuarias registradas (Directorio y socixs), con autenticación (login) y captura de trazas de navegación (sección o activo digital visitado, tiempo de permanencia, y eventualmente scroll, clics, descargas y uso de la capa audiovisual), almacenadas en Supabase para análisis y modelado en laboratorios web. Esta capa trata datos personales identificados y es el foco principal de la revisión legal.</w:t>
      </w:r>
    </w:p>
    <w:p>
      <w:pPr>
        <w:pStyle w:val="Heading1"/>
      </w:pPr>
      <w:r>
        <w:t xml:space="preserve">4. Inventario de datos y flujos</w:t>
      </w:r>
    </w:p>
    <w:p>
      <w:pPr>
        <w:spacing w:after="120" w:line="276"/>
      </w:pPr>
      <w:r>
        <w:rPr>
          <w:rFonts w:ascii="Arial" w:cs="Arial" w:eastAsia="Arial" w:hAnsi="Arial"/>
          <w:color w:val="111114"/>
          <w:sz w:val="22"/>
          <w:szCs w:val="22"/>
        </w:rPr>
        <w:t xml:space="preserve">La capa pública actual procesa datos anónimos y agregados mediante Vercel Web Analytics: marca de tiempo, URL o ruta, referente, parámetros de consulta filtrados, geolocalización (país/ciudad derivada de la IP, sin ubicación precisa), sistema operativo, navegador y tipo de dispositivo. No se utilizan cookies; al visitante se le identifica con un hash de la petición que se descarta a las 24 horas, y no se almacena la dirección IP ni se reconstruye la sesión entre sitios (Vercel, s.f.-a). Los registros de plataforma (logs) pueden procesar la IP de forma transitoria para operar y asegurar el servicio (Vercel, s.f.-b).</w:t>
      </w:r>
    </w:p>
    <w:p>
      <w:pPr>
        <w:spacing w:after="120" w:line="276"/>
      </w:pPr>
      <w:r>
        <w:rPr>
          <w:rFonts w:ascii="Arial" w:cs="Arial" w:eastAsia="Arial" w:hAnsi="Arial"/>
          <w:color w:val="111114"/>
          <w:sz w:val="22"/>
          <w:szCs w:val="22"/>
        </w:rPr>
        <w:t xml:space="preserve">La dirección IP es considerada dato personal bajo la normativa chilena (Ley N.º 21.719, 2024). En consecuencia, cualquier almacenamiento de IP en la capa privada activa plenamente las obligaciones de la ley.</w:t>
      </w:r>
    </w:p>
    <w:p>
      <w:pPr>
        <w:spacing w:after="80" w:line="276"/>
      </w:pPr>
      <w:r>
        <w:rPr>
          <w:rFonts w:ascii="Arial" w:cs="Arial" w:eastAsia="Arial" w:hAnsi="Arial"/>
          <w:color w:val="111114"/>
          <w:sz w:val="22"/>
          <w:szCs w:val="22"/>
        </w:rPr>
        <w:t xml:space="preserve">Inventario propuesto (a validar):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860"/>
        <w:gridCol w:w="1900"/>
        <w:gridCol w:w="1500"/>
      </w:tblGrid>
      <w:tr>
        <w:trPr>
          <w:tblHeader/>
        </w:trPr>
        <w:tc>
          <w:tcPr>
            <w:tcW w:type="dxa" w:w="22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Dato</w:t>
            </w:r>
          </w:p>
        </w:tc>
        <w:tc>
          <w:tcPr>
            <w:tcW w:type="dxa" w:w="19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Capa / encargado</w:t>
            </w:r>
          </w:p>
        </w:tc>
        <w:tc>
          <w:tcPr>
            <w:tcW w:type="dxa" w:w="186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Finalidad</w:t>
            </w:r>
          </w:p>
        </w:tc>
        <w:tc>
          <w:tcPr>
            <w:tcW w:type="dxa" w:w="19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Base de licitud (propuesta)</w:t>
            </w:r>
          </w:p>
        </w:tc>
        <w:tc>
          <w:tcPr>
            <w:tcW w:type="dxa" w:w="15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Retención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URL / sección visitada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Pública / Vercel</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Métrica de uso agregada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Anonimizado (fuera de la ley)</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Hash 24 h</w:t>
            </w:r>
          </w:p>
        </w:tc>
      </w:tr>
      <w:tr>
        <w:tc>
          <w:tcPr>
            <w:tcW w:type="dxa" w:w="22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Referente y query params</w:t>
            </w:r>
          </w:p>
        </w:tc>
        <w:tc>
          <w:tcPr>
            <w:tcW w:type="dxa" w:w="1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Pública / Vercel</w:t>
            </w:r>
          </w:p>
        </w:tc>
        <w:tc>
          <w:tcPr>
            <w:tcW w:type="dxa" w:w="18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Métrica</w:t>
            </w:r>
          </w:p>
        </w:tc>
        <w:tc>
          <w:tcPr>
            <w:tcW w:type="dxa" w:w="1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Anonimizado</w:t>
            </w:r>
          </w:p>
        </w:tc>
        <w:tc>
          <w:tcPr>
            <w:tcW w:type="dxa" w:w="15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Hash 24 h</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Geolocalización país/ciudad</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Pública / Vercel</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Métrica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Anonimizado (IP no almacenada)</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w:t>
            </w:r>
          </w:p>
        </w:tc>
      </w:tr>
      <w:tr>
        <w:tc>
          <w:tcPr>
            <w:tcW w:type="dxa" w:w="22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Dispositivo / navegador / SO</w:t>
            </w:r>
          </w:p>
        </w:tc>
        <w:tc>
          <w:tcPr>
            <w:tcW w:type="dxa" w:w="1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Pública / Vercel</w:t>
            </w:r>
          </w:p>
        </w:tc>
        <w:tc>
          <w:tcPr>
            <w:tcW w:type="dxa" w:w="18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Métrica</w:t>
            </w:r>
          </w:p>
        </w:tc>
        <w:tc>
          <w:tcPr>
            <w:tcW w:type="dxa" w:w="1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Anonimizado</w:t>
            </w:r>
          </w:p>
        </w:tc>
        <w:tc>
          <w:tcPr>
            <w:tcW w:type="dxa" w:w="15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IP (transitoria, logs)</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Plataforma / Vercel</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Operación y seguridad</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Interés legítimo (a validar)</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Según logs</w:t>
            </w:r>
          </w:p>
        </w:tc>
      </w:tr>
      <w:tr>
        <w:tc>
          <w:tcPr>
            <w:tcW w:type="dxa" w:w="22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Identidad (correo, nombre)</w:t>
            </w:r>
          </w:p>
        </w:tc>
        <w:tc>
          <w:tcPr>
            <w:tcW w:type="dxa" w:w="1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Privada / Supabase</w:t>
            </w:r>
          </w:p>
        </w:tc>
        <w:tc>
          <w:tcPr>
            <w:tcW w:type="dxa" w:w="18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Autenticación de usuarix</w:t>
            </w:r>
          </w:p>
        </w:tc>
        <w:tc>
          <w:tcPr>
            <w:tcW w:type="dxa" w:w="1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Consentimiento</w:t>
            </w:r>
          </w:p>
        </w:tc>
        <w:tc>
          <w:tcPr>
            <w:tcW w:type="dxa" w:w="15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A definir</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Trazas identificadas (sección, tiempo, eventos)</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Privada / Supabase</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Análisis y modelado</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Consentimiento</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A definir</w:t>
            </w:r>
          </w:p>
        </w:tc>
      </w:tr>
      <w:tr>
        <w:tc>
          <w:tcPr>
            <w:tcW w:type="dxa" w:w="22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Datos derivados / modelos</w:t>
            </w:r>
          </w:p>
        </w:tc>
        <w:tc>
          <w:tcPr>
            <w:tcW w:type="dxa" w:w="1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Laboratorio / IME</w:t>
            </w:r>
          </w:p>
        </w:tc>
        <w:tc>
          <w:tcPr>
            <w:tcW w:type="dxa" w:w="18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Investigación</w:t>
            </w:r>
          </w:p>
        </w:tc>
        <w:tc>
          <w:tcPr>
            <w:tcW w:type="dxa" w:w="19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Consentimiento o anonimización irreversible</w:t>
            </w:r>
          </w:p>
        </w:tc>
        <w:tc>
          <w:tcPr>
            <w:tcW w:type="dxa" w:w="15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A definir</w:t>
            </w:r>
          </w:p>
        </w:tc>
      </w:tr>
    </w:tbl>
    <w:p>
      <w:pPr>
        <w:pStyle w:val="Heading1"/>
      </w:pPr>
      <w:r>
        <w:t xml:space="preserve">5. Encargados de tratamiento y transferencia internacional</w:t>
      </w:r>
    </w:p>
    <w:p>
      <w:pPr>
        <w:pStyle w:val="ListParagraph"/>
        <w:numPr>
          <w:ilvl w:val="0"/>
          <w:numId w:val="2"/>
        </w:numPr>
        <w:spacing w:after="60" w:line="276"/>
      </w:pPr>
      <w:r>
        <w:rPr>
          <w:rFonts w:ascii="Arial" w:cs="Arial" w:eastAsia="Arial" w:hAnsi="Arial"/>
          <w:b/>
          <w:bCs/>
          <w:color w:val="111114"/>
          <w:sz w:val="22"/>
          <w:szCs w:val="22"/>
        </w:rPr>
        <w:t xml:space="preserve">Vercel Inc. </w:t>
      </w:r>
      <w:r>
        <w:rPr>
          <w:rFonts w:ascii="Arial" w:cs="Arial" w:eastAsia="Arial" w:hAnsi="Arial"/>
          <w:color w:val="111114"/>
          <w:sz w:val="22"/>
          <w:szCs w:val="22"/>
        </w:rPr>
        <w:t xml:space="preserve">(hosting y analítica): actúa como encargado del tratamiento respecto de los datos de visitantes; ofrece acuerdo de tratamiento de datos (DPA) (Vercel, s.f.-c).</w:t>
      </w:r>
    </w:p>
    <w:p>
      <w:pPr>
        <w:pStyle w:val="ListParagraph"/>
        <w:numPr>
          <w:ilvl w:val="0"/>
          <w:numId w:val="2"/>
        </w:numPr>
        <w:spacing w:after="60" w:line="276"/>
      </w:pPr>
      <w:r>
        <w:rPr>
          <w:rFonts w:ascii="Arial" w:cs="Arial" w:eastAsia="Arial" w:hAnsi="Arial"/>
          <w:b/>
          <w:bCs/>
          <w:color w:val="111114"/>
          <w:sz w:val="22"/>
          <w:szCs w:val="22"/>
        </w:rPr>
        <w:t xml:space="preserve">Supabase </w:t>
      </w:r>
      <w:r>
        <w:rPr>
          <w:rFonts w:ascii="Arial" w:cs="Arial" w:eastAsia="Arial" w:hAnsi="Arial"/>
          <w:color w:val="111114"/>
          <w:sz w:val="22"/>
          <w:szCs w:val="22"/>
        </w:rPr>
        <w:t xml:space="preserve">(backend planificado): actuaría como encargado de la capa privada; debe suscribirse el acuerdo de tratamiento correspondiente antes de operar.</w:t>
      </w:r>
    </w:p>
    <w:p>
      <w:pPr>
        <w:spacing w:after="120" w:line="276"/>
      </w:pPr>
      <w:r>
        <w:rPr>
          <w:rFonts w:ascii="Arial" w:cs="Arial" w:eastAsia="Arial" w:hAnsi="Arial"/>
          <w:color w:val="111114"/>
          <w:sz w:val="22"/>
          <w:szCs w:val="22"/>
        </w:rPr>
        <w:t xml:space="preserve">Ambos proveedores procesan datos en infraestructura ubicada fuera de Chile (p. ej., Estados Unidos), por lo que existe una transferencia internacional de datos que el abogado debe evaluar (garantías, cláusulas y requisitos de la Ley N.º 21.719, 2024).</w:t>
      </w:r>
    </w:p>
    <w:p>
      <w:pPr>
        <w:pStyle w:val="Heading1"/>
      </w:pPr>
      <w:r>
        <w:t xml:space="preserve">6. Marco legal aplicable</w:t>
      </w:r>
    </w:p>
    <w:p>
      <w:pPr>
        <w:spacing w:after="120" w:line="276"/>
      </w:pPr>
      <w:r>
        <w:rPr>
          <w:rFonts w:ascii="Arial" w:cs="Arial" w:eastAsia="Arial" w:hAnsi="Arial"/>
          <w:color w:val="111114"/>
          <w:sz w:val="22"/>
          <w:szCs w:val="22"/>
        </w:rPr>
        <w:t xml:space="preserve">En Chile rige actualmente la Ley N.º 19.628 sobre protección de la vida privada (Ley N.º 19.628, 1999). La Ley N.º 21.719, publicada el 13 de diciembre de 2024, reforma integralmente el régimen y entra en plena vigencia el 1 de diciembre de 2026, tras un período de transición de 24 meses; crea la Agencia de Protección de Datos Personales (APDP) con facultades de fiscalización y sanción, y alinea a Chile con estándares internacionales como el RGPD europeo (Ley N.º 21.719, 2024; Kulvio, s.f.). Dado lo inminente de su vigencia, se recomienda diseñar conforme a la nueva ley desde ya.</w:t>
      </w:r>
    </w:p>
    <w:p>
      <w:pPr>
        <w:pStyle w:val="Heading1"/>
      </w:pPr>
      <w:r>
        <w:t xml:space="preserve">7. Conceptos clave: anonimización, disociación e IP</w:t>
      </w:r>
    </w:p>
    <w:p>
      <w:pPr>
        <w:pStyle w:val="ListParagraph"/>
        <w:numPr>
          <w:ilvl w:val="0"/>
          <w:numId w:val="2"/>
        </w:numPr>
        <w:spacing w:after="60" w:line="276"/>
      </w:pPr>
      <w:r>
        <w:rPr>
          <w:rFonts w:ascii="Arial" w:cs="Arial" w:eastAsia="Arial" w:hAnsi="Arial"/>
          <w:b/>
          <w:bCs/>
          <w:color w:val="111114"/>
          <w:sz w:val="22"/>
          <w:szCs w:val="22"/>
        </w:rPr>
        <w:t xml:space="preserve">Dato personal: </w:t>
      </w:r>
      <w:r>
        <w:rPr>
          <w:rFonts w:ascii="Arial" w:cs="Arial" w:eastAsia="Arial" w:hAnsi="Arial"/>
          <w:color w:val="111114"/>
          <w:sz w:val="22"/>
          <w:szCs w:val="22"/>
        </w:rPr>
        <w:t xml:space="preserve">toda información vinculada a una persona natural identificada o identificable, incluyendo IP, ubicación e identificadores (Soyio, s.f.).</w:t>
      </w:r>
    </w:p>
    <w:p>
      <w:pPr>
        <w:pStyle w:val="ListParagraph"/>
        <w:numPr>
          <w:ilvl w:val="0"/>
          <w:numId w:val="2"/>
        </w:numPr>
        <w:spacing w:after="60" w:line="276"/>
      </w:pPr>
      <w:r>
        <w:rPr>
          <w:rFonts w:ascii="Arial" w:cs="Arial" w:eastAsia="Arial" w:hAnsi="Arial"/>
          <w:b/>
          <w:bCs/>
          <w:color w:val="111114"/>
          <w:sz w:val="22"/>
          <w:szCs w:val="22"/>
        </w:rPr>
        <w:t xml:space="preserve">Dato anonimizado: </w:t>
      </w:r>
      <w:r>
        <w:rPr>
          <w:rFonts w:ascii="Arial" w:cs="Arial" w:eastAsia="Arial" w:hAnsi="Arial"/>
          <w:color w:val="111114"/>
          <w:sz w:val="22"/>
          <w:szCs w:val="22"/>
        </w:rPr>
        <w:t xml:space="preserve">resultado de un procedimiento irreversible; deja de ser dato personal y queda fuera del ámbito de la ley (Soyio, s.f.).</w:t>
      </w:r>
    </w:p>
    <w:p>
      <w:pPr>
        <w:pStyle w:val="ListParagraph"/>
        <w:numPr>
          <w:ilvl w:val="0"/>
          <w:numId w:val="2"/>
        </w:numPr>
        <w:spacing w:after="60" w:line="276"/>
      </w:pPr>
      <w:r>
        <w:rPr>
          <w:rFonts w:ascii="Arial" w:cs="Arial" w:eastAsia="Arial" w:hAnsi="Arial"/>
          <w:b/>
          <w:bCs/>
          <w:color w:val="111114"/>
          <w:sz w:val="22"/>
          <w:szCs w:val="22"/>
        </w:rPr>
        <w:t xml:space="preserve">Dato disociado / seudonimizado: </w:t>
      </w:r>
      <w:r>
        <w:rPr>
          <w:rFonts w:ascii="Arial" w:cs="Arial" w:eastAsia="Arial" w:hAnsi="Arial"/>
          <w:color w:val="111114"/>
          <w:sz w:val="22"/>
          <w:szCs w:val="22"/>
        </w:rPr>
        <w:t xml:space="preserve">puede re-atribuirse a la persona usando información adicional conservada por separado; sigue siendo dato personal y la ley le aplica (Soyio, s.f.).</w:t>
      </w:r>
    </w:p>
    <w:p>
      <w:pPr>
        <w:spacing w:after="120" w:line="276"/>
      </w:pPr>
      <w:r>
        <w:rPr>
          <w:rFonts w:ascii="Arial" w:cs="Arial" w:eastAsia="Arial" w:hAnsi="Arial"/>
          <w:color w:val="111114"/>
          <w:sz w:val="22"/>
          <w:szCs w:val="22"/>
        </w:rPr>
        <w:t xml:space="preserve">Implicancia práctica: un perfil llamado “anónimo” pero re-identificable (p. ej., por combinación de IP, dispositivo y comportamiento) no es anónimo en sentido legal, sino seudónimo, y permanece protegido. Solo la anonimización irreversible permite almacenar y usar datos libremente para el laboratorio.</w:t>
      </w:r>
    </w:p>
    <w:p>
      <w:pPr>
        <w:pStyle w:val="Heading1"/>
      </w:pPr>
      <w:r>
        <w:t xml:space="preserve">8. Bases de licitud y consentimiento</w:t>
      </w:r>
    </w:p>
    <w:p>
      <w:pPr>
        <w:spacing w:after="120" w:line="276"/>
      </w:pPr>
      <w:r>
        <w:rPr>
          <w:rFonts w:ascii="Arial" w:cs="Arial" w:eastAsia="Arial" w:hAnsi="Arial"/>
          <w:color w:val="111114"/>
          <w:sz w:val="22"/>
          <w:szCs w:val="22"/>
        </w:rPr>
        <w:t xml:space="preserve">Para la capa privada se propone como base de licitud el consentimiento, recabado de forma libre, específica, informada e inequívoca al momento del registro de la persona usuaria, con registro auditable de su otorgamiento y posibilidad de revocación. El abogado debe validar si el consentimiento es la base idónea o si procede otra (p. ej., interés legítimo) para algún tratamiento específico, y aprobar los textos.</w:t>
      </w:r>
    </w:p>
    <w:p>
      <w:pPr>
        <w:pStyle w:val="Heading1"/>
      </w:pPr>
      <w:r>
        <w:t xml:space="preserve">9. Derechos de las personas titulares</w:t>
      </w:r>
    </w:p>
    <w:p>
      <w:pPr>
        <w:spacing w:after="120" w:line="276"/>
      </w:pPr>
      <w:r>
        <w:rPr>
          <w:rFonts w:ascii="Arial" w:cs="Arial" w:eastAsia="Arial" w:hAnsi="Arial"/>
          <w:color w:val="111114"/>
          <w:sz w:val="22"/>
          <w:szCs w:val="22"/>
        </w:rPr>
        <w:t xml:space="preserve">La Ley N.º 21.719 reconoce los derechos conocidos como ARSOPB, con un plazo de respuesta de 30 días (Ley N.º 21.719, 2024; Kulvio, s.f.):</w:t>
      </w:r>
    </w:p>
    <w:p>
      <w:pPr>
        <w:pStyle w:val="ListParagraph"/>
        <w:numPr>
          <w:ilvl w:val="0"/>
          <w:numId w:val="2"/>
        </w:numPr>
        <w:spacing w:after="60" w:line="276"/>
      </w:pPr>
      <w:r>
        <w:rPr>
          <w:rFonts w:ascii="Arial" w:cs="Arial" w:eastAsia="Arial" w:hAnsi="Arial"/>
          <w:color w:val="111114"/>
          <w:sz w:val="22"/>
          <w:szCs w:val="22"/>
        </w:rPr>
        <w:t xml:space="preserve">Acceso: conocer qué datos se tratan, con qué finalidad y a quién se comunican.</w:t>
      </w:r>
    </w:p>
    <w:p>
      <w:pPr>
        <w:pStyle w:val="ListParagraph"/>
        <w:numPr>
          <w:ilvl w:val="0"/>
          <w:numId w:val="2"/>
        </w:numPr>
        <w:spacing w:after="60" w:line="276"/>
      </w:pPr>
      <w:r>
        <w:rPr>
          <w:rFonts w:ascii="Arial" w:cs="Arial" w:eastAsia="Arial" w:hAnsi="Arial"/>
          <w:color w:val="111114"/>
          <w:sz w:val="22"/>
          <w:szCs w:val="22"/>
        </w:rPr>
        <w:t xml:space="preserve">Rectificación: corregir datos inexactos o incompletos.</w:t>
      </w:r>
    </w:p>
    <w:p>
      <w:pPr>
        <w:pStyle w:val="ListParagraph"/>
        <w:numPr>
          <w:ilvl w:val="0"/>
          <w:numId w:val="2"/>
        </w:numPr>
        <w:spacing w:after="60" w:line="276"/>
      </w:pPr>
      <w:r>
        <w:rPr>
          <w:rFonts w:ascii="Arial" w:cs="Arial" w:eastAsia="Arial" w:hAnsi="Arial"/>
          <w:color w:val="111114"/>
          <w:sz w:val="22"/>
          <w:szCs w:val="22"/>
        </w:rPr>
        <w:t xml:space="preserve">Supresión: eliminar los datos cuando ya no sean necesarios.</w:t>
      </w:r>
    </w:p>
    <w:p>
      <w:pPr>
        <w:pStyle w:val="ListParagraph"/>
        <w:numPr>
          <w:ilvl w:val="0"/>
          <w:numId w:val="2"/>
        </w:numPr>
        <w:spacing w:after="60" w:line="276"/>
      </w:pPr>
      <w:r>
        <w:rPr>
          <w:rFonts w:ascii="Arial" w:cs="Arial" w:eastAsia="Arial" w:hAnsi="Arial"/>
          <w:color w:val="111114"/>
          <w:sz w:val="22"/>
          <w:szCs w:val="22"/>
        </w:rPr>
        <w:t xml:space="preserve">Oposición: oponerse al tratamiento en ciertos casos.</w:t>
      </w:r>
    </w:p>
    <w:p>
      <w:pPr>
        <w:pStyle w:val="ListParagraph"/>
        <w:numPr>
          <w:ilvl w:val="0"/>
          <w:numId w:val="2"/>
        </w:numPr>
        <w:spacing w:after="60" w:line="276"/>
      </w:pPr>
      <w:r>
        <w:rPr>
          <w:rFonts w:ascii="Arial" w:cs="Arial" w:eastAsia="Arial" w:hAnsi="Arial"/>
          <w:color w:val="111114"/>
          <w:sz w:val="22"/>
          <w:szCs w:val="22"/>
        </w:rPr>
        <w:t xml:space="preserve">Portabilidad: recibir los datos en formato estructurado y legible por máquina.</w:t>
      </w:r>
    </w:p>
    <w:p>
      <w:pPr>
        <w:pStyle w:val="ListParagraph"/>
        <w:numPr>
          <w:ilvl w:val="0"/>
          <w:numId w:val="2"/>
        </w:numPr>
        <w:spacing w:after="60" w:line="276"/>
      </w:pPr>
      <w:r>
        <w:rPr>
          <w:rFonts w:ascii="Arial" w:cs="Arial" w:eastAsia="Arial" w:hAnsi="Arial"/>
          <w:color w:val="111114"/>
          <w:sz w:val="22"/>
          <w:szCs w:val="22"/>
        </w:rPr>
        <w:t xml:space="preserve">Bloqueo temporal: suspender el tratamiento mientras se resuelve una solicitud.</w:t>
      </w:r>
    </w:p>
    <w:p>
      <w:pPr>
        <w:spacing w:after="120" w:line="276"/>
      </w:pPr>
      <w:r>
        <w:rPr>
          <w:rFonts w:ascii="Arial" w:cs="Arial" w:eastAsia="Arial" w:hAnsi="Arial"/>
          <w:color w:val="111114"/>
          <w:sz w:val="22"/>
          <w:szCs w:val="22"/>
        </w:rPr>
        <w:t xml:space="preserve">El proyecto contempla, por diseño, un panel de autogestión donde la persona podrá mantener, descargar y eliminar sus datos, materializando estos derechos.</w:t>
      </w:r>
    </w:p>
    <w:p>
      <w:pPr>
        <w:pStyle w:val="Heading1"/>
      </w:pPr>
      <w:r>
        <w:t xml:space="preserve">10. Principios y seguridad</w:t>
      </w:r>
    </w:p>
    <w:p>
      <w:pPr>
        <w:spacing w:after="120" w:line="276"/>
      </w:pPr>
      <w:r>
        <w:rPr>
          <w:rFonts w:ascii="Arial" w:cs="Arial" w:eastAsia="Arial" w:hAnsi="Arial"/>
          <w:color w:val="111114"/>
          <w:sz w:val="22"/>
          <w:szCs w:val="22"/>
        </w:rPr>
        <w:t xml:space="preserve">El diseño busca observar los principios de finalidad, minimización, proporcionalidad, calidad, transparencia, seguridad y responsabilidad. Como medidas técnicas vigentes, el sitio aplica cabeceras de seguridad (incluida una Content-Security-Policy estricta), HTTPS, y un enfoque sin rastreadores de terceros en la capa pública. Para la capa privada deberán definirse control de acceso, cifrado, registro de actividad y plazos de retención por categoría de dato.</w:t>
      </w:r>
    </w:p>
    <w:p>
      <w:pPr>
        <w:pStyle w:val="Heading1"/>
      </w:pPr>
      <w:r>
        <w:t xml:space="preserve">11. Brechas y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Punto</w:t>
            </w:r>
          </w:p>
        </w:tc>
        <w:tc>
          <w:tcPr>
            <w:tcW w:type="dxa" w:w="270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Estado</w:t>
            </w:r>
          </w:p>
        </w:tc>
        <w:tc>
          <w:tcPr>
            <w:tcW w:type="dxa" w:w="3960"/>
            <w:tcBorders>
              <w:top w:val="single" w:color="CCCCCC" w:sz="1"/>
              <w:left w:val="single" w:color="CCCCCC" w:sz="1"/>
              <w:bottom w:val="single" w:color="CCCCCC" w:sz="1"/>
              <w:right w:val="single" w:color="CCCCCC" w:sz="1"/>
            </w:tcBorders>
            <w:shd w:fill="7C3AED"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Recomendación</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Aviso de privacidad y términos</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Falta (capa privada)</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Redactar y publicar antes de capturar trazas identificadas.</w:t>
            </w:r>
          </w:p>
        </w:tc>
      </w:tr>
      <w:tr>
        <w:tc>
          <w:tcPr>
            <w:tcW w:type="dxa" w:w="27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Consentimiento al registro</w:t>
            </w:r>
          </w:p>
        </w:tc>
        <w:tc>
          <w:tcPr>
            <w:tcW w:type="dxa" w:w="27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Por implementar</w:t>
            </w:r>
          </w:p>
        </w:tc>
        <w:tc>
          <w:tcPr>
            <w:tcW w:type="dxa" w:w="39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Opt-in específico y auditable, con revocación.</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Panel de derechos ARSOPB</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Por implementar</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Acceso, descarga y eliminación en ≤30 días.</w:t>
            </w:r>
          </w:p>
        </w:tc>
      </w:tr>
      <w:tr>
        <w:tc>
          <w:tcPr>
            <w:tcW w:type="dxa" w:w="27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Retención de datos</w:t>
            </w:r>
          </w:p>
        </w:tc>
        <w:tc>
          <w:tcPr>
            <w:tcW w:type="dxa" w:w="27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Sin definir</w:t>
            </w:r>
          </w:p>
        </w:tc>
        <w:tc>
          <w:tcPr>
            <w:tcW w:type="dxa" w:w="39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Fijar plazos por categoría de dato.</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Anonimización para laboratorio</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Por definir</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Anonimizar de forma irreversible antes del análisis.</w:t>
            </w:r>
          </w:p>
        </w:tc>
      </w:tr>
      <w:tr>
        <w:tc>
          <w:tcPr>
            <w:tcW w:type="dxa" w:w="27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DPA de encargados</w:t>
            </w:r>
          </w:p>
        </w:tc>
        <w:tc>
          <w:tcPr>
            <w:tcW w:type="dxa" w:w="270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Vercel disponible; Supabase pendiente</w:t>
            </w:r>
          </w:p>
        </w:tc>
        <w:tc>
          <w:tcPr>
            <w:tcW w:type="dxa" w:w="3960"/>
            <w:tcBorders>
              <w:top w:val="single" w:color="CCCCCC" w:sz="1"/>
              <w:left w:val="single" w:color="CCCCCC" w:sz="1"/>
              <w:bottom w:val="single" w:color="CCCCCC" w:sz="1"/>
              <w:right w:val="single" w:color="CCCCCC" w:sz="1"/>
            </w:tcBorders>
            <w:shd w:fill="F4F1FB" w:val="clear"/>
            <w:tcMar>
              <w:top w:type="dxa" w:w="70"/>
              <w:left w:type="dxa" w:w="110"/>
              <w:bottom w:type="dxa" w:w="70"/>
              <w:right w:type="dxa" w:w="110"/>
            </w:tcMar>
          </w:tcPr>
          <w:p>
            <w:pPr>
              <w:spacing w:after="0"/>
            </w:pPr>
            <w:r>
              <w:rPr>
                <w:rFonts w:ascii="Arial" w:cs="Arial" w:eastAsia="Arial" w:hAnsi="Arial"/>
                <w:color w:val="111114"/>
                <w:sz w:val="18"/>
                <w:szCs w:val="18"/>
              </w:rPr>
              <w:t xml:space="preserve">Suscribir DPA y evaluar transferencia internacional.</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Registro de actividades de tratamiento</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Iniciado</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rFonts w:ascii="Arial" w:cs="Arial" w:eastAsia="Arial" w:hAnsi="Arial"/>
                <w:color w:val="111114"/>
                <w:sz w:val="18"/>
                <w:szCs w:val="18"/>
              </w:rPr>
              <w:t xml:space="preserve">Mantener el Registro de Trazabilidad actualizado.</w:t>
            </w:r>
          </w:p>
        </w:tc>
      </w:tr>
    </w:tbl>
    <w:p>
      <w:pPr>
        <w:pStyle w:val="Heading1"/>
      </w:pPr>
      <w:r>
        <w:t xml:space="preserve">12. Preguntas para el abogado revisor</w:t>
      </w:r>
    </w:p>
    <w:p>
      <w:pPr>
        <w:pStyle w:val="ListParagraph"/>
        <w:numPr>
          <w:ilvl w:val="0"/>
          <w:numId w:val="3"/>
        </w:numPr>
        <w:spacing w:after="60" w:line="276"/>
      </w:pPr>
      <w:r>
        <w:rPr>
          <w:rFonts w:ascii="Arial" w:cs="Arial" w:eastAsia="Arial" w:hAnsi="Arial"/>
          <w:color w:val="111114"/>
          <w:sz w:val="22"/>
          <w:szCs w:val="22"/>
        </w:rPr>
        <w:t xml:space="preserve">¿Es el consentimiento la base de licitud idónea para las trazas de la capa privada, o procede otra base para alguno de los tratamientos?</w:t>
      </w:r>
    </w:p>
    <w:p>
      <w:pPr>
        <w:pStyle w:val="ListParagraph"/>
        <w:numPr>
          <w:ilvl w:val="0"/>
          <w:numId w:val="3"/>
        </w:numPr>
        <w:spacing w:after="60" w:line="276"/>
      </w:pPr>
      <w:r>
        <w:rPr>
          <w:rFonts w:ascii="Arial" w:cs="Arial" w:eastAsia="Arial" w:hAnsi="Arial"/>
          <w:color w:val="111114"/>
          <w:sz w:val="22"/>
          <w:szCs w:val="22"/>
        </w:rPr>
        <w:t xml:space="preserve">¿La anonimización propuesta es suficiente para excluir los datos del laboratorio del ámbito de la ley?</w:t>
      </w:r>
    </w:p>
    <w:p>
      <w:pPr>
        <w:pStyle w:val="ListParagraph"/>
        <w:numPr>
          <w:ilvl w:val="0"/>
          <w:numId w:val="3"/>
        </w:numPr>
        <w:spacing w:after="60" w:line="276"/>
      </w:pPr>
      <w:r>
        <w:rPr>
          <w:rFonts w:ascii="Arial" w:cs="Arial" w:eastAsia="Arial" w:hAnsi="Arial"/>
          <w:color w:val="111114"/>
          <w:sz w:val="22"/>
          <w:szCs w:val="22"/>
        </w:rPr>
        <w:t xml:space="preserve">¿Qué garantías se requieren para la transferencia internacional a Vercel y Supabase (EE. UU.)?</w:t>
      </w:r>
    </w:p>
    <w:p>
      <w:pPr>
        <w:pStyle w:val="ListParagraph"/>
        <w:numPr>
          <w:ilvl w:val="0"/>
          <w:numId w:val="3"/>
        </w:numPr>
        <w:spacing w:after="60" w:line="276"/>
      </w:pPr>
      <w:r>
        <w:rPr>
          <w:rFonts w:ascii="Arial" w:cs="Arial" w:eastAsia="Arial" w:hAnsi="Arial"/>
          <w:color w:val="111114"/>
          <w:sz w:val="22"/>
          <w:szCs w:val="22"/>
        </w:rPr>
        <w:t xml:space="preserve">¿Procede una evaluación de impacto en protección de datos (EIPD) por el perfilamiento/modelado?</w:t>
      </w:r>
    </w:p>
    <w:p>
      <w:pPr>
        <w:pStyle w:val="ListParagraph"/>
        <w:numPr>
          <w:ilvl w:val="0"/>
          <w:numId w:val="3"/>
        </w:numPr>
        <w:spacing w:after="60" w:line="276"/>
      </w:pPr>
      <w:r>
        <w:rPr>
          <w:rFonts w:ascii="Arial" w:cs="Arial" w:eastAsia="Arial" w:hAnsi="Arial"/>
          <w:color w:val="111114"/>
          <w:sz w:val="22"/>
          <w:szCs w:val="22"/>
        </w:rPr>
        <w:t xml:space="preserve">¿Son conformes los textos de aviso de privacidad y de consentimiento (a redactar)?</w:t>
      </w:r>
    </w:p>
    <w:p>
      <w:pPr>
        <w:pStyle w:val="ListParagraph"/>
        <w:numPr>
          <w:ilvl w:val="0"/>
          <w:numId w:val="3"/>
        </w:numPr>
        <w:spacing w:after="60" w:line="276"/>
      </w:pPr>
      <w:r>
        <w:rPr>
          <w:rFonts w:ascii="Arial" w:cs="Arial" w:eastAsia="Arial" w:hAnsi="Arial"/>
          <w:color w:val="111114"/>
          <w:sz w:val="22"/>
          <w:szCs w:val="22"/>
        </w:rPr>
        <w:t xml:space="preserve">¿Existen obligaciones específicas por la condición de asociación gremial y por tratarse de datos de personas asociadas?</w:t>
      </w:r>
    </w:p>
    <w:p>
      <w:pPr>
        <w:pStyle w:val="ListParagraph"/>
        <w:numPr>
          <w:ilvl w:val="0"/>
          <w:numId w:val="3"/>
        </w:numPr>
        <w:spacing w:after="60" w:line="276"/>
      </w:pPr>
      <w:r>
        <w:rPr>
          <w:rFonts w:ascii="Arial" w:cs="Arial" w:eastAsia="Arial" w:hAnsi="Arial"/>
          <w:color w:val="111114"/>
          <w:sz w:val="22"/>
          <w:szCs w:val="22"/>
        </w:rPr>
        <w:t xml:space="preserve">¿Cómo deben documentarse el registro de actividades de tratamiento y las medidas de seguridad para acreditar cumplimiento ante la APDP?</w:t>
      </w:r>
    </w:p>
    <w:p>
      <w:pPr>
        <w:pStyle w:val="Heading1"/>
      </w:pPr>
      <w:r>
        <w:t xml:space="preserve">13. Limitaciones</w:t>
      </w:r>
    </w:p>
    <w:p>
      <w:pPr>
        <w:spacing w:after="120" w:line="276"/>
      </w:pPr>
      <w:r>
        <w:rPr>
          <w:rFonts w:ascii="Arial" w:cs="Arial" w:eastAsia="Arial" w:hAnsi="Arial"/>
          <w:color w:val="111114"/>
          <w:sz w:val="22"/>
          <w:szCs w:val="22"/>
        </w:rPr>
        <w:t xml:space="preserve">Este documento resume el estado técnico-operativo y referencias normativas de contexto a la fecha indicada. No constituye asesoría jurídica. La interpretación y aplicación de la Ley N.º 19.628 y de la Ley N.º 21.719, así como la validación de bases de licitud, textos y garantías, corresponden al abogado revisor.</w:t>
      </w:r>
    </w:p>
    <w:p>
      <w:pPr>
        <w:pStyle w:val="Heading1"/>
      </w:pPr>
      <w:r>
        <w:t xml:space="preserve">14. Referencias (APA 7.ª edición)</w:t>
      </w:r>
    </w:p>
    <w:p>
      <w:pPr>
        <w:spacing w:after="120" w:line="276"/>
        <w:ind w:left="720" w:hanging="720"/>
      </w:pPr>
      <w:r>
        <w:rPr>
          <w:rFonts w:ascii="Arial" w:cs="Arial" w:eastAsia="Arial" w:hAnsi="Arial"/>
          <w:color w:val="111114"/>
          <w:sz w:val="22"/>
          <w:szCs w:val="22"/>
        </w:rPr>
        <w:t xml:space="preserve">Kulvio. (s.f.). </w:t>
      </w:r>
      <w:r>
        <w:rPr>
          <w:rFonts w:ascii="Arial" w:cs="Arial" w:eastAsia="Arial" w:hAnsi="Arial"/>
          <w:i/>
          <w:iCs/>
          <w:color w:val="111114"/>
          <w:sz w:val="22"/>
          <w:szCs w:val="22"/>
        </w:rPr>
        <w:t xml:space="preserve">Ley 21.719 — Resumen Ley de Protección de Datos Personales Chile.</w:t>
      </w:r>
      <w:r>
        <w:rPr>
          <w:rFonts w:ascii="Arial" w:cs="Arial" w:eastAsia="Arial" w:hAnsi="Arial"/>
          <w:color w:val="111114"/>
          <w:sz w:val="22"/>
          <w:szCs w:val="22"/>
        </w:rPr>
        <w:t xml:space="preserve"> Recuperado el 21 de junio de 2026, de </w:t>
      </w:r>
      <w:hyperlink w:history="1" r:id="rIdmdy3lhhb9ndfm59i5wgaa">
        <w:r>
          <w:rPr>
            <w:rStyle w:val="Hyperlink"/>
            <w:rFonts w:ascii="Arial" w:cs="Arial" w:eastAsia="Arial" w:hAnsi="Arial"/>
            <w:sz w:val="22"/>
            <w:szCs w:val="22"/>
          </w:rPr>
          <w:t xml:space="preserve">https://kulvio.cl/legal/ley-21719</w:t>
        </w:r>
      </w:hyperlink>
    </w:p>
    <w:p>
      <w:pPr>
        <w:spacing w:after="120" w:line="276"/>
        <w:ind w:left="720" w:hanging="720"/>
      </w:pPr>
      <w:r>
        <w:rPr>
          <w:rFonts w:ascii="Arial" w:cs="Arial" w:eastAsia="Arial" w:hAnsi="Arial"/>
          <w:color w:val="111114"/>
          <w:sz w:val="22"/>
          <w:szCs w:val="22"/>
        </w:rPr>
        <w:t xml:space="preserve">Ley N.º 19.628. (1999, 28 de agosto). </w:t>
      </w:r>
      <w:r>
        <w:rPr>
          <w:rFonts w:ascii="Arial" w:cs="Arial" w:eastAsia="Arial" w:hAnsi="Arial"/>
          <w:i/>
          <w:iCs/>
          <w:color w:val="111114"/>
          <w:sz w:val="22"/>
          <w:szCs w:val="22"/>
        </w:rPr>
        <w:t xml:space="preserve">Sobre protección de la vida privada.</w:t>
      </w:r>
      <w:r>
        <w:rPr>
          <w:rFonts w:ascii="Arial" w:cs="Arial" w:eastAsia="Arial" w:hAnsi="Arial"/>
          <w:color w:val="111114"/>
          <w:sz w:val="22"/>
          <w:szCs w:val="22"/>
        </w:rPr>
        <w:t xml:space="preserve"> Diario Oficial de la República de Chile. </w:t>
      </w:r>
      <w:hyperlink w:history="1" r:id="rIdfj9lkj3rbsfy6v_6nss3b">
        <w:r>
          <w:rPr>
            <w:rStyle w:val="Hyperlink"/>
            <w:rFonts w:ascii="Arial" w:cs="Arial" w:eastAsia="Arial" w:hAnsi="Arial"/>
            <w:sz w:val="22"/>
            <w:szCs w:val="22"/>
          </w:rPr>
          <w:t xml:space="preserve">https://www.bcn.cl/leychile/navegar?idNorma=141599</w:t>
        </w:r>
      </w:hyperlink>
    </w:p>
    <w:p>
      <w:pPr>
        <w:spacing w:after="120" w:line="276"/>
        <w:ind w:left="720" w:hanging="720"/>
      </w:pPr>
      <w:r>
        <w:rPr>
          <w:rFonts w:ascii="Arial" w:cs="Arial" w:eastAsia="Arial" w:hAnsi="Arial"/>
          <w:color w:val="111114"/>
          <w:sz w:val="22"/>
          <w:szCs w:val="22"/>
        </w:rPr>
        <w:t xml:space="preserve">Ley N.º 21.719. (2024, 13 de diciembre). </w:t>
      </w:r>
      <w:r>
        <w:rPr>
          <w:rFonts w:ascii="Arial" w:cs="Arial" w:eastAsia="Arial" w:hAnsi="Arial"/>
          <w:i/>
          <w:iCs/>
          <w:color w:val="111114"/>
          <w:sz w:val="22"/>
          <w:szCs w:val="22"/>
        </w:rPr>
        <w:t xml:space="preserve">Regula la protección y el tratamiento de los datos personales y crea la Agencia de Protección de Datos Personales.</w:t>
      </w:r>
      <w:r>
        <w:rPr>
          <w:rFonts w:ascii="Arial" w:cs="Arial" w:eastAsia="Arial" w:hAnsi="Arial"/>
          <w:color w:val="111114"/>
          <w:sz w:val="22"/>
          <w:szCs w:val="22"/>
        </w:rPr>
        <w:t xml:space="preserve"> Diario Oficial de la República de Chile. </w:t>
      </w:r>
      <w:hyperlink w:history="1" r:id="rId3lyo97m5ycuqw2fgb-ako">
        <w:r>
          <w:rPr>
            <w:rStyle w:val="Hyperlink"/>
            <w:rFonts w:ascii="Arial" w:cs="Arial" w:eastAsia="Arial" w:hAnsi="Arial"/>
            <w:sz w:val="22"/>
            <w:szCs w:val="22"/>
          </w:rPr>
          <w:t xml:space="preserve">https://www.bcn.cl/leychile/navegar?idNorma=1209272</w:t>
        </w:r>
      </w:hyperlink>
    </w:p>
    <w:p>
      <w:pPr>
        <w:spacing w:after="120" w:line="276"/>
        <w:ind w:left="720" w:hanging="720"/>
      </w:pPr>
      <w:r>
        <w:rPr>
          <w:rFonts w:ascii="Arial" w:cs="Arial" w:eastAsia="Arial" w:hAnsi="Arial"/>
          <w:color w:val="111114"/>
          <w:sz w:val="22"/>
          <w:szCs w:val="22"/>
        </w:rPr>
        <w:t xml:space="preserve">Soyio. (s.f.). </w:t>
      </w:r>
      <w:r>
        <w:rPr>
          <w:rFonts w:ascii="Arial" w:cs="Arial" w:eastAsia="Arial" w:hAnsi="Arial"/>
          <w:i/>
          <w:iCs/>
          <w:color w:val="111114"/>
          <w:sz w:val="22"/>
          <w:szCs w:val="22"/>
        </w:rPr>
        <w:t xml:space="preserve">Conceptos esenciales para comprender la Ley 21.719 de protección de datos personales.</w:t>
      </w:r>
      <w:r>
        <w:rPr>
          <w:rFonts w:ascii="Arial" w:cs="Arial" w:eastAsia="Arial" w:hAnsi="Arial"/>
          <w:color w:val="111114"/>
          <w:sz w:val="22"/>
          <w:szCs w:val="22"/>
        </w:rPr>
        <w:t xml:space="preserve"> Recuperado el 21 de junio de 2026, de </w:t>
      </w:r>
      <w:hyperlink w:history="1" r:id="rIdtexrnrr7h6ztysqzg6euk">
        <w:r>
          <w:rPr>
            <w:rStyle w:val="Hyperlink"/>
            <w:rFonts w:ascii="Arial" w:cs="Arial" w:eastAsia="Arial" w:hAnsi="Arial"/>
            <w:sz w:val="22"/>
            <w:szCs w:val="22"/>
          </w:rPr>
          <w:t xml:space="preserve">https://soyio.id/blog/conceptos-esenciales-para-comprender-la-ley-21-719-de-proteccion-de-datos-personales</w:t>
        </w:r>
      </w:hyperlink>
    </w:p>
    <w:p>
      <w:pPr>
        <w:spacing w:after="120" w:line="276"/>
        <w:ind w:left="720" w:hanging="720"/>
      </w:pPr>
      <w:r>
        <w:rPr>
          <w:rFonts w:ascii="Arial" w:cs="Arial" w:eastAsia="Arial" w:hAnsi="Arial"/>
          <w:color w:val="111114"/>
          <w:sz w:val="22"/>
          <w:szCs w:val="22"/>
        </w:rPr>
        <w:t xml:space="preserve">Vercel. (s.f.-a). </w:t>
      </w:r>
      <w:r>
        <w:rPr>
          <w:rFonts w:ascii="Arial" w:cs="Arial" w:eastAsia="Arial" w:hAnsi="Arial"/>
          <w:i/>
          <w:iCs/>
          <w:color w:val="111114"/>
          <w:sz w:val="22"/>
          <w:szCs w:val="22"/>
        </w:rPr>
        <w:t xml:space="preserve">Privacy and compliance — Web Analytics.</w:t>
      </w:r>
      <w:r>
        <w:rPr>
          <w:rFonts w:ascii="Arial" w:cs="Arial" w:eastAsia="Arial" w:hAnsi="Arial"/>
          <w:color w:val="111114"/>
          <w:sz w:val="22"/>
          <w:szCs w:val="22"/>
        </w:rPr>
        <w:t xml:space="preserve"> Recuperado el 21 de junio de 2026, de </w:t>
      </w:r>
      <w:hyperlink w:history="1" r:id="rIdq_-lwkcmztvbvankpizki">
        <w:r>
          <w:rPr>
            <w:rStyle w:val="Hyperlink"/>
            <w:rFonts w:ascii="Arial" w:cs="Arial" w:eastAsia="Arial" w:hAnsi="Arial"/>
            <w:sz w:val="22"/>
            <w:szCs w:val="22"/>
          </w:rPr>
          <w:t xml:space="preserve">https://vercel.com/docs/analytics/privacy-policy</w:t>
        </w:r>
      </w:hyperlink>
    </w:p>
    <w:p>
      <w:pPr>
        <w:spacing w:after="120" w:line="276"/>
        <w:ind w:left="720" w:hanging="720"/>
      </w:pPr>
      <w:r>
        <w:rPr>
          <w:rFonts w:ascii="Arial" w:cs="Arial" w:eastAsia="Arial" w:hAnsi="Arial"/>
          <w:color w:val="111114"/>
          <w:sz w:val="22"/>
          <w:szCs w:val="22"/>
        </w:rPr>
        <w:t xml:space="preserve">Vercel. (s.f.-b). </w:t>
      </w:r>
      <w:r>
        <w:rPr>
          <w:rFonts w:ascii="Arial" w:cs="Arial" w:eastAsia="Arial" w:hAnsi="Arial"/>
          <w:i/>
          <w:iCs/>
          <w:color w:val="111114"/>
          <w:sz w:val="22"/>
          <w:szCs w:val="22"/>
        </w:rPr>
        <w:t xml:space="preserve">Logs.</w:t>
      </w:r>
      <w:r>
        <w:rPr>
          <w:rFonts w:ascii="Arial" w:cs="Arial" w:eastAsia="Arial" w:hAnsi="Arial"/>
          <w:color w:val="111114"/>
          <w:sz w:val="22"/>
          <w:szCs w:val="22"/>
        </w:rPr>
        <w:t xml:space="preserve"> Recuperado el 21 de junio de 2026, de </w:t>
      </w:r>
      <w:hyperlink w:history="1" r:id="rIdinuudtbcxvuf802iqx9t_">
        <w:r>
          <w:rPr>
            <w:rStyle w:val="Hyperlink"/>
            <w:rFonts w:ascii="Arial" w:cs="Arial" w:eastAsia="Arial" w:hAnsi="Arial"/>
            <w:sz w:val="22"/>
            <w:szCs w:val="22"/>
          </w:rPr>
          <w:t xml:space="preserve">https://vercel.com/docs/logs</w:t>
        </w:r>
      </w:hyperlink>
    </w:p>
    <w:p>
      <w:pPr>
        <w:spacing w:after="120" w:line="276"/>
        <w:ind w:left="720" w:hanging="720"/>
      </w:pPr>
      <w:r>
        <w:rPr>
          <w:rFonts w:ascii="Arial" w:cs="Arial" w:eastAsia="Arial" w:hAnsi="Arial"/>
          <w:color w:val="111114"/>
          <w:sz w:val="22"/>
          <w:szCs w:val="22"/>
        </w:rPr>
        <w:t xml:space="preserve">Vercel. (s.f.-c). </w:t>
      </w:r>
      <w:r>
        <w:rPr>
          <w:rFonts w:ascii="Arial" w:cs="Arial" w:eastAsia="Arial" w:hAnsi="Arial"/>
          <w:i/>
          <w:iCs/>
          <w:color w:val="111114"/>
          <w:sz w:val="22"/>
          <w:szCs w:val="22"/>
        </w:rPr>
        <w:t xml:space="preserve">Privacy policy.</w:t>
      </w:r>
      <w:r>
        <w:rPr>
          <w:rFonts w:ascii="Arial" w:cs="Arial" w:eastAsia="Arial" w:hAnsi="Arial"/>
          <w:color w:val="111114"/>
          <w:sz w:val="22"/>
          <w:szCs w:val="22"/>
        </w:rPr>
        <w:t xml:space="preserve"> Recuperado el 21 de junio de 2026, de </w:t>
      </w:r>
      <w:hyperlink w:history="1" r:id="rIdmongy8yiwkuy9ynbglihd">
        <w:r>
          <w:rPr>
            <w:rStyle w:val="Hyperlink"/>
            <w:rFonts w:ascii="Arial" w:cs="Arial" w:eastAsia="Arial" w:hAnsi="Arial"/>
            <w:sz w:val="22"/>
            <w:szCs w:val="22"/>
          </w:rPr>
          <w:t xml:space="preserve">https://vercel.com/legal/privacy-policy</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60"/>
        <w:sz w:val="16"/>
        <w:szCs w:val="16"/>
      </w:rPr>
      <w:t xml:space="preserve">IME Conecta — Informe operativo-legal · documento para revisión legal · </w:t>
    </w:r>
    <w:r>
      <w:rPr>
        <w:rFonts w:ascii="Arial" w:cs="Arial" w:eastAsia="Arial" w:hAnsi="Arial"/>
        <w:color w:val="555560"/>
        <w:sz w:val="16"/>
        <w:szCs w:val="16"/>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6" w:space="4"/>
      </w:pBdr>
      <w:spacing w:after="140" w:before="300"/>
      <w:outlineLvl w:val="0"/>
    </w:pPr>
    <w:rPr>
      <w:rFonts w:ascii="Arial" w:cs="Arial" w:eastAsia="Arial" w:hAnsi="Arial"/>
      <w:b/>
      <w:bCs/>
      <w:color w:val="11111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fmv9o__9vvaxb0bd_xzd" Type="http://schemas.openxmlformats.org/officeDocument/2006/relationships/hyperlink" Target="https://ime-conecta.vercel.app" TargetMode="External"/><Relationship Id="rIdmdy3lhhb9ndfm59i5wgaa" Type="http://schemas.openxmlformats.org/officeDocument/2006/relationships/hyperlink" Target="https://kulvio.cl/legal/ley-21719" TargetMode="External"/><Relationship Id="rIdfj9lkj3rbsfy6v_6nss3b" Type="http://schemas.openxmlformats.org/officeDocument/2006/relationships/hyperlink" Target="https://www.bcn.cl/leychile/navegar?idNorma=141599" TargetMode="External"/><Relationship Id="rId3lyo97m5ycuqw2fgb-ako" Type="http://schemas.openxmlformats.org/officeDocument/2006/relationships/hyperlink" Target="https://www.bcn.cl/leychile/navegar?idNorma=1209272" TargetMode="External"/><Relationship Id="rIdtexrnrr7h6ztysqzg6euk" Type="http://schemas.openxmlformats.org/officeDocument/2006/relationships/hyperlink" Target="https://soyio.id/blog/conceptos-esenciales-para-comprender-la-ley-21-719-de-proteccion-de-datos-personales" TargetMode="External"/><Relationship Id="rIdq_-lwkcmztvbvankpizki" Type="http://schemas.openxmlformats.org/officeDocument/2006/relationships/hyperlink" Target="https://vercel.com/docs/analytics/privacy-policy" TargetMode="External"/><Relationship Id="rIdinuudtbcxvuf802iqx9t_" Type="http://schemas.openxmlformats.org/officeDocument/2006/relationships/hyperlink" Target="https://vercel.com/docs/logs" TargetMode="External"/><Relationship Id="rIdmongy8yiwkuy9ynbglihd" Type="http://schemas.openxmlformats.org/officeDocument/2006/relationships/hyperlink" Target="https://vercel.com/legal/privacy-policy" TargetMode="External"/><Relationship Id="rId8" Type="http://schemas.openxmlformats.org/officeDocument/2006/relationships/image" Target="media/74d7f62a06cf45d24a994c356285ce2b94d4449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2026-06-26T17:42:29.817Z</dcterms:created>
  <dcterms:modified xsi:type="dcterms:W3CDTF">2026-06-26T17:42:29.820Z</dcterms:modified>
</cp:coreProperties>
</file>

<file path=docProps/custom.xml><?xml version="1.0" encoding="utf-8"?>
<Properties xmlns="http://schemas.openxmlformats.org/officeDocument/2006/custom-properties" xmlns:vt="http://schemas.openxmlformats.org/officeDocument/2006/docPropsVTypes"/>
</file>