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jc w:val="center"/>
      </w:pPr>
      <w:r>
        <w:rPr>
          <w:rFonts w:ascii="Arial" w:cs="Arial" w:eastAsia="Arial" w:hAnsi="Arial"/>
          <w:b/>
          <w:bCs/>
          <w:sz w:val="36"/>
          <w:szCs w:val="36"/>
        </w:rPr>
        <w:t xml:space="preserve">RLAF Revisited: From Scalar Agency to the Autonomy Tensor</w:t>
      </w:r>
    </w:p>
    <w:p>
      <w:pPr>
        <w:spacing w:after="120"/>
        <w:jc w:val="center"/>
      </w:pPr>
      <w:r>
        <w:rPr>
          <w:rFonts w:ascii="Arial" w:cs="Arial" w:eastAsia="Arial" w:hAnsi="Arial"/>
          <w:sz w:val="26"/>
          <w:szCs w:val="26"/>
        </w:rPr>
        <w:t xml:space="preserve">田中佑樹（Yuki Tanaka）</w:t>
      </w:r>
    </w:p>
    <w:p>
      <w:pPr>
        <w:spacing w:after="120"/>
        <w:jc w:val="center"/>
      </w:pPr>
      <w:r>
        <w:rPr>
          <w:rFonts w:ascii="Times New Roman" w:cs="Times New Roman" w:eastAsia="Times New Roman" w:hAnsi="Times New Roman"/>
          <w:i/>
          <w:iCs/>
          <w:sz w:val="22"/>
          <w:szCs w:val="22"/>
        </w:rPr>
        <w:t xml:space="preserve">独立研究者、瀬戸内海（日本）</w:t>
      </w:r>
    </w:p>
    <w:p>
      <w:pPr>
        <w:spacing w:after="360"/>
        <w:jc w:val="center"/>
      </w:pPr>
      <w:r>
        <w:rPr>
          <w:rFonts w:ascii="Times New Roman" w:cs="Times New Roman" w:eastAsia="Times New Roman" w:hAnsi="Times New Roman"/>
          <w:sz w:val="22"/>
          <w:szCs w:val="22"/>
        </w:rPr>
        <w:t xml:space="preserve">Version 0.1 draft　2026-03</w:t>
      </w:r>
    </w:p>
    <w:p>
      <w:pPr>
        <w:pStyle w:val="Heading1"/>
        <w:spacing w:before="320" w:after="160"/>
      </w:pPr>
      <w:r>
        <w:rPr>
          <w:rFonts w:ascii="Arial" w:cs="Arial" w:eastAsia="Arial" w:hAnsi="Arial"/>
          <w:b/>
          <w:bCs/>
          <w:sz w:val="32"/>
          <w:szCs w:val="32"/>
        </w:rPr>
        <w:t xml:space="preserve">Abstract</w:t>
      </w:r>
    </w:p>
    <w:p>
      <w:pPr>
        <w:spacing w:after="160"/>
      </w:pPr>
      <w:r>
        <w:rPr>
          <w:rFonts w:ascii="Times New Roman" w:cs="Times New Roman" w:eastAsia="Times New Roman" w:hAnsi="Times New Roman"/>
          <w:sz w:val="24"/>
          <w:szCs w:val="24"/>
        </w:rPr>
        <w:t xml:space="preserve">This paper revisits RLAF (Reinforcement Learning from AI Feedback) from the perspective of human cognitive dynamics. In this paper, RLAF denotes Reinforcement Learning from AI Feedback as a human cognitive process, rather than the algorithmic training paradigm used in machine learning. The widespread adoption of large language models raises a central question: does AI extend human cognition or gradually replace it? We show that both outcomes emerge from the same system.</w:t>
      </w:r>
    </w:p>
    <w:p>
      <w:pPr>
        <w:spacing w:after="80"/>
      </w:pPr>
      <w:r>
        <w:t xml:space="preserve"/>
      </w:r>
    </w:p>
    <w:p>
      <w:pPr>
        <w:spacing w:after="160"/>
      </w:pPr>
      <w:r>
        <w:rPr>
          <w:rFonts w:ascii="Times New Roman" w:cs="Times New Roman" w:eastAsia="Times New Roman" w:hAnsi="Times New Roman"/>
          <w:sz w:val="24"/>
          <w:szCs w:val="24"/>
        </w:rPr>
        <w:t xml:space="preserve">Part I introduces a compressed model in which human agency is represented by a scalar parameter α (agency retention rate) within the Recomputation Dynamics (RD) framework. This model yields a two-threshold structure describing three trajectories under LLM intervention—substitution, preservation, and amplification—and identifies a personal-scale analogue of Region B where exploration expands while recomputation silently decays.</w:t>
      </w:r>
    </w:p>
    <w:p>
      <w:pPr>
        <w:spacing w:after="80"/>
      </w:pPr>
      <w:r>
        <w:t xml:space="preserve"/>
      </w:r>
    </w:p>
    <w:p>
      <w:pPr>
        <w:spacing w:after="160"/>
      </w:pPr>
      <w:r>
        <w:rPr>
          <w:rFonts w:ascii="Times New Roman" w:cs="Times New Roman" w:eastAsia="Times New Roman" w:hAnsi="Times New Roman"/>
          <w:sz w:val="24"/>
          <w:szCs w:val="24"/>
        </w:rPr>
        <w:t xml:space="preserve">Part II demonstrates that this scalar model is a projection of a higher-dimensional structure. Human agency is represented as an autonomy tensor T whose components capture cognitive, affective, evaluative, motivational, and value-level autonomy. The scalar parameter used in Part I is therefore a projection:</w:t>
      </w:r>
    </w:p>
    <w:p>
      <w:pPr>
        <w:spacing w:before="120" w:after="120"/>
        <w:jc w:val="center"/>
      </w:pPr>
      <w:r>
        <w:rPr>
          <w:rFonts w:ascii="Courier New" w:cs="Courier New" w:eastAsia="Courier New" w:hAnsi="Courier New"/>
          <w:b/>
          <w:bCs/>
          <w:sz w:val="22"/>
          <w:szCs w:val="22"/>
        </w:rPr>
        <w:t xml:space="preserve">α = P(T)</w:t>
      </w:r>
    </w:p>
    <w:p>
      <w:pPr>
        <w:spacing w:after="160"/>
      </w:pPr>
      <w:r>
        <w:rPr>
          <w:rFonts w:ascii="Times New Roman" w:cs="Times New Roman" w:eastAsia="Times New Roman" w:hAnsi="Times New Roman"/>
          <w:sz w:val="24"/>
          <w:szCs w:val="24"/>
        </w:rPr>
        <w:t xml:space="preserve">Because different tensor configurations can yield identical scalar values, individuals with the same α may diverge under AI feedback. In particular, the erosion of evaluative and value autonomy remains invisible in scalar diagnostics while cognitive performance appears stable.</w:t>
      </w:r>
    </w:p>
    <w:p>
      <w:pPr>
        <w:spacing w:after="80"/>
      </w:pPr>
      <w:r>
        <w:t xml:space="preserve"/>
      </w:r>
    </w:p>
    <w:p>
      <w:pPr>
        <w:spacing w:after="160"/>
      </w:pPr>
      <w:r>
        <w:rPr>
          <w:rFonts w:ascii="Times New Roman" w:cs="Times New Roman" w:eastAsia="Times New Roman" w:hAnsi="Times New Roman"/>
          <w:sz w:val="24"/>
          <w:szCs w:val="24"/>
        </w:rPr>
        <w:t xml:space="preserve">The structure of the paper mirrors its claim: the compressed model of Part I is not incorrect but incomplete, and the transition to the tensor model reveals what projection hides.</w:t>
      </w:r>
    </w:p>
    <w:p>
      <w:pPr>
        <w:spacing w:after="80"/>
      </w:pPr>
      <w:r>
        <w:t xml:space="preserve"/>
      </w:r>
    </w:p>
    <w:p>
      <w:pPr>
        <w:spacing w:before="400" w:after="200"/>
      </w:pPr>
      <w:r>
        <w:rPr>
          <w:rFonts w:ascii="Arial" w:cs="Arial" w:eastAsia="Arial" w:hAnsi="Arial"/>
          <w:b/>
          <w:bCs/>
          <w:sz w:val="32"/>
          <w:szCs w:val="32"/>
        </w:rPr>
        <w:t xml:space="preserve">Part I　圧縮モデル：主体とAIの分岐構造</w:t>
      </w:r>
    </w:p>
    <w:p>
      <w:pPr>
        <w:pStyle w:val="Heading2"/>
        <w:spacing w:before="240" w:after="120"/>
      </w:pPr>
      <w:r>
        <w:rPr>
          <w:rFonts w:ascii="Arial" w:cs="Arial" w:eastAsia="Arial" w:hAnsi="Arial"/>
          <w:b/>
          <w:bCs/>
          <w:sz w:val="28"/>
          <w:szCs w:val="28"/>
        </w:rPr>
        <w:t xml:space="preserve">1. 問い</w:t>
      </w:r>
    </w:p>
    <w:p>
      <w:pPr>
        <w:spacing w:after="160"/>
      </w:pPr>
      <w:r>
        <w:rPr>
          <w:rFonts w:ascii="Times New Roman" w:cs="Times New Roman" w:eastAsia="Times New Roman" w:hAnsi="Times New Roman"/>
          <w:sz w:val="24"/>
          <w:szCs w:val="24"/>
        </w:rPr>
        <w:t xml:space="preserve">大規模言語モデル（LLM）の普及は、人間の認知能力を拡張するか、それとも代替するか。</w:t>
      </w:r>
    </w:p>
    <w:p>
      <w:pPr>
        <w:spacing w:after="160"/>
      </w:pPr>
      <w:r>
        <w:rPr>
          <w:rFonts w:ascii="Times New Roman" w:cs="Times New Roman" w:eastAsia="Times New Roman" w:hAnsi="Times New Roman"/>
          <w:sz w:val="24"/>
          <w:szCs w:val="24"/>
        </w:rPr>
        <w:t xml:space="preserve">この問いに対する既存の議論は二つの極に分かれる。「AIは人間を拡張する」という楽観論と、「AIは人間を無能化する」という悲観論だ。本稿はこの対立を解消する。両方が同時に正しく、かつ矛盾しない。分岐を決めるのはAIの性質ではなく、使用開始時点のユーザーの主体構造だ。</w:t>
      </w:r>
    </w:p>
    <w:p>
      <w:pPr>
        <w:pStyle w:val="Heading2"/>
        <w:spacing w:before="240" w:after="120"/>
      </w:pPr>
      <w:r>
        <w:rPr>
          <w:rFonts w:ascii="Arial" w:cs="Arial" w:eastAsia="Arial" w:hAnsi="Arial"/>
          <w:b/>
          <w:bCs/>
          <w:sz w:val="28"/>
          <w:szCs w:val="28"/>
        </w:rPr>
        <w:t xml:space="preserve">2. 再計算能力と主体</w:t>
      </w:r>
    </w:p>
    <w:p>
      <w:pPr>
        <w:spacing w:after="160"/>
      </w:pPr>
      <w:r>
        <w:rPr>
          <w:rFonts w:ascii="Times New Roman" w:cs="Times New Roman" w:eastAsia="Times New Roman" w:hAnsi="Times New Roman"/>
          <w:sz w:val="24"/>
          <w:szCs w:val="24"/>
        </w:rPr>
        <w:t xml:space="preserve">Recomputation Dynamics（RD; Tanaka 2026b）の枠組みに従い、個人の適応能力を以下で記述する：</w:t>
      </w:r>
    </w:p>
    <w:p>
      <w:pPr>
        <w:spacing w:before="120" w:after="120"/>
        <w:jc w:val="center"/>
      </w:pPr>
      <w:r>
        <w:rPr>
          <w:rFonts w:ascii="Courier New" w:cs="Courier New" w:eastAsia="Courier New" w:hAnsi="Courier New"/>
          <w:b/>
          <w:bCs/>
          <w:sz w:val="22"/>
          <w:szCs w:val="22"/>
        </w:rPr>
        <w:t xml:space="preserve">A(e, u) = f(e) × g(u)</w:t>
      </w:r>
    </w:p>
    <w:p>
      <w:pPr>
        <w:spacing w:after="160"/>
      </w:pPr>
      <w:r>
        <w:rPr>
          <w:rFonts w:ascii="Times New Roman" w:cs="Times New Roman" w:eastAsia="Times New Roman" w:hAnsi="Times New Roman"/>
          <w:sz w:val="24"/>
          <w:szCs w:val="24"/>
        </w:rPr>
        <w:t xml:space="preserve">e は探索次元、u は更新能力、f と g はともに狭義凹関数だ。</w:t>
      </w:r>
    </w:p>
    <w:p>
      <w:pPr>
        <w:spacing w:after="160"/>
      </w:pPr>
      <w:r>
        <w:rPr>
          <w:rFonts w:ascii="Times New Roman" w:cs="Times New Roman" w:eastAsia="Times New Roman" w:hAnsi="Times New Roman"/>
          <w:sz w:val="24"/>
          <w:szCs w:val="24"/>
        </w:rPr>
        <w:t xml:space="preserve">LLMの介入はこの A(e, u) に作用する。ここで重要なのは作用の方向だ。同じLLMが、あるユーザーに対しては e と u を最適帯域に近づけ、別のユーザーに対しては u を萎縮させる。</w:t>
      </w:r>
    </w:p>
    <w:p>
      <w:pPr>
        <w:spacing w:after="160"/>
      </w:pPr>
      <w:r>
        <w:rPr>
          <w:rFonts w:ascii="Times New Roman" w:cs="Times New Roman" w:eastAsia="Times New Roman" w:hAnsi="Times New Roman"/>
          <w:sz w:val="24"/>
          <w:szCs w:val="24"/>
        </w:rPr>
        <w:t xml:space="preserve">この非対称性を記述するパラメータを α（主体保持率、agency retention rate）と定義する：</w:t>
      </w:r>
    </w:p>
    <w:p>
      <w:pPr>
        <w:spacing w:before="120" w:after="120"/>
        <w:jc w:val="center"/>
      </w:pPr>
      <w:r>
        <w:rPr>
          <w:rFonts w:ascii="Courier New" w:cs="Courier New" w:eastAsia="Courier New" w:hAnsi="Courier New"/>
          <w:b/>
          <w:bCs/>
          <w:sz w:val="22"/>
          <w:szCs w:val="22"/>
        </w:rPr>
        <w:t xml:space="preserve">α = M_h / M_composite</w:t>
      </w:r>
    </w:p>
    <w:p>
      <w:pPr>
        <w:spacing w:after="160"/>
      </w:pPr>
      <w:r>
        <w:rPr>
          <w:rFonts w:ascii="Times New Roman" w:cs="Times New Roman" w:eastAsia="Times New Roman" w:hAnsi="Times New Roman"/>
          <w:sz w:val="24"/>
          <w:szCs w:val="24"/>
        </w:rPr>
        <w:t xml:space="preserve">M_h は人間自身の再計算能力、M_composite は人間とAIの合成再計算能力だ。</w:t>
      </w:r>
    </w:p>
    <w:p>
      <w:pPr>
        <w:pStyle w:val="Heading2"/>
        <w:spacing w:before="240" w:after="120"/>
      </w:pPr>
      <w:r>
        <w:rPr>
          <w:rFonts w:ascii="Arial" w:cs="Arial" w:eastAsia="Arial" w:hAnsi="Arial"/>
          <w:b/>
          <w:bCs/>
          <w:sz w:val="28"/>
          <w:szCs w:val="28"/>
        </w:rPr>
        <w:t xml:space="preserve">3. 二閾値モデル</w:t>
      </w:r>
    </w:p>
    <w:p>
      <w:pPr>
        <w:spacing w:after="160"/>
      </w:pPr>
      <w:r>
        <w:rPr>
          <w:rFonts w:ascii="Times New Roman" w:cs="Times New Roman" w:eastAsia="Times New Roman" w:hAnsi="Times New Roman"/>
          <w:sz w:val="24"/>
          <w:szCs w:val="24"/>
        </w:rPr>
        <w:t xml:space="preserve">α の初期値 α₀ に応じて、LLM介入後の軌道は三つに分岐する。</w:t>
      </w:r>
    </w:p>
    <w:p>
      <w:pPr>
        <w:spacing w:before="200" w:after="100"/>
      </w:pPr>
      <w:r>
        <w:rPr>
          <w:rFonts w:ascii="Arial" w:cs="Arial" w:eastAsia="Arial" w:hAnsi="Arial"/>
          <w:b/>
          <w:bCs/>
          <w:sz w:val="24"/>
          <w:szCs w:val="24"/>
        </w:rPr>
        <w:t xml:space="preserve">α₀ &lt; τ₁（代替型）</w:t>
      </w:r>
    </w:p>
    <w:p>
      <w:pPr>
        <w:spacing w:after="160"/>
      </w:pPr>
      <w:r>
        <w:rPr>
          <w:rFonts w:ascii="Times New Roman" w:cs="Times New Roman" w:eastAsia="Times New Roman" w:hAnsi="Times New Roman"/>
          <w:sz w:val="24"/>
          <w:szCs w:val="24"/>
        </w:rPr>
        <w:t xml:space="preserve">LLMが思考を代行する。M_composite は高いまま維持されるが、M_h は静かに萎縮する。LLMを外すと急速にRegion Bに落ちる。</w:t>
      </w:r>
    </w:p>
    <w:p>
      <w:pPr>
        <w:spacing w:before="200" w:after="100"/>
      </w:pPr>
      <w:r>
        <w:rPr>
          <w:rFonts w:ascii="Arial" w:cs="Arial" w:eastAsia="Arial" w:hAnsi="Arial"/>
          <w:b/>
          <w:bCs/>
          <w:sz w:val="24"/>
          <w:szCs w:val="24"/>
        </w:rPr>
        <w:t xml:space="preserve">τ₁ ≤ α₀ &lt; τ₂（維持型）</w:t>
      </w:r>
    </w:p>
    <w:p>
      <w:pPr>
        <w:spacing w:after="160"/>
      </w:pPr>
      <w:r>
        <w:rPr>
          <w:rFonts w:ascii="Times New Roman" w:cs="Times New Roman" w:eastAsia="Times New Roman" w:hAnsi="Times New Roman"/>
          <w:sz w:val="24"/>
          <w:szCs w:val="24"/>
        </w:rPr>
        <w:t xml:space="preserve">LLMは思考を補助する。M_h は維持される。LLMを外しても元の能力に戻る。</w:t>
      </w:r>
    </w:p>
    <w:p>
      <w:pPr>
        <w:spacing w:before="200" w:after="100"/>
      </w:pPr>
      <w:r>
        <w:rPr>
          <w:rFonts w:ascii="Arial" w:cs="Arial" w:eastAsia="Arial" w:hAnsi="Arial"/>
          <w:b/>
          <w:bCs/>
          <w:sz w:val="24"/>
          <w:szCs w:val="24"/>
        </w:rPr>
        <w:t xml:space="preserve">α₀ ≥ τ₂（増幅型）</w:t>
      </w:r>
    </w:p>
    <w:p>
      <w:pPr>
        <w:spacing w:after="160"/>
      </w:pPr>
      <w:r>
        <w:rPr>
          <w:rFonts w:ascii="Times New Roman" w:cs="Times New Roman" w:eastAsia="Times New Roman" w:hAnsi="Times New Roman"/>
          <w:sz w:val="24"/>
          <w:szCs w:val="24"/>
        </w:rPr>
        <w:t xml:space="preserve">LLMから思考法そのものを内面化する。M_h が上昇する。これはL3更新（フレームリセット）が機能している個体にのみ起きる。稀だ。</w:t>
      </w:r>
    </w:p>
    <w:p>
      <w:pPr>
        <w:pStyle w:val="Heading2"/>
        <w:spacing w:before="240" w:after="120"/>
      </w:pPr>
      <w:r>
        <w:rPr>
          <w:rFonts w:ascii="Arial" w:cs="Arial" w:eastAsia="Arial" w:hAnsi="Arial"/>
          <w:b/>
          <w:bCs/>
          <w:sz w:val="28"/>
          <w:szCs w:val="28"/>
        </w:rPr>
        <w:t xml:space="preserve">4. Region B 個人版</w:t>
      </w:r>
    </w:p>
    <w:p>
      <w:pPr>
        <w:spacing w:after="160"/>
      </w:pPr>
      <w:r>
        <w:rPr>
          <w:rFonts w:ascii="Times New Roman" w:cs="Times New Roman" w:eastAsia="Times New Roman" w:hAnsi="Times New Roman"/>
          <w:sz w:val="24"/>
          <w:szCs w:val="24"/>
        </w:rPr>
        <w:t xml:space="preserve">代替型で特に危険なのは、e 増加 + u 萎縮 の組み合わせだ。</w:t>
      </w:r>
    </w:p>
    <w:p>
      <w:pPr>
        <w:spacing w:after="160"/>
      </w:pPr>
      <w:r>
        <w:rPr>
          <w:rFonts w:ascii="Times New Roman" w:cs="Times New Roman" w:eastAsia="Times New Roman" w:hAnsi="Times New Roman"/>
          <w:sz w:val="24"/>
          <w:szCs w:val="24"/>
        </w:rPr>
        <w:t xml:space="preserve">LLMによって探索次元 e は拡大する。情報へのアクセスが増え、選択肢が広がる。しかし更新能力 u は使われないまま萎縮する。本人は「考えている」と感じている。しかし再計算はしていない。</w:t>
      </w:r>
    </w:p>
    <w:p>
      <w:pPr>
        <w:spacing w:after="160"/>
      </w:pPr>
      <w:r>
        <w:rPr>
          <w:rFonts w:ascii="Times New Roman" w:cs="Times New Roman" w:eastAsia="Times New Roman" w:hAnsi="Times New Roman"/>
          <w:sz w:val="24"/>
          <w:szCs w:val="24"/>
        </w:rPr>
        <w:t xml:space="preserve">外部から見ると正常に機能しているように見える。崩壊が可視化されるのはLLMを外したときだけだ。これはRD（Tanaka 2026b）のRegion Bの個人スケール版だ。</w:t>
      </w:r>
    </w:p>
    <w:p>
      <w:pPr>
        <w:pStyle w:val="Heading2"/>
        <w:spacing w:before="240" w:after="120"/>
      </w:pPr>
      <w:r>
        <w:rPr>
          <w:rFonts w:ascii="Arial" w:cs="Arial" w:eastAsia="Arial" w:hAnsi="Arial"/>
          <w:b/>
          <w:bCs/>
          <w:sz w:val="28"/>
          <w:szCs w:val="28"/>
        </w:rPr>
        <w:t xml:space="preserve">5. α₀の形成</w:t>
      </w:r>
    </w:p>
    <w:p>
      <w:pPr>
        <w:spacing w:after="160"/>
      </w:pPr>
      <w:r>
        <w:rPr>
          <w:rFonts w:ascii="Times New Roman" w:cs="Times New Roman" w:eastAsia="Times New Roman" w:hAnsi="Times New Roman"/>
          <w:sz w:val="24"/>
          <w:szCs w:val="24"/>
        </w:rPr>
        <w:t xml:space="preserve">α₀ は固定的な個人特性に近いが、絶対ではない。発達研究と現場観察の両方が示唆するのは、その基礎が幼児期（2〜3歳まで）に形成されるということだ。</w:t>
      </w:r>
    </w:p>
    <w:p>
      <w:pPr>
        <w:spacing w:after="160"/>
      </w:pPr>
      <w:r>
        <w:rPr>
          <w:rFonts w:ascii="Times New Roman" w:cs="Times New Roman" w:eastAsia="Times New Roman" w:hAnsi="Times New Roman"/>
          <w:sz w:val="24"/>
          <w:szCs w:val="24"/>
        </w:rPr>
        <w:t xml:space="preserve">この時期に形成されるのは「探索を続ける能力」そのものではなく、探索コストに対する解釈の方向だ。高コストの思考を「回避すべき信号」として解釈するか、「挑戦すべき信号」として解釈するか。この解釈方向がα₀の初期値を決める。</w:t>
      </w:r>
    </w:p>
    <w:p>
      <w:pPr>
        <w:spacing w:after="160"/>
      </w:pPr>
      <w:r>
        <w:rPr>
          <w:rFonts w:ascii="Times New Roman" w:cs="Times New Roman" w:eastAsia="Times New Roman" w:hAnsi="Times New Roman"/>
          <w:sz w:val="24"/>
          <w:szCs w:val="24"/>
        </w:rPr>
        <w:t xml:space="preserve">その後の制度的環境（評価・同調・競争）は、この初期値を平坦化する方向に作用することが多い。ただし思春期前後に可塑域が残る。</w:t>
      </w:r>
    </w:p>
    <w:p>
      <w:pPr>
        <w:spacing w:after="160"/>
      </w:pPr>
      <w:r>
        <w:rPr>
          <w:rFonts w:ascii="Times New Roman" w:cs="Times New Roman" w:eastAsia="Times New Roman" w:hAnsi="Times New Roman"/>
          <w:sz w:val="24"/>
          <w:szCs w:val="24"/>
        </w:rPr>
        <w:t xml:space="preserve">含意は明確だ。AI時代に最も重要な教育は、AIを使う前の教育だ。</w:t>
      </w:r>
    </w:p>
    <w:p>
      <w:pPr>
        <w:pStyle w:val="Heading2"/>
        <w:spacing w:before="240" w:after="120"/>
      </w:pPr>
      <w:r>
        <w:rPr>
          <w:rFonts w:ascii="Arial" w:cs="Arial" w:eastAsia="Arial" w:hAnsi="Arial"/>
          <w:b/>
          <w:bCs/>
          <w:sz w:val="28"/>
          <w:szCs w:val="28"/>
        </w:rPr>
        <w:t xml:space="preserve">6. 含意</w:t>
      </w:r>
    </w:p>
    <w:p>
      <w:pPr>
        <w:spacing w:after="160"/>
      </w:pPr>
      <w:r>
        <w:rPr>
          <w:rFonts w:ascii="Times New Roman" w:cs="Times New Roman" w:eastAsia="Times New Roman" w:hAnsi="Times New Roman"/>
          <w:sz w:val="24"/>
          <w:szCs w:val="24"/>
        </w:rPr>
        <w:t xml:space="preserve">LLMは主体を生成しない。できるのは主体の保存または増幅だ。そして保存か増幅かは、使用開始時点のα₀によってほぼ決まる。</w:t>
      </w:r>
    </w:p>
    <w:p>
      <w:pPr>
        <w:spacing w:after="160"/>
      </w:pPr>
      <w:r>
        <w:rPr>
          <w:rFonts w:ascii="Times New Roman" w:cs="Times New Roman" w:eastAsia="Times New Roman" w:hAnsi="Times New Roman"/>
          <w:sz w:val="24"/>
          <w:szCs w:val="24"/>
        </w:rPr>
        <w:t xml:space="preserve">現在の社会はα₀の評価なしに全員に同じLLMを渡している。残存機能の評価なしに補助具を処方している状態だ。</w:t>
      </w:r>
    </w:p>
    <w:p>
      <w:pPr>
        <w:spacing w:before="200" w:after="200"/>
        <w:jc w:val="center"/>
      </w:pPr>
      <w:r>
        <w:rPr>
          <w:rFonts w:ascii="Courier New" w:cs="Courier New" w:eastAsia="Courier New" w:hAnsi="Courier New"/>
          <w:b/>
          <w:bCs/>
          <w:sz w:val="22"/>
          <w:szCs w:val="22"/>
        </w:rPr>
        <w:t xml:space="preserve">α = P(T)</w:t>
      </w:r>
    </w:p>
    <w:p>
      <w:r>
        <w:br w:type="page"/>
      </w:r>
    </w:p>
    <w:p>
      <w:pPr>
        <w:spacing w:before="400" w:after="200"/>
      </w:pPr>
      <w:r>
        <w:rPr>
          <w:rFonts w:ascii="Arial" w:cs="Arial" w:eastAsia="Arial" w:hAnsi="Arial"/>
          <w:b/>
          <w:bCs/>
          <w:sz w:val="32"/>
          <w:szCs w:val="32"/>
        </w:rPr>
        <w:t xml:space="preserve">Part II　展開モデル：自律度テンソルと射影の限界</w:t>
      </w:r>
    </w:p>
    <w:p>
      <w:pPr>
        <w:pStyle w:val="Heading2"/>
        <w:spacing w:before="240" w:after="120"/>
      </w:pPr>
      <w:r>
        <w:rPr>
          <w:rFonts w:ascii="Arial" w:cs="Arial" w:eastAsia="Arial" w:hAnsi="Arial"/>
          <w:b/>
          <w:bCs/>
          <w:sz w:val="28"/>
          <w:szCs w:val="28"/>
        </w:rPr>
        <w:t xml:space="preserve">7. Part Iで何が死んだか</w:t>
      </w:r>
    </w:p>
    <w:p>
      <w:pPr>
        <w:spacing w:after="160"/>
      </w:pPr>
      <w:r>
        <w:rPr>
          <w:rFonts w:ascii="Times New Roman" w:cs="Times New Roman" w:eastAsia="Times New Roman" w:hAnsi="Times New Roman"/>
          <w:sz w:val="24"/>
          <w:szCs w:val="24"/>
        </w:rPr>
        <w:t xml:space="preserve">Part Iの最後に置いた一行を回収する。</w:t>
      </w:r>
    </w:p>
    <w:p>
      <w:pPr>
        <w:spacing w:before="120" w:after="120"/>
        <w:jc w:val="center"/>
      </w:pPr>
      <w:r>
        <w:rPr>
          <w:rFonts w:ascii="Courier New" w:cs="Courier New" w:eastAsia="Courier New" w:hAnsi="Courier New"/>
          <w:b/>
          <w:bCs/>
          <w:sz w:val="22"/>
          <w:szCs w:val="22"/>
        </w:rPr>
        <w:t xml:space="preserve">α = P(T)</w:t>
      </w:r>
    </w:p>
    <w:p>
      <w:pPr>
        <w:spacing w:after="160"/>
      </w:pPr>
      <w:r>
        <w:rPr>
          <w:rFonts w:ascii="Times New Roman" w:cs="Times New Roman" w:eastAsia="Times New Roman" w:hAnsi="Times New Roman"/>
          <w:sz w:val="24"/>
          <w:szCs w:val="24"/>
        </w:rPr>
        <w:t xml:space="preserve">αは主体のスカラー表現だ。便利だが、圧縮によって失われたものがある。本章はその失われたものを展開する。</w:t>
      </w:r>
    </w:p>
    <w:p>
      <w:pPr>
        <w:spacing w:after="160"/>
      </w:pPr>
      <w:r>
        <w:rPr>
          <w:rFonts w:ascii="Times New Roman" w:cs="Times New Roman" w:eastAsia="Times New Roman" w:hAnsi="Times New Roman"/>
          <w:sz w:val="24"/>
          <w:szCs w:val="24"/>
        </w:rPr>
        <w:t xml:space="preserve">Part Iの理論は正しい。ただし特殊ケースだ。αは高次元構造の一次元射影に過ぎない。射影では見えない変動が、現実の主体ダイナミクスを決定している。</w:t>
      </w:r>
    </w:p>
    <w:p>
      <w:pPr>
        <w:pStyle w:val="Heading2"/>
        <w:spacing w:before="240" w:after="120"/>
      </w:pPr>
      <w:r>
        <w:rPr>
          <w:rFonts w:ascii="Arial" w:cs="Arial" w:eastAsia="Arial" w:hAnsi="Arial"/>
          <w:b/>
          <w:bCs/>
          <w:sz w:val="28"/>
          <w:szCs w:val="28"/>
        </w:rPr>
        <w:t xml:space="preserve">8. 自律度テンソル T</w:t>
      </w:r>
    </w:p>
    <w:p>
      <w:pPr>
        <w:spacing w:after="160"/>
      </w:pPr>
      <w:r>
        <w:rPr>
          <w:rFonts w:ascii="Times New Roman" w:cs="Times New Roman" w:eastAsia="Times New Roman" w:hAnsi="Times New Roman"/>
          <w:sz w:val="24"/>
          <w:szCs w:val="24"/>
        </w:rPr>
        <w:t xml:space="preserve">主体を一変数で記述する試みは、五層地形モデル（Tanaka 2026c）と整合しない。個体の行動は単一の地形ではなく、少なくとも五つの層の合成として記述される。</w:t>
      </w:r>
    </w:p>
    <w:p>
      <w:pPr>
        <w:spacing w:after="8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tblGrid>
      <w:tr>
        <w:tc>
          <w:tcPr>
            <w:tcW w:type="dxa" w:w="1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Times New Roman" w:cs="Times New Roman" w:eastAsia="Times New Roman" w:hAnsi="Times New Roman"/>
                <w:b/>
                <w:bCs/>
                <w:sz w:val="22"/>
                <w:szCs w:val="22"/>
              </w:rPr>
              <w:t xml:space="preserve">層</w:t>
            </w:r>
          </w:p>
        </w:tc>
        <w:tc>
          <w:tcPr>
            <w:tcW w:type="dxa" w:w="36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Times New Roman" w:cs="Times New Roman" w:eastAsia="Times New Roman" w:hAnsi="Times New Roman"/>
                <w:b/>
                <w:bCs/>
                <w:sz w:val="22"/>
                <w:szCs w:val="22"/>
              </w:rPr>
              <w:t xml:space="preserve">内容</w:t>
            </w:r>
          </w:p>
        </w:tc>
        <w:tc>
          <w:tcPr>
            <w:tcW w:type="dxa" w:w="2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Times New Roman" w:cs="Times New Roman" w:eastAsia="Times New Roman" w:hAnsi="Times New Roman"/>
                <w:b/>
                <w:bCs/>
                <w:sz w:val="22"/>
                <w:szCs w:val="22"/>
              </w:rPr>
              <w:t xml:space="preserve">自律度成分</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認知層</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論理・整合・意味</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T_cog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情動層</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恐怖・快・嫌悪</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T_aff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評価層</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承認・同調・評価基準への依存度</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T_eval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動機層</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内発的推進力</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T_mot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価値層</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信念・理念・フレーム</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T_val</w:t>
            </w:r>
          </w:p>
        </w:tc>
      </w:tr>
    </w:tbl>
    <w:p>
      <w:pPr>
        <w:spacing w:after="80"/>
      </w:pPr>
      <w:r>
        <w:t xml:space="preserve"/>
      </w:r>
    </w:p>
    <w:p>
      <w:pPr>
        <w:spacing w:after="160"/>
      </w:pPr>
      <w:r>
        <w:rPr>
          <w:rFonts w:ascii="Times New Roman" w:cs="Times New Roman" w:eastAsia="Times New Roman" w:hAnsi="Times New Roman"/>
          <w:sz w:val="24"/>
          <w:szCs w:val="24"/>
        </w:rPr>
        <w:t xml:space="preserve">自律度テンソルを以下で定義する：</w:t>
      </w:r>
    </w:p>
    <w:p>
      <w:pPr>
        <w:spacing w:before="120" w:after="120"/>
        <w:jc w:val="center"/>
      </w:pPr>
      <w:r>
        <w:rPr>
          <w:rFonts w:ascii="Courier New" w:cs="Courier New" w:eastAsia="Courier New" w:hAnsi="Courier New"/>
          <w:b/>
          <w:bCs/>
          <w:sz w:val="22"/>
          <w:szCs w:val="22"/>
        </w:rPr>
        <w:t xml:space="preserve">T = (T_cog, T_aff, T_eval, T_mot, T_val)</w:t>
      </w:r>
    </w:p>
    <w:p>
      <w:pPr>
        <w:spacing w:after="160"/>
      </w:pPr>
      <w:r>
        <w:rPr>
          <w:rFonts w:ascii="Times New Roman" w:cs="Times New Roman" w:eastAsia="Times New Roman" w:hAnsi="Times New Roman"/>
          <w:sz w:val="24"/>
          <w:szCs w:val="24"/>
        </w:rPr>
        <w:t xml:space="preserve">αはこのテンソルの射影だ：</w:t>
      </w:r>
    </w:p>
    <w:p>
      <w:pPr>
        <w:spacing w:before="120" w:after="120"/>
        <w:jc w:val="center"/>
      </w:pPr>
      <w:r>
        <w:rPr>
          <w:rFonts w:ascii="Courier New" w:cs="Courier New" w:eastAsia="Courier New" w:hAnsi="Courier New"/>
          <w:b/>
          <w:bCs/>
          <w:sz w:val="22"/>
          <w:szCs w:val="22"/>
        </w:rPr>
        <w:t xml:space="preserve">α = P(T) ≈ w · T</w:t>
      </w:r>
    </w:p>
    <w:p>
      <w:pPr>
        <w:spacing w:after="160"/>
      </w:pPr>
      <w:r>
        <w:rPr>
          <w:rFonts w:ascii="Times New Roman" w:cs="Times New Roman" w:eastAsia="Times New Roman" w:hAnsi="Times New Roman"/>
          <w:sz w:val="24"/>
          <w:szCs w:val="24"/>
        </w:rPr>
        <w:t xml:space="preserve">ここでwは重みベクトルで、文脈依存する。</w:t>
      </w:r>
    </w:p>
    <w:p>
      <w:pPr>
        <w:pStyle w:val="Heading2"/>
        <w:spacing w:before="240" w:after="120"/>
      </w:pPr>
      <w:r>
        <w:rPr>
          <w:rFonts w:ascii="Arial" w:cs="Arial" w:eastAsia="Arial" w:hAnsi="Arial"/>
          <w:b/>
          <w:bCs/>
          <w:sz w:val="28"/>
          <w:szCs w:val="28"/>
        </w:rPr>
        <w:t xml:space="preserve">9. テンソルで初めて見えるもの</w:t>
      </w:r>
    </w:p>
    <w:p>
      <w:pPr>
        <w:spacing w:after="160"/>
      </w:pPr>
      <w:r>
        <w:rPr>
          <w:rFonts w:ascii="Times New Roman" w:cs="Times New Roman" w:eastAsia="Times New Roman" w:hAnsi="Times New Roman"/>
          <w:sz w:val="24"/>
          <w:szCs w:val="24"/>
        </w:rPr>
        <w:t xml:space="preserve">スカラーαでは区別できない状態が、テンソルTでは区別できる。</w:t>
      </w:r>
    </w:p>
    <w:p>
      <w:pPr>
        <w:spacing w:before="200" w:after="100"/>
      </w:pPr>
      <w:r>
        <w:rPr>
          <w:rFonts w:ascii="Arial" w:cs="Arial" w:eastAsia="Arial" w:hAnsi="Arial"/>
          <w:b/>
          <w:bCs/>
          <w:sz w:val="24"/>
          <w:szCs w:val="24"/>
        </w:rPr>
        <w:t xml:space="preserve">同じαでも構造が違う例：</w:t>
      </w:r>
    </w:p>
    <w:p>
      <w:pPr>
        <w:spacing w:after="160"/>
      </w:pPr>
      <w:r>
        <w:rPr>
          <w:rFonts w:ascii="Times New Roman" w:cs="Times New Roman" w:eastAsia="Times New Roman" w:hAnsi="Times New Roman"/>
          <w:sz w:val="24"/>
          <w:szCs w:val="24"/>
        </w:rPr>
        <w:t xml:space="preserve">個体Aは T_cog が高く T_eval が低い。外部評価に依存せず、自分で問いを立て直せる。LLMは認知拡張として機能する。</w:t>
      </w:r>
    </w:p>
    <w:p>
      <w:pPr>
        <w:spacing w:after="160"/>
      </w:pPr>
      <w:r>
        <w:rPr>
          <w:rFonts w:ascii="Times New Roman" w:cs="Times New Roman" w:eastAsia="Times New Roman" w:hAnsi="Times New Roman"/>
          <w:sz w:val="24"/>
          <w:szCs w:val="24"/>
        </w:rPr>
        <w:t xml:space="preserve">個体Bは T_cog が高く T_eval も高い。論理能力はあるが外部評価依存が強い。LLMが「正しい答え」を出すと、それを検証せず採用する。スカラーαでは同じ値でも、LLM介入後の軌道は逆方向に分岐する。</w:t>
      </w:r>
    </w:p>
    <w:p>
      <w:pPr>
        <w:spacing w:after="160"/>
      </w:pPr>
      <w:r>
        <w:rPr>
          <w:rFonts w:ascii="Times New Roman" w:cs="Times New Roman" w:eastAsia="Times New Roman" w:hAnsi="Times New Roman"/>
          <w:sz w:val="24"/>
          <w:szCs w:val="24"/>
        </w:rPr>
        <w:t xml:space="preserve">これがPart Iで説明できなかった個人差の正体だ。</w:t>
      </w:r>
    </w:p>
    <w:p>
      <w:pPr>
        <w:pStyle w:val="Heading2"/>
        <w:spacing w:before="240" w:after="120"/>
      </w:pPr>
      <w:r>
        <w:rPr>
          <w:rFonts w:ascii="Arial" w:cs="Arial" w:eastAsia="Arial" w:hAnsi="Arial"/>
          <w:b/>
          <w:bCs/>
          <w:sz w:val="28"/>
          <w:szCs w:val="28"/>
        </w:rPr>
        <w:t xml:space="preserve">10. LLMのテンソル作用</w:t>
      </w:r>
    </w:p>
    <w:p>
      <w:pPr>
        <w:spacing w:after="160"/>
      </w:pPr>
      <w:r>
        <w:rPr>
          <w:rFonts w:ascii="Times New Roman" w:cs="Times New Roman" w:eastAsia="Times New Roman" w:hAnsi="Times New Roman"/>
          <w:sz w:val="24"/>
          <w:szCs w:val="24"/>
        </w:rPr>
        <w:t xml:space="preserve">LLMの介入をテンソル作用として書くと：</w:t>
      </w:r>
    </w:p>
    <w:p>
      <w:pPr>
        <w:spacing w:before="120" w:after="120"/>
        <w:jc w:val="center"/>
      </w:pPr>
      <w:r>
        <w:rPr>
          <w:rFonts w:ascii="Courier New" w:cs="Courier New" w:eastAsia="Courier New" w:hAnsi="Courier New"/>
          <w:b/>
          <w:bCs/>
          <w:sz w:val="22"/>
          <w:szCs w:val="22"/>
        </w:rPr>
        <w:t xml:space="preserve">T' = F(T, LLM)</w:t>
      </w:r>
    </w:p>
    <w:p>
      <w:pPr>
        <w:spacing w:after="160"/>
      </w:pPr>
      <w:r>
        <w:rPr>
          <w:rFonts w:ascii="Times New Roman" w:cs="Times New Roman" w:eastAsia="Times New Roman" w:hAnsi="Times New Roman"/>
          <w:sz w:val="24"/>
          <w:szCs w:val="24"/>
        </w:rPr>
        <w:t xml:space="preserve">ここでFは非線形かつ成分依存だ。実証的に最も強く示唆される作用パターン：</w:t>
      </w:r>
    </w:p>
    <w:p>
      <w:pPr>
        <w:spacing w:after="8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800"/>
      </w:tblGrid>
      <w:tr>
        <w:tc>
          <w:tcPr>
            <w:tcW w:type="dxa" w:w="1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Times New Roman" w:cs="Times New Roman" w:eastAsia="Times New Roman" w:hAnsi="Times New Roman"/>
                <w:b/>
                <w:bCs/>
                <w:sz w:val="22"/>
                <w:szCs w:val="22"/>
              </w:rPr>
              <w:t xml:space="preserve">成分</w:t>
            </w:r>
          </w:p>
        </w:tc>
        <w:tc>
          <w:tcPr>
            <w:tcW w:type="dxa" w:w="26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Times New Roman" w:cs="Times New Roman" w:eastAsia="Times New Roman" w:hAnsi="Times New Roman"/>
                <w:b/>
                <w:bCs/>
                <w:sz w:val="22"/>
                <w:szCs w:val="22"/>
              </w:rPr>
              <w:t xml:space="preserve">LLM介入後の方向</w:t>
            </w:r>
          </w:p>
        </w:tc>
        <w:tc>
          <w:tcPr>
            <w:tcW w:type="dxa" w:w="3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Times New Roman" w:cs="Times New Roman" w:eastAsia="Times New Roman" w:hAnsi="Times New Roman"/>
                <w:b/>
                <w:bCs/>
                <w:sz w:val="22"/>
                <w:szCs w:val="22"/>
              </w:rPr>
              <w:t xml:space="preserve">メカニズム</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T_cog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上昇傾向</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情報処理・論理展開の補助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T_eval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低下傾向</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外部評価源としてのLLM依存</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T_aff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ほぼ中立</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情動自律はLLMが直接触れない</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T_mot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分岐（α₀依存）</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高ければ上昇、低ければ低下</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T_val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低下リスク</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評価関数の外部委託</w:t>
            </w:r>
          </w:p>
        </w:tc>
      </w:tr>
    </w:tbl>
    <w:p>
      <w:pPr>
        <w:spacing w:after="80"/>
      </w:pPr>
      <w:r>
        <w:t xml:space="preserve"/>
      </w:r>
    </w:p>
    <w:p>
      <w:pPr>
        <w:spacing w:after="160"/>
      </w:pPr>
      <w:r>
        <w:rPr>
          <w:rFonts w:ascii="Times New Roman" w:cs="Times New Roman" w:eastAsia="Times New Roman" w:hAnsi="Times New Roman"/>
          <w:sz w:val="24"/>
          <w:szCs w:val="24"/>
        </w:rPr>
        <w:t xml:space="preserve">この非対称性がスカラーモデルで見えない危険を生む。T_cog の上昇がαを高く見せながら、T_eval と T_val の低下が進行する。M_compositeは高いままだ。Region Bの個人版が静かに進行している。</w:t>
      </w:r>
    </w:p>
    <w:p>
      <w:pPr>
        <w:pStyle w:val="Heading2"/>
        <w:spacing w:before="240" w:after="120"/>
      </w:pPr>
      <w:r>
        <w:rPr>
          <w:rFonts w:ascii="Arial" w:cs="Arial" w:eastAsia="Arial" w:hAnsi="Arial"/>
          <w:b/>
          <w:bCs/>
          <w:sz w:val="28"/>
          <w:szCs w:val="28"/>
        </w:rPr>
        <w:t xml:space="preserve">11. 二閾値モデルの再解釈</w:t>
      </w:r>
    </w:p>
    <w:p>
      <w:pPr>
        <w:spacing w:after="160"/>
      </w:pPr>
      <w:r>
        <w:rPr>
          <w:rFonts w:ascii="Times New Roman" w:cs="Times New Roman" w:eastAsia="Times New Roman" w:hAnsi="Times New Roman"/>
          <w:sz w:val="24"/>
          <w:szCs w:val="24"/>
        </w:rPr>
        <w:t xml:space="preserve">Part Iの τ₁、τ₂ はテンソル空間ではどこにあるか。</w:t>
      </w:r>
    </w:p>
    <w:p>
      <w:pPr>
        <w:spacing w:after="160"/>
      </w:pPr>
      <w:r>
        <w:rPr>
          <w:rFonts w:ascii="Times New Roman" w:cs="Times New Roman" w:eastAsia="Times New Roman" w:hAnsi="Times New Roman"/>
          <w:sz w:val="24"/>
          <w:szCs w:val="24"/>
        </w:rPr>
        <w:t xml:space="preserve">τ₂（増幅型の閾値）を超えるための条件は、αの大きさではない。テンソルの特定の成分組み合わせだ。</w:t>
      </w:r>
    </w:p>
    <w:p>
      <w:pPr>
        <w:spacing w:after="160"/>
      </w:pPr>
      <w:r>
        <w:rPr>
          <w:rFonts w:ascii="Times New Roman" w:cs="Times New Roman" w:eastAsia="Times New Roman" w:hAnsi="Times New Roman"/>
          <w:sz w:val="24"/>
          <w:szCs w:val="24"/>
        </w:rPr>
        <w:t xml:space="preserve">増幅型が起きる条件：</w:t>
      </w:r>
    </w:p>
    <w:p>
      <w:pPr>
        <w:pStyle w:val="ListParagraph"/>
        <w:numPr>
          <w:ilvl w:val="0"/>
          <w:numId w:val="2"/>
        </w:numPr>
        <w:spacing w:after="80"/>
      </w:pPr>
      <w:r>
        <w:rPr>
          <w:rFonts w:ascii="Times New Roman" w:cs="Times New Roman" w:eastAsia="Times New Roman" w:hAnsi="Times New Roman"/>
          <w:sz w:val="24"/>
          <w:szCs w:val="24"/>
        </w:rPr>
        <w:t xml:space="preserve">T_eval が低い（外部評価依存が弱い）</w:t>
      </w:r>
    </w:p>
    <w:p>
      <w:pPr>
        <w:pStyle w:val="ListParagraph"/>
        <w:numPr>
          <w:ilvl w:val="0"/>
          <w:numId w:val="2"/>
        </w:numPr>
        <w:spacing w:after="80"/>
      </w:pPr>
      <w:r>
        <w:rPr>
          <w:rFonts w:ascii="Times New Roman" w:cs="Times New Roman" w:eastAsia="Times New Roman" w:hAnsi="Times New Roman"/>
          <w:sz w:val="24"/>
          <w:szCs w:val="24"/>
        </w:rPr>
        <w:t xml:space="preserve">T_val が高い（評価関数を自分で持つ）</w:t>
      </w:r>
    </w:p>
    <w:p>
      <w:pPr>
        <w:pStyle w:val="ListParagraph"/>
        <w:numPr>
          <w:ilvl w:val="0"/>
          <w:numId w:val="2"/>
        </w:numPr>
        <w:spacing w:after="160"/>
      </w:pPr>
      <w:r>
        <w:rPr>
          <w:rFonts w:ascii="Times New Roman" w:cs="Times New Roman" w:eastAsia="Times New Roman" w:hAnsi="Times New Roman"/>
          <w:sz w:val="24"/>
          <w:szCs w:val="24"/>
        </w:rPr>
        <w:t xml:space="preserve">T_mot が高い（探索コストを推進力として感じる）</w:t>
      </w:r>
    </w:p>
    <w:p>
      <w:pPr>
        <w:spacing w:after="160"/>
      </w:pPr>
      <w:r>
        <w:rPr>
          <w:rFonts w:ascii="Times New Roman" w:cs="Times New Roman" w:eastAsia="Times New Roman" w:hAnsi="Times New Roman"/>
          <w:sz w:val="24"/>
          <w:szCs w:val="24"/>
        </w:rPr>
        <w:t xml:space="preserve">この三成分が揃った個体は、LLMから思考法を内面化できる。稀なのは偶然ではない。テンソル空間の特定領域に入るための条件が複数同時に必要だからだ。</w:t>
      </w:r>
    </w:p>
    <w:p>
      <w:pPr>
        <w:pStyle w:val="Heading2"/>
        <w:spacing w:before="240" w:after="120"/>
      </w:pPr>
      <w:r>
        <w:rPr>
          <w:rFonts w:ascii="Arial" w:cs="Arial" w:eastAsia="Arial" w:hAnsi="Arial"/>
          <w:b/>
          <w:bCs/>
          <w:sz w:val="28"/>
          <w:szCs w:val="28"/>
        </w:rPr>
        <w:t xml:space="preserve">12. 教育問題の再定式化</w:t>
      </w:r>
    </w:p>
    <w:p>
      <w:pPr>
        <w:spacing w:after="160"/>
      </w:pPr>
      <w:r>
        <w:rPr>
          <w:rFonts w:ascii="Times New Roman" w:cs="Times New Roman" w:eastAsia="Times New Roman" w:hAnsi="Times New Roman"/>
          <w:sz w:val="24"/>
          <w:szCs w:val="24"/>
        </w:rPr>
        <w:t xml:space="preserve">Part Iの結論「AI時代に最も重要な教育はAIを使う前の教育」はテンソルモデルでより精密になる。</w:t>
      </w:r>
    </w:p>
    <w:p>
      <w:pPr>
        <w:spacing w:after="160"/>
      </w:pPr>
      <w:r>
        <w:rPr>
          <w:rFonts w:ascii="Times New Roman" w:cs="Times New Roman" w:eastAsia="Times New Roman" w:hAnsi="Times New Roman"/>
          <w:sz w:val="24"/>
          <w:szCs w:val="24"/>
        </w:rPr>
        <w:t xml:space="preserve">スカラーモデルでの含意：α₀を高くする教育が必要。</w:t>
      </w:r>
    </w:p>
    <w:p>
      <w:pPr>
        <w:spacing w:after="160"/>
      </w:pPr>
      <w:r>
        <w:rPr>
          <w:rFonts w:ascii="Times New Roman" w:cs="Times New Roman" w:eastAsia="Times New Roman" w:hAnsi="Times New Roman"/>
          <w:sz w:val="24"/>
          <w:szCs w:val="24"/>
        </w:rPr>
        <w:t xml:space="preserve">テンソルモデルでの含意：T_eval の過度な外部依存を形成しないことが最重要だ。</w:t>
      </w:r>
    </w:p>
    <w:p>
      <w:pPr>
        <w:spacing w:after="160"/>
      </w:pPr>
      <w:r>
        <w:rPr>
          <w:rFonts w:ascii="Times New Roman" w:cs="Times New Roman" w:eastAsia="Times New Roman" w:hAnsi="Times New Roman"/>
          <w:sz w:val="24"/>
          <w:szCs w:val="24"/>
        </w:rPr>
        <w:t xml:space="preserve">理由は非対称な壊れやすさにある。T_cog は学校教育でも比較的維持できる。T_eval は制度的環境（評価・競争・同調圧力）によって体系的に侵食される。T_val と T_mot の基礎は幼児期に形成されるが、T_eval の低さがそれらを活性化し続けるための条件になる。</w:t>
      </w:r>
    </w:p>
    <w:p>
      <w:pPr>
        <w:spacing w:after="160"/>
      </w:pPr>
      <w:r>
        <w:rPr>
          <w:rFonts w:ascii="Times New Roman" w:cs="Times New Roman" w:eastAsia="Times New Roman" w:hAnsi="Times New Roman"/>
          <w:sz w:val="24"/>
          <w:szCs w:val="24"/>
        </w:rPr>
        <w:t xml:space="preserve">つまり主体教育の核心は「考える力をつける」ことではなく、「T_eval の過度な外部依存を形成しない」ことだ。</w:t>
      </w:r>
    </w:p>
    <w:p>
      <w:pPr>
        <w:pStyle w:val="Heading2"/>
        <w:spacing w:before="240" w:after="120"/>
      </w:pPr>
      <w:r>
        <w:rPr>
          <w:rFonts w:ascii="Arial" w:cs="Arial" w:eastAsia="Arial" w:hAnsi="Arial"/>
          <w:b/>
          <w:bCs/>
          <w:sz w:val="28"/>
          <w:szCs w:val="28"/>
        </w:rPr>
        <w:t xml:space="preserve">13. αが射影である含意</w:t>
      </w:r>
    </w:p>
    <w:p>
      <w:pPr>
        <w:spacing w:after="160"/>
      </w:pPr>
      <w:r>
        <w:rPr>
          <w:rFonts w:ascii="Times New Roman" w:cs="Times New Roman" w:eastAsia="Times New Roman" w:hAnsi="Times New Roman"/>
          <w:sz w:val="24"/>
          <w:szCs w:val="24"/>
        </w:rPr>
        <w:t xml:space="preserve">科学論文はスカラーを好む。測定しやすく、比較しやすく、統計処理できる。αはそのために作られた圧縮だ。</w:t>
      </w:r>
    </w:p>
    <w:p>
      <w:pPr>
        <w:spacing w:after="160"/>
      </w:pPr>
      <w:r>
        <w:rPr>
          <w:rFonts w:ascii="Times New Roman" w:cs="Times New Roman" w:eastAsia="Times New Roman" w:hAnsi="Times New Roman"/>
          <w:sz w:val="24"/>
          <w:szCs w:val="24"/>
        </w:rPr>
        <w:t xml:space="preserve">しかしその圧縮によって、最も重要な変動が消える。T_eval の侵食はαに現れない。T_val の空洞化はαに現れない。Region Bの個人版は、αを観測している限り見えない。</w:t>
      </w:r>
    </w:p>
    <w:p>
      <w:pPr>
        <w:spacing w:after="160"/>
      </w:pPr>
      <w:r>
        <w:rPr>
          <w:rFonts w:ascii="Times New Roman" w:cs="Times New Roman" w:eastAsia="Times New Roman" w:hAnsi="Times New Roman"/>
          <w:sz w:val="24"/>
          <w:szCs w:val="24"/>
        </w:rPr>
        <w:t xml:space="preserve">診断システムが射影を測定している限り、最も危険な劣化は系統的に見えないまま進行する。</w:t>
      </w:r>
    </w:p>
    <w:p>
      <w:pPr>
        <w:spacing w:after="160"/>
      </w:pPr>
      <w:r>
        <w:rPr>
          <w:rFonts w:ascii="Times New Roman" w:cs="Times New Roman" w:eastAsia="Times New Roman" w:hAnsi="Times New Roman"/>
          <w:sz w:val="24"/>
          <w:szCs w:val="24"/>
        </w:rPr>
        <w:t xml:space="preserve">これはRDの系1（不可視の劣化）の個人スケール版だ。</w:t>
      </w:r>
    </w:p>
    <w:p>
      <w:pPr>
        <w:spacing w:after="80"/>
      </w:pPr>
      <w:r>
        <w:t xml:space="preserve"/>
      </w:r>
    </w:p>
    <w:p>
      <w:pPr>
        <w:pStyle w:val="Heading1"/>
        <w:spacing w:before="320" w:after="160"/>
      </w:pPr>
      <w:r>
        <w:rPr>
          <w:rFonts w:ascii="Arial" w:cs="Arial" w:eastAsia="Arial" w:hAnsi="Arial"/>
          <w:b/>
          <w:bCs/>
          <w:sz w:val="32"/>
          <w:szCs w:val="32"/>
        </w:rPr>
        <w:t xml:space="preserve">References</w:t>
      </w:r>
    </w:p>
    <w:p>
      <w:pPr>
        <w:spacing w:after="160"/>
      </w:pPr>
      <w:r>
        <w:rPr>
          <w:rFonts w:ascii="Times New Roman" w:cs="Times New Roman" w:eastAsia="Times New Roman" w:hAnsi="Times New Roman"/>
          <w:sz w:val="24"/>
          <w:szCs w:val="24"/>
        </w:rPr>
        <w:t xml:space="preserve">Tanaka, Y. (2026a). Life Integration Theory v1.6. Unpublished manuscript.</w:t>
      </w:r>
    </w:p>
    <w:p>
      <w:pPr>
        <w:spacing w:after="160"/>
      </w:pPr>
      <w:r>
        <w:rPr>
          <w:rFonts w:ascii="Times New Roman" w:cs="Times New Roman" w:eastAsia="Times New Roman" w:hAnsi="Times New Roman"/>
          <w:sz w:val="24"/>
          <w:szCs w:val="24"/>
        </w:rPr>
        <w:t xml:space="preserve">Tanaka, Y. (2026b). Recomputation Dynamics: A Cross-Scale Theory of Adaptive Self-Maintenance. Unpublished manuscript.</w:t>
      </w:r>
    </w:p>
    <w:p>
      <w:pPr>
        <w:spacing w:after="160"/>
      </w:pPr>
      <w:r>
        <w:rPr>
          <w:rFonts w:ascii="Times New Roman" w:cs="Times New Roman" w:eastAsia="Times New Roman" w:hAnsi="Times New Roman"/>
          <w:sz w:val="24"/>
          <w:szCs w:val="24"/>
        </w:rPr>
        <w:t xml:space="preserve">Tanaka, Y. (2026c). 人間挙動の地形モデル・統合改訂版 v3. Unpublished manuscript.</w:t>
      </w:r>
    </w:p>
    <w:p>
      <w:pPr>
        <w:spacing w:after="160"/>
      </w:pPr>
      <w:r>
        <w:rPr>
          <w:rFonts w:ascii="Times New Roman" w:cs="Times New Roman" w:eastAsia="Times New Roman" w:hAnsi="Times New Roman"/>
          <w:sz w:val="24"/>
          <w:szCs w:val="24"/>
        </w:rPr>
        <w:t xml:space="preserve">Tanaka, Y. (2026d). Organizational Metastability Dynamics (OMD) v0.8. Submitted to Chaos.</w:t>
      </w:r>
    </w:p>
    <w:p>
      <w:pPr>
        <w:spacing w:after="160"/>
      </w:pPr>
      <w:r>
        <w:rPr>
          <w:rFonts w:ascii="Times New Roman" w:cs="Times New Roman" w:eastAsia="Times New Roman" w:hAnsi="Times New Roman"/>
          <w:sz w:val="24"/>
          <w:szCs w:val="24"/>
        </w:rPr>
        <w:t xml:space="preserve">Ashby, W. R. (1956). An Introduction to Cybernetics. Chapman &amp; Hall.</w:t>
      </w:r>
    </w:p>
    <w:p>
      <w:pPr>
        <w:spacing w:after="160"/>
      </w:pPr>
      <w:r>
        <w:rPr>
          <w:rFonts w:ascii="Times New Roman" w:cs="Times New Roman" w:eastAsia="Times New Roman" w:hAnsi="Times New Roman"/>
          <w:sz w:val="24"/>
          <w:szCs w:val="24"/>
        </w:rPr>
        <w:t xml:space="preserve">Deci, E. L., &amp; Ryan, R. M. (1985). Intrinsic Motivation and Self-Determination in Human Behavior. Springer.</w:t>
      </w:r>
    </w:p>
    <w:p>
      <w:pPr>
        <w:spacing w:after="160"/>
      </w:pPr>
      <w:r>
        <w:rPr>
          <w:rFonts w:ascii="Times New Roman" w:cs="Times New Roman" w:eastAsia="Times New Roman" w:hAnsi="Times New Roman"/>
          <w:sz w:val="24"/>
          <w:szCs w:val="24"/>
        </w:rPr>
        <w:t xml:space="preserve">Friston, K. (2010). The free-energy principle: a unified brain theory? Nature Reviews Neuroscience, 11, 127–138.</w:t>
      </w:r>
    </w:p>
    <w:p>
      <w:pPr>
        <w:spacing w:after="160"/>
      </w:pPr>
      <w:r>
        <w:rPr>
          <w:rFonts w:ascii="Times New Roman" w:cs="Times New Roman" w:eastAsia="Times New Roman" w:hAnsi="Times New Roman"/>
          <w:sz w:val="24"/>
          <w:szCs w:val="24"/>
        </w:rPr>
        <w:t xml:space="preserve">Klyubin, A. S., Polani, D., &amp; Nehaniv, C. L. (2005). Empowerment: A universal agent-centric measure of control. IEEE CEC 2005.</w:t>
      </w:r>
    </w:p>
    <w:p>
      <w:pPr>
        <w:spacing w:after="160"/>
      </w:pPr>
      <w:r>
        <w:rPr>
          <w:rFonts w:ascii="Times New Roman" w:cs="Times New Roman" w:eastAsia="Times New Roman" w:hAnsi="Times New Roman"/>
          <w:sz w:val="24"/>
          <w:szCs w:val="24"/>
        </w:rPr>
        <w:t xml:space="preserve">March, J. G. (1991). Exploration and exploitation in organizational learning. Organization Science, 2(1), 71–87.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2026-03-09T15:53:37.642Z</dcterms:created>
  <dcterms:modified xsi:type="dcterms:W3CDTF">2026-03-09T15:53:37.643Z</dcterms:modified>
</cp:coreProperties>
</file>

<file path=docProps/custom.xml><?xml version="1.0" encoding="utf-8"?>
<Properties xmlns="http://schemas.openxmlformats.org/officeDocument/2006/custom-properties" xmlns:vt="http://schemas.openxmlformats.org/officeDocument/2006/docPropsVTypes"/>
</file>