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ID-Coo</w:t>
      </w:r>
    </w:p>
    <w:p>
      <w:r>
        <w:t>“2026 年期间，畜牧信息服务系统（Livestock Information Service，简称 LIS）正在向英格兰所有养牛户推广，取代 BCMS 成为登记牛只和上报牛只流动的主要系统。自 2027 年起，电子标识（EID）[2] 将对所有新生牛犊（采用低频技术）强制使用，纸质牛只护照将逐步淘汰，转而采用数字记录。”[1]</w:t>
      </w:r>
    </w:p>
    <w:p>
      <w:r>
        <w:t>在农场环境中，EID 可能会损坏、丢失或停止工作。累计丢失率最高可达 19.8% [3]。这意味着仅仅依赖 RFID 标签可能无法识别奶牛。此外，奶牛在通过 RFID 读取门时有时会相互挤靠在一起，由于标签读取存在距离范围，可能一次性读出 2 个 ID，也可能完全漏读。</w:t>
      </w:r>
    </w:p>
    <w:p>
      <w:r>
        <w:t>你需要设计一种奶牛识别方案，为英格兰北部的养殖户提供物有所值的解决方案。初始的目标品种为荷斯坦弗里生牛（Holstein Friesian）。</w:t>
      </w:r>
    </w:p>
    <w:p>
      <w:r>
        <w:t>你的任务是了解奶牛识别方面的市场需求，从而为你所提出的方案提供独特的卖点。该系统的特性需要具备识别的稳健性、可靠性以及可负担性，也就是说，养殖户所支付的价格必须能用其带来的经济效益来证明其合理性。</w:t>
      </w:r>
    </w:p>
    <w:p>
      <w:r>
        <w:t>[1] Jamie Dawson，《牛只护照与 BCMS：英国养殖户指南》(2026)，logbook.co.uk，28/07/2026 https://www.logbook.co.uk/cattle-passports-bcms-uk-farmers-guide/ 访问日期：05/08/2026</w:t>
      </w:r>
    </w:p>
    <w:p>
      <w:r>
        <w:t>[2] Farming Solutions Ltd.com，《英国牛只 EID：养殖户须知》(2025–2027)，08/01/2026 https://www.farmingsolutionsltd.com/uk-cattle-eid-what-uk-farmers-need-to-know-2025-2027/ 访问日期：05/08/2026</w:t>
      </w:r>
    </w:p>
    <w:p>
      <w:r>
        <w:t>[3] A.J. Roberts、L.E. Wallace、M. Harbac、J.A. Paterson，《案例研究：肉牛体内射频识别应答器的保留率与可读性（5 年期）》1，《The Professional Animal Scientist》，28 卷，221-226 页，2012 年 4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