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如何使用 IEEEtran BibTeX 样式（中文翻译）</w:t>
      </w:r>
    </w:p>
    <w:p>
      <w:r>
        <w:t>原文标题：How to Use the IEEEtran BibTeX Style；作者：Michael Shell（IEEE 会员）。本文介绍如何使用 IEEEtran.bst 这一 BibTeX 样式文件，生成符合 IEEE（电气与电子工程师协会）出版标准的参考文献列表。</w:t>
      </w:r>
    </w:p>
    <w:p>
      <w:pPr>
        <w:pStyle w:val="Heading2"/>
      </w:pPr>
      <w:r>
        <w:t>I. 引言（INTRODUCTION）</w:t>
      </w:r>
    </w:p>
    <w:p>
      <w:r>
        <w:t>本文档描述的 IEEEtran.bst BibTeX 样式文件可与 BibTeX 配合使用，生成适用于 IEEE 出版的高质量 LaTeX 参考文献列表。其他潜在用途包括学位论文与学术工作，尤其是电气和 / 或计算机工程领域的工作。</w:t>
      </w:r>
    </w:p>
    <w:p>
      <w:r>
        <w:t>本文档适用于 IEEEtran BibTeX 样式 1.14 及以后版本。较早版本不具备此处描述的所有特性。IEEEtran.bst 在执行时会在用户控制台显示版本号。最新版本可在 CTAN [1] 获取，IEEE 网站 [2] 也可能提供镜像；更多支持见 IEEEtran 主页 [3]。</w:t>
      </w:r>
    </w:p>
    <w:p>
      <w:r>
        <w:t>假设读者已基本了解 BibTeX 的操作与使用。BibTeX 使用文档包括用户指南 [4]，以及综合教程 [5]、常见问题 FAQ [6][7]、实用示例指南 [8] 等。TEX User Group Bibliography Archive 中大量的示例参考文献与字符串定义 [9] 也可能有帮助。BibTeX 相关问题可在 Usenet 新闻组 comp.text.tex 获得一般支持。</w:t>
      </w:r>
    </w:p>
    <w:p>
      <w:r>
        <w:t>注意：本文档的参考文献部分有两个用途：(1) 提供获取更多信息的出处；(2) 提供使用 IEEEtran BibTeX 样式生成的参考文献示例。上面最初的几条引用属于第一类，而其后绝大多数引用仅作为示例，并非真正需要参考。希望从上下文能判断每条参考文献的用途。</w:t>
      </w:r>
    </w:p>
    <w:p>
      <w:pPr>
        <w:pStyle w:val="Heading2"/>
      </w:pPr>
      <w:r>
        <w:t>II. 安装（INSTALLATION）</w:t>
      </w:r>
    </w:p>
    <w:p>
      <w:r>
        <w:t>IEEEtran BibTeX 包包含以下文件。注意：IEEE 网站上的 IEEEtran 包可能不含非 IEEE 兼容（如 natbib 兼容等）变体，完整文件集见 CTAN 站点 [1]。</w:t>
      </w:r>
    </w:p>
    <w:p>
      <w:pPr>
        <w:pStyle w:val="ListBullet"/>
      </w:pPr>
      <w:r>
        <w:t>IEEEtran_bst_HOWTO.pdf：本文档。</w:t>
      </w:r>
    </w:p>
    <w:p>
      <w:pPr>
        <w:pStyle w:val="ListBullet"/>
      </w:pPr>
      <w:r>
        <w:t>IEEEtran.bst：标准 IEEEtran BibTeX 样式文件（不排序，即参考文献按被引用顺序出现）。推荐用于提交给 IEEE 的工作。</w:t>
      </w:r>
    </w:p>
    <w:p>
      <w:pPr>
        <w:pStyle w:val="ListBullet"/>
      </w:pPr>
      <w:r>
        <w:t>IEEEtranS.bst：带额外排序代码的版本，类似 plain.bst，按作者、编辑、组织等名称排序。某些 IEEE 会议 / 出版物允许使用排序参考文献，但绝大多数是不排序的。</w:t>
      </w:r>
    </w:p>
    <w:p>
      <w:pPr>
        <w:pStyle w:val="ListBullet"/>
      </w:pPr>
      <w:r>
        <w:t>IEEEtranSA.bst：类似 IEEEtranS.bst，但使用类似 alpha.bst 的字母数字引用标签。不用于常规 IEEE。</w:t>
      </w:r>
    </w:p>
    <w:p>
      <w:pPr>
        <w:pStyle w:val="ListBullet"/>
      </w:pPr>
      <w:r>
        <w:t>IEEEtranN.bst：类似 IEEEtran.bst，但基于 plainnat.bst，兼容 Patrick W. Daly 的 natbib 包 [10]。不用于常规 IEEE。</w:t>
      </w:r>
    </w:p>
    <w:p>
      <w:pPr>
        <w:pStyle w:val="ListBullet"/>
      </w:pPr>
      <w:r>
        <w:t>IEEEtranSN.bst：IEEEtranN.bst 的排序版本。不用于常规 IEEE。</w:t>
      </w:r>
    </w:p>
    <w:p>
      <w:pPr>
        <w:pStyle w:val="ListBullet"/>
      </w:pPr>
      <w:r>
        <w:t>IEEEexample.bib：包含本文档参考文献部分所示条目的 BibTeX 数据库。用户可复制其中的条目作为起始模板，条目还包含可能有帮助的注释。</w:t>
      </w:r>
    </w:p>
    <w:p>
      <w:pPr>
        <w:pStyle w:val="ListBullet"/>
      </w:pPr>
      <w:r>
        <w:t>IEEEfull.bib：包含 IEEE 期刊与杂志全称的 BibTeX 字符串定义集合。由于 IEEE 参考文献样式使用缩写刊名，本文件适用于专业化或非 IEEE 相关的工作。</w:t>
      </w:r>
    </w:p>
    <w:p>
      <w:pPr>
        <w:pStyle w:val="ListBullet"/>
      </w:pPr>
      <w:r>
        <w:t>IEEEabrv.bib：同上，但包含期刊与杂志名称的缩写形式。推荐用于提交给 IEEE 的工作。</w:t>
      </w:r>
    </w:p>
    <w:p>
      <w:r>
        <w:t>.bst 文件放在 &lt;texmf&gt;/bibtex/bst 目录可系统范围访问；系统范围的 .bib 文件（IEEEfull.bib、IEEEabrv.bib）放在 &lt;texmf&gt;/bibtex/bib。若有本地 texmf 树（&lt;texmflocal&gt;，可能名为 "texmf-local" 或 "localtexmf"），建议安装到 &lt;texmflocal&gt; 而非 &lt;texmf&gt;，因为前者内容在重装 / 升级 LaTeX 后会被保留。</w:t>
      </w:r>
    </w:p>
    <w:p>
      <w:r>
        <w:t>在 TeX Live 与 teTeX 系统上，可设置 BSTINPUTS 和 BIBINPUTS 环境变量分别指定 .bst 和 .bib 文件的搜索路径。MiKTeX 用户可修改 miktex.ini 配置文件中 BibTeX 区的 "Input Dirs" 路径。某些 LaTeX 系统在增删系统文件后需刷新目录查找表：TeX Live / teTeX 以 root 执行 texhash；MiKTeX 运行 initexmf -u。不愿或不能在系统范围安装的用户可安装到个人目录，但在 LaTeX 中引用时需同时提供路径（完整或相对）与文件名。</w:t>
      </w:r>
    </w:p>
    <w:p>
      <w:pPr>
        <w:pStyle w:val="Heading2"/>
      </w:pPr>
      <w:r>
        <w:t>III. 用法（USAGE）</w:t>
      </w:r>
    </w:p>
    <w:p>
      <w:r>
        <w:t>用常规 LaTeX 参考文献命令调用 IEEEtran.bst：</w:t>
      </w:r>
    </w:p>
    <w:p>
      <w:r>
        <w:t>\bibliographystyle{IEEEtran}</w:t>
      </w:r>
    </w:p>
    <w:p>
      <w:r>
        <w:t>\bibliography{IEEEabrv,mybibfile}</w:t>
      </w:r>
    </w:p>
    <w:p>
      <w:r>
        <w:t>字符串定义文件必须在任何使用该定义的数据库文件之前加载，因此 \bibliography 命令中的文件名须按正确顺序排列。按标准 BibTeX 方式，新文档需先运行 LaTeX，再运行 BibTeX，然后再次运行两次 LaTeX 以解析所有参考文献；随文档增加引用还需额外若干次运行。</w:t>
      </w:r>
    </w:p>
    <w:p>
      <w:pPr>
        <w:pStyle w:val="Heading2"/>
      </w:pPr>
      <w:r>
        <w:t>A. 资源需求（Resource Requirements）</w:t>
      </w:r>
    </w:p>
    <w:p>
      <w:r>
        <w:t>IEEE 参考文献样式有若干独特属性，增加了模仿它的 BibTeX 样式复杂度。由于 IEEEtran.bst 的主要设计目标是尽可能准确完整地重现 IEEE 参考文献样式，它在执行时消耗的计算资源（尤其是内存）明显多于许多其他 BibTeX 样式文件。多数现代 BibTeX 安装可毫无问题地满足；但一些较早的 BibTeX 平台，尤其在 MS Windows 上运行的，可能无法提供所需内存。遇到资源限制的用户应升级其 BibTeX 安装。</w:t>
      </w:r>
    </w:p>
    <w:p>
      <w:pPr>
        <w:pStyle w:val="Heading2"/>
      </w:pPr>
      <w:r>
        <w:t>B. 非标准扩展（Nonstandard Extensions）</w:t>
      </w:r>
    </w:p>
    <w:p>
      <w:r>
        <w:t>IEEEtran.bst 在标准 BibTeX 条目类型与字段之外提供了扩展。这些额外功能对 IEEE 样式工作是必需的，并设计为紧跟现有及「可能的未来」标准 BibTeX 样式发布。但用户应注意，许多现有 BibTeX 样式可能不兼容使用了 IEEEtran.bst 高级功能的数据库。BibTeX 遇到样式文件不支持的（被引用的）条目类型时会报错，但不支持的字段会被忽略。因此建议将所有非标准条目类型保留在用户自己的 .bib 文件中。非标准 IEEEtran.bst 条目类型有：(1) "electronic" 用于互联网引用；(2) "patent" 用于专利；(3) "periodical" 用于期刊与杂志；(4) "standard" 用于已发布标准。</w:t>
      </w:r>
    </w:p>
    <w:p>
      <w:r>
        <w:t>支持字段的重要扩展简述如下：</w:t>
      </w:r>
    </w:p>
    <w:p>
      <w:pPr>
        <w:pStyle w:val="ListBullet"/>
      </w:pPr>
      <w:r>
        <w:t>1) URL 字段：每种条目类型都支持可选的 URL 字段，用于互联网可获取的文档。URL 出现在参考文献条目末尾，前面加 "[Online]. Available:"（如 [1]）。IEEE 不在 URL 末尾加标点，以免被误认为 URL 的一部分。URL 常难以正确断行，IEEEtran.bst 将所有 URL 文本放入 \url{} 命令，以便与提供该命令的包「即插即用」配合使用。强烈建议在使用含 URL 的条目时同时加载 url.sty [11]，或 hyperref.sty [12]（也提供超链接的 \url 命令）。除非加载了 URL 处理包，否则 LaTeX 要求将 _、% 等特殊字符转义（\_、\%）；url.sty 1.5 及以前版本与较早 BibTeX 配合时可能在 URL 中出现异常「%」符号，因此 url.sty 至少用 1.6 版，hyperref.sty 至少用 6.70s 版。在 DVI 输出下，hyperref 的超链接文本（含 URL）通常不能跨行 / 跨页断行，可用 breakurl.sty [13] 配合处理。</w:t>
      </w:r>
    </w:p>
    <w:p>
      <w:pPr>
        <w:pStyle w:val="ListBullet"/>
      </w:pPr>
      <w:r>
        <w:t>2) Language 字段：IEEEtran.bst 支持可选的 language 字段，当 title 和 / 或 booktitle 字段使用默认语言之外的语言时，可用其指定替代连字（hyphenation）模式。此特性对依连字方式改变单词拼写的语言尤为重要。使用此特性不需要 Babel 包，但也不应将 Babel.sty 与 IEEEtran.cls 一起加载。language 字段给出的名称须遵循 Babel 对连字模式的命名约定 [14]。某些语言（如德文）可能要求与英文不同的条目格式。</w:t>
      </w:r>
    </w:p>
    <w:p>
      <w:pPr>
        <w:pStyle w:val="ListBullet"/>
      </w:pPr>
      <w:r>
        <w:t>3) 扩展使用 howpublished 字段：标准 BibTeX 样式仅为 booklet 和 misc 支持 howpublished 字段；IEEEtran.bst 将其扩展至 electronic、manual、standard 和 techreport，用于说明作品以何种形式产生。该信息以正常字体放在条目标题（或 booktitle）之后。详见第 V 节。</w:t>
      </w:r>
    </w:p>
    <w:p>
      <w:pPr>
        <w:pStyle w:val="Heading2"/>
      </w:pPr>
      <w:r>
        <w:t>C. BIBdecl 命令钩子（The BIBdecl Command Hook）</w:t>
      </w:r>
    </w:p>
    <w:p>
      <w:r>
        <w:t>IEEEtran.bst 生成的参考文献带有一个命令钩子（\BIBdecl），在参考文献列表第一项之前执行，可用于修改现有参考文献环境的默认行为。例如以下设置会生成一个加粗、条目间空一行的参考文献：</w:t>
      </w:r>
    </w:p>
    <w:p>
      <w:r>
        <w:t>\newcommand{\BIBdecl}{\bfseries\setlength{\itemsep}{1\baselineskip plus 0.1\baselineskip minus 0.1\baselineskip}}</w:t>
      </w:r>
    </w:p>
    <w:p>
      <w:r>
        <w:t>\bibliographystyle{IEEEtran}</w:t>
      </w:r>
    </w:p>
    <w:p>
      <w:r>
        <w:t>\bibliography{IEEEabrv,mybibfile}</w:t>
      </w:r>
    </w:p>
    <w:p>
      <w:pPr>
        <w:pStyle w:val="Heading2"/>
      </w:pPr>
      <w:r>
        <w:t>D. 与交叉引用条目的配合使用（Use With Cross-referenced Entries）</w:t>
      </w:r>
    </w:p>
    <w:p>
      <w:r>
        <w:t>IEEE 参考文献通常不含引用其他参考文献的条目，因此 IEEEtran.bst 对使用交叉引用（crossref 字段）的条目不做特殊格式化，但允许其以标准 BibTeX 方式静默继承对应交叉引用条目中缺失的字段。注意：若使用交叉引用的引用数 ≥ "min-crossrefs"（多数系统默认值为 2），BibTeX 会自动、且无警告地将交叉引用条目添加到参考文献末尾。由于此类额外条目在 IEEE 样式中不需要，调用 BibTeX 时须将 min-crossrefs 设为一个大值：</w:t>
      </w:r>
    </w:p>
    <w:p>
      <w:r>
        <w:t>bibtex -min-crossrefs=900 myfile</w:t>
      </w:r>
    </w:p>
    <w:p>
      <w:r>
        <w:t>由于交叉引用条目必须始终出现在引用它们的条目之后，建议将交叉引用条目放在单独的 (.bib) 文件中，以便在其他数据库文件之后加载：</w:t>
      </w:r>
    </w:p>
    <w:p>
      <w:r>
        <w:t>\bibliography{IEEEabrv,mybibfile,myxrefbibs}</w:t>
      </w:r>
    </w:p>
    <w:p>
      <w:pPr>
        <w:pStyle w:val="Heading2"/>
      </w:pPr>
      <w:r>
        <w:t>IV. 三种最常用条目类型示例（EXAMPLES OF THE THREE MOST COMMONLY USED ENTRY TYPES）</w:t>
      </w:r>
    </w:p>
    <w:p>
      <w:r>
        <w:t>期刊文章、会议论文与书籍占大多数 IEEE 参考文献的绝大部分。以下简要展示每种常见条目类型的简单示例。</w:t>
      </w:r>
    </w:p>
    <w:p>
      <w:r>
        <w:t>典型期刊文章条目（显示为 [15]）：</w:t>
      </w:r>
    </w:p>
    <w:p>
      <w:r>
        <w:t>@article{IEEEexample:article_typical,</w:t>
        <w:br/>
        <w:t xml:space="preserve">  author = "S. Zhang and C. Zhu and J. K. O. Sin and P. K. T. Mok",</w:t>
        <w:br/>
        <w:t xml:space="preserve">  title = "A Novel Ultrathin Elevated Channel Low-temperature Poly-{Si} {TFT}",</w:t>
        <w:br/>
        <w:t xml:space="preserve">  journal = IEEE_J_EDL,</w:t>
        <w:br/>
        <w:t xml:space="preserve">  volume = "20",</w:t>
        <w:br/>
        <w:t xml:space="preserve">  month = nov,</w:t>
        <w:br/>
        <w:t xml:space="preserve">  year = "1999",</w:t>
        <w:br/>
        <w:t xml:space="preserve">  pages = "569-571"</w:t>
        <w:br/>
        <w:t>}</w:t>
      </w:r>
    </w:p>
    <w:p>
      <w:r>
        <w:t>使用仅由该数据库文件使用的条目键前缀（上例中的 "IEEEexample"）可确保即使同时使用多个数据库文件，条目键仍唯一。尽管这里用首字母缩写名，仍鼓励在已知全名时使用全名，因为 IEEEtran.bst 会按需自动缩写。同样，最好提供所有作者名，而非用 "and others" 得到 "et al." [16]。标题中的大括号用于保留缩写词大写；期刊名以 IEEEabrv.bib 中定义的字符串形式输入，便于在需要时切换为全称；月份以标准三字母代码（jan, feb, …, dec）输入，由 .bst 文件中的宏自动控制格式。一般建议也提供期刊期号（number），但许多 IEEE 出版物不显示期号。</w:t>
      </w:r>
    </w:p>
    <w:p>
      <w:r>
        <w:t>典型会议论文集条目（显示为 [17]）：</w:t>
      </w:r>
    </w:p>
    <w:p>
      <w:r>
        <w:t>@inproceedings{IEEEexample:conf_typical,</w:t>
        <w:br/>
        <w:t xml:space="preserve">  author = "R. K. Gupta and S. D. Senturia",</w:t>
        <w:br/>
        <w:t xml:space="preserve">  title = "Pull-in Time Dynamics as a Measure of Absolute Pressure",</w:t>
        <w:br/>
        <w:t xml:space="preserve">  booktitle = "Proc. {IEEE} International Workshop on Microelectromechanical Systems ({MEMS}'97)",</w:t>
        <w:br/>
        <w:t xml:space="preserve">  address = "Nagoya, Japan",</w:t>
        <w:br/>
        <w:t xml:space="preserve">  month = jan,</w:t>
        <w:br/>
        <w:t xml:space="preserve">  year = "1997",</w:t>
        <w:br/>
        <w:t xml:space="preserve">  pages = "290-294"</w:t>
        <w:br/>
        <w:t>}</w:t>
      </w:r>
    </w:p>
    <w:p>
      <w:r>
        <w:t>IEEE 通常在会议名前加 "Proc."（构成 booktitle 字段），但 IEEEtran.bst 不会自动执行此操作，因为它未必适用于每个会议。conference 条目类型也作为 inproceedings 的别名，二者功能无差别。</w:t>
      </w:r>
    </w:p>
    <w:p>
      <w:r>
        <w:t>典型书籍条目（显示为 [18]）：</w:t>
      </w:r>
    </w:p>
    <w:p>
      <w:r>
        <w:t>@book{IEEEexample:book_typical,</w:t>
        <w:br/>
        <w:t xml:space="preserve">  author = "B. D. Cullity",</w:t>
        <w:br/>
        <w:t xml:space="preserve">  title = "Introduction to Magnetic Materials",</w:t>
        <w:br/>
        <w:t xml:space="preserve">  publisher = "Addison-Wesley",</w:t>
        <w:br/>
        <w:t xml:space="preserve">  address = "Reading, MA",</w:t>
        <w:br/>
        <w:t xml:space="preserve">  year = "1972"</w:t>
        <w:br/>
        <w:t>}</w:t>
      </w:r>
    </w:p>
    <w:p>
      <w:r>
        <w:t>IEEE 参考文献的一个不寻常之处是：格式化条目时，出版者地址前加句点与大于正常的间距。</w:t>
      </w:r>
    </w:p>
    <w:p>
      <w:pPr>
        <w:pStyle w:val="Heading2"/>
      </w:pPr>
      <w:r>
        <w:t>V. 支持的条目类型（SUPPORTED ENTRY TYPES）</w:t>
      </w:r>
    </w:p>
    <w:p>
      <w:r>
        <w:t>各条目类型识别的字段在下面各小节开头列出。粗体表示必填字段，斜体表示可能为给定条目类型标准 BibTeX 样式所不支持的扩展字段。实际 BibTeX 条目见 IEEEexample.bib 文件。</w:t>
      </w:r>
    </w:p>
    <w:p>
      <w:pPr>
        <w:pStyle w:val="Heading2"/>
      </w:pPr>
      <w:r>
        <w:t>A. Article（期刊文章）</w:t>
      </w:r>
    </w:p>
    <w:p>
      <w:r>
        <w:t>支持字段：author, title, language, journal, volume, number, pages, month, year, note, url。非 IEEE 出版的期刊，IEEEabrv.bib 中可能没有所需字符串定义，此时须自建补充字符串定义文件，或直接将缩写刊名填入 journal 字段。IEEE 用细小间距把五位及以上的页码等数字每三位一组分隔。可在 month 字段用 BibTeX 连接运算符 "#" 加入日期等附加信息，如 month = sep # "/" # oct。</w:t>
      </w:r>
    </w:p>
    <w:p>
      <w:pPr>
        <w:pStyle w:val="Heading2"/>
      </w:pPr>
      <w:r>
        <w:t>B. Book（书籍）</w:t>
      </w:r>
    </w:p>
    <w:p>
      <w:r>
        <w:t>支持字段：author 和 / 或 editor, title, language, edition, series, address, publisher, month, year, volume, number, note, url。书籍可有作者 [18]、编辑 [23] 或二者皆有 [24]（标准 BibTeX 不支持同时有 author 与 editor，但 IEEEtran.bst 支持）。版次以大写序数词输入（如 edition = "Second"），IEEEtran.bst 可自动将第十版以内转换为 IEEE 使用的「阿拉伯序数」形式（如 "2nd"）；超过第十版建议直接输入「阿拉伯序数」形式（如 "101st"）。书籍可属于某个系列并有卷或期号 [25]。</w:t>
      </w:r>
    </w:p>
    <w:p>
      <w:pPr>
        <w:pStyle w:val="Heading2"/>
      </w:pPr>
      <w:r>
        <w:t>C. Inbook（书内章节）</w:t>
      </w:r>
    </w:p>
    <w:p>
      <w:r>
        <w:t>支持字段：author 和 / 或 editor, title, language, edition, series, address, publisher, month, year, volume, number, chapter, type, pages, note, url。用于引用书的某一部分，如某一章 [26] 或某些页 [27]。type 字段可覆盖 "chapter"（IEEE 缩写为 "ch."），例如 type = "sec."（用于节等）。</w:t>
      </w:r>
    </w:p>
    <w:p>
      <w:pPr>
        <w:pStyle w:val="Heading2"/>
      </w:pPr>
      <w:r>
        <w:t>D. Incollection（文集中的文章）</w:t>
      </w:r>
    </w:p>
    <w:p>
      <w:r>
        <w:t>支持字段：author, title, booktitle, language, edition, series, editor, address, publisher, month, year, volume, number, chapter, type, pages, note, url。用于引用有独立标题的书的一部分 [28]。与 book 类似，支持 series [29]、chapter 与 pages 字段 [30]。IEEE 有时把由多篇会议文章汇编而成的书当作 incollection 处理 [31]；此时 incollection 与 inproceedings 差别很小——一个明显标志是 incollection 的卷号出现在日期之后，而 inproceedings 在日期之前。为此 IEEEtran.bst 不要求 incollection 有 publisher 字段。</w:t>
      </w:r>
    </w:p>
    <w:p>
      <w:pPr>
        <w:pStyle w:val="Heading2"/>
      </w:pPr>
      <w:r>
        <w:t>E. Booklet（小册子）</w:t>
      </w:r>
    </w:p>
    <w:p>
      <w:r>
        <w:t>支持字段：author, title, language, howpublished, organization, address, month, year, note, url。用于非正式出版的印刷装订作品。IEEEtran.bst 将 booklet 标题格式化为文章样式（而非手册或书籍样式）。与 unpublished 的主要区别是前者经由某种方式发行过。IEEE 参考文献中很少使用。</w:t>
      </w:r>
    </w:p>
    <w:p>
      <w:pPr>
        <w:pStyle w:val="Heading2"/>
      </w:pPr>
      <w:r>
        <w:t>F. Manual（技术手册）</w:t>
      </w:r>
    </w:p>
    <w:p>
      <w:r>
        <w:t>支持字段：author, title, language, edition, howpublished, organization, address, month, year, note, url。技术文档用 manual 条目类型 [32]。注意示例将数据手册部件号放在标题处，更恰当的做法可能是放入 howpublished 字段 [33]，但其他 BibTeX 样式可能不支持 manual 的 howpublished 字段。</w:t>
      </w:r>
    </w:p>
    <w:p>
      <w:pPr>
        <w:pStyle w:val="Heading2"/>
      </w:pPr>
      <w:r>
        <w:t>G. Inproceedings / Conference（会议论文）</w:t>
      </w:r>
    </w:p>
    <w:p>
      <w:r>
        <w:t>支持字段：author, title, intype, booktitle, language, series, editor, volume, number, organization, address, publisher, month, year, paper, type, pages, note, url。会议论文集里的论文用 inproceedings 或 conference 处理，二者功能相同、可互换。可用 "#" 运算符把会议日期加入 month [34]，如 month = dec # " 5--9,"。volume 与 number 字段也支持 [35]，但 IEEE 把它们放在日期之前。IEEEtran.bst 支持非标准的 paper 字段用于论文编号 [36]，如 paper = "11.3.4"；type 字段可覆盖默认论文类型（"paper"）[37]，如 type = "postdeadline paper"。intype 字段（非标准扩展）可覆盖引用中的 "in" 一词 [38]，如 intype = "presented at the"。</w:t>
      </w:r>
    </w:p>
    <w:p>
      <w:pPr>
        <w:pStyle w:val="Heading2"/>
      </w:pPr>
      <w:r>
        <w:t>H. Proceedings（会议录）</w:t>
      </w:r>
    </w:p>
    <w:p>
      <w:r>
        <w:t>支持字段：editor, title, language, series, volume, number, organization, address, publisher, month, year, note, url。很少需要引用整本会议录，必要时可用 proceedings 条目类型。</w:t>
      </w:r>
    </w:p>
    <w:p>
      <w:pPr>
        <w:pStyle w:val="Heading2"/>
      </w:pPr>
      <w:r>
        <w:t>I. Mastersthesis（硕士 / 小论文）</w:t>
      </w:r>
    </w:p>
    <w:p>
      <w:r>
        <w:t>支持字段：author, title, language, type, school, address, month, year, note, url。可用 mastersthesis 处理 [39]；可选的 type 字段可覆盖 "Master’s thesis" [40]，如 type = "M. Eng. thesis"。</w:t>
      </w:r>
    </w:p>
    <w:p>
      <w:pPr>
        <w:pStyle w:val="Heading2"/>
      </w:pPr>
      <w:r>
        <w:t>J. Phdthesis（博士论文）</w:t>
      </w:r>
    </w:p>
    <w:p>
      <w:r>
        <w:t>支持字段：author, title, language, type, school, address, month, year, note, url。用于博士学位论文（major theses）[41]；与 mastersthesis 类似，type 字段可覆盖默认称谓。</w:t>
      </w:r>
    </w:p>
    <w:p>
      <w:pPr>
        <w:pStyle w:val="Heading2"/>
      </w:pPr>
      <w:r>
        <w:t>K. Techreport（技术报告）</w:t>
      </w:r>
    </w:p>
    <w:p>
      <w:r>
        <w:t>支持字段：author, title, language, howpublished, institution, address, number, type, month, year, note, url。用于技术报告 [42]；可选的 type 字段可覆盖默认 "Tech. Rep." [43][44]。该类型也适用于关于标准（完整和 / 或提案标准用 standard 类型）及其变更的报告 [45]。注意某些 IEEE 期刊不缩写任务组名（如 "TGe" 与 "Task Group E"）。</w:t>
      </w:r>
    </w:p>
    <w:p>
      <w:pPr>
        <w:pStyle w:val="Heading2"/>
      </w:pPr>
      <w:r>
        <w:t>L. Unpublished（未出版）</w:t>
      </w:r>
    </w:p>
    <w:p>
      <w:r>
        <w:t>支持字段：author, title, language, month, year, note, url。用于尚未正式出版的文档。IEEE 通常只在必填的 note 字段用 "unpublished" [46]。</w:t>
      </w:r>
    </w:p>
    <w:p>
      <w:pPr>
        <w:pStyle w:val="Heading2"/>
      </w:pPr>
      <w:r>
        <w:t>M. Electronic（电子资源，IEEEtran.bst 扩展）</w:t>
      </w:r>
    </w:p>
    <w:p>
      <w:r>
        <w:t>支持字段：author, month, year, title, language, howpublished, organization, address, note, url。用于互联网引用 [47][48]。为兼容某些现有数据库与样式文件，IEEEtran.bst 还提供别名 "online"、"internet"、"webpage"、"www"；但新工作应使用 "electronic"（或配合 Philipp Lehman 的 biblatex [49] 用 "online"）。IEEE 对电子引用的格式化不同：不使用斜体或引号，字段间用句号而非逗号分隔，日期置于括号内且更靠近标题。可充分利用 howpublished 字段描述条目形式或类别。organization 与 address 字段也可使用 [50]。</w:t>
      </w:r>
    </w:p>
    <w:p>
      <w:pPr>
        <w:pStyle w:val="Heading2"/>
      </w:pPr>
      <w:r>
        <w:t>N. Patent（专利，IEEEtran.bst 扩展）</w:t>
      </w:r>
    </w:p>
    <w:p>
      <w:r>
        <w:t>支持字段：author, title, language, assignee, address, nationality, type, number, day, dayfiled, month, monthfiled, year 或 yearfiled, note, url。nationality 字段用于处理不同国家的专利 [51][52]，如 nationality = "United States" 或 "Japanese"。除美国外，专利国籍词通常与发证国名不同；美国专利可输入 "U.S." 或 "United States"，IEEEtran.bst 会自动把后者转换为 "U.S."。assignee 与 address（受让人地址）字段 IEEE 不使用，但应提供恰当值，因为其他 BibTeX 样式可能使用。type 字段可覆盖 "patent" 描述 [53]，如 type = "Patent Request"。为同时支持专利与专利申请，提供两组日期字段：一组对应授权日（day, month, year），一组对应申请日（dayfiled, monthfiled, yearfiled）；若 year 字段存在则用授权日那组，否则用申请日那组。</w:t>
      </w:r>
    </w:p>
    <w:p>
      <w:pPr>
        <w:pStyle w:val="Heading2"/>
      </w:pPr>
      <w:r>
        <w:t>O. Periodical（期刊 / 杂志，IEEEtran.bst 扩展）</w:t>
      </w:r>
    </w:p>
    <w:p>
      <w:r>
        <w:t>支持字段：editor, title, language, series, volume, number, organization, month, year, note, url。用于期刊与杂志 [54]。</w:t>
      </w:r>
    </w:p>
    <w:p>
      <w:pPr>
        <w:pStyle w:val="Heading2"/>
      </w:pPr>
      <w:r>
        <w:t>P. Standard（标准，IEEEtran.bst 扩展）</w:t>
      </w:r>
    </w:p>
    <w:p>
      <w:r>
        <w:t>支持字段：author, title, language, howpublished, organization 或 institution, type, number, revision, address, month, year, note, url。用于提案或正式发布的标准 [55]；发证实体名可用 organization 或 institution 字段。IEEE（因而 IEEEtran.bst）不显示发证组织 / 机构的地址，但应提供该信息，因为其他 BibTeX 样式可能需要。type 字段可覆盖默认 "std."，可选的 revision 字段可提供修订号 [56]，如 revision = "5.2"。也可配合 misc 类型的 howpublished 字段创建标准引用 [57]。</w:t>
      </w:r>
    </w:p>
    <w:p>
      <w:pPr>
        <w:pStyle w:val="Heading2"/>
      </w:pPr>
      <w:r>
        <w:t>Q. Misc（杂项）</w:t>
      </w:r>
    </w:p>
    <w:p>
      <w:r>
        <w:t>支持字段：author, title, language, howpublished, organization, address, pages, month, year, note, url。Misc 是最灵活的类型，当其他类型都不适用时使用。howpublished 字段可描述引用究竟是什么（或以何种形式出现）。与标准样式不同，IEEEtran.bst 还支持 organization、address 与 pages 字段。可能用途包括缺少机构的类技术报告 [58]、白皮书 [59] 与数据手册 [60]。</w:t>
      </w:r>
    </w:p>
    <w:p>
      <w:pPr>
        <w:pStyle w:val="Heading2"/>
      </w:pPr>
      <w:r>
        <w:t>VI. 特殊类型的参考文献（UNUSUAL TYPES OF REFERENCES）</w:t>
      </w:r>
    </w:p>
    <w:p>
      <w:pPr>
        <w:pStyle w:val="ListBullet"/>
      </w:pPr>
      <w:r>
        <w:t>A. 私人通信（Private Communication）：可用 misc 类型加 note 注明 "private communication" 或 "personal correspondence" 等 [61]。</w:t>
      </w:r>
    </w:p>
    <w:p>
      <w:pPr>
        <w:pStyle w:val="ListBullet"/>
      </w:pPr>
      <w:r>
        <w:t>B. 软件包（Software Packages）：因软件无形，建议引用用户手册 [62]；主要在线分发的软件可用 electronic 类型 [63]；最后可用 misc 类型。</w:t>
      </w:r>
    </w:p>
    <w:p>
      <w:pPr>
        <w:pStyle w:val="ListBullet"/>
      </w:pPr>
      <w:r>
        <w:t>C. 法律法规（Laws and Regulations）：最好用 misc [64]，howpublished 放法规号 / 描述，organization 放发布机构；示例还用了 language 字段（因其为德文）。</w:t>
      </w:r>
    </w:p>
    <w:p>
      <w:pPr>
        <w:pStyle w:val="ListBullet"/>
      </w:pPr>
      <w:r>
        <w:t>D. 互联网 RFC 文档：通常用 misc [65]，howpublished 放 RFC 号，最好提供 URL；也可用 electronic 类型，但可移植性较差。</w:t>
      </w:r>
    </w:p>
    <w:p>
      <w:pPr>
        <w:pStyle w:val="ListBullet"/>
      </w:pPr>
      <w:r>
        <w:t>E. 其他引用：无法归类时选最接近的；失败则退回 misc。文中以 [66] 为例说明判断引用类型的重要性——它看似期刊文章，实为丛书的一册，最终用 standard 类型 [69] 或 manual 类型 [68] 更合适。</w:t>
      </w:r>
    </w:p>
    <w:p>
      <w:pPr>
        <w:pStyle w:val="Heading2"/>
      </w:pPr>
      <w:r>
        <w:t>VII. IEEEtran.bst 控制条目类型（THE IEEEtran.bst CONTROL ENTRY TYPE）</w:t>
      </w:r>
    </w:p>
    <w:p>
      <w:r>
        <w:t>IEEEtran.bst 提供一个特殊条目类型，可在外部控制参考文献样式的某些方面，以便：(1) 补偿各 IEEE 期刊典型样式中的微小差异；(2) 在 IEEE 标准范围内微调所生成参考文献以更合作者口味；(3) 为非 IEEE 相关工作（如学位论文）提供有限的变更手段。IEEEtran.bst 并非通用样式，超出此处描述的更改不在其设计范围；注意某些控制的更改可能导致不再符合 IEEE 样式。</w:t>
      </w:r>
    </w:p>
    <w:p>
      <w:r>
        <w:t>要访问这些控制，用户须在一个数据库 (.bib) 文件中创建 "IEEEtranBSTCTL" 条目：</w:t>
      </w:r>
    </w:p>
    <w:p>
      <w:r>
        <w:t>@IEEEtranBSTCTL{IEEEexample:BSTcontrol,</w:t>
        <w:br/>
        <w:t xml:space="preserve">  CTLuse_article_number = "yes",</w:t>
        <w:br/>
        <w:t xml:space="preserve">  CTLuse_paper = "yes",</w:t>
        <w:br/>
        <w:t xml:space="preserve">  CTLuse_url = "yes",</w:t>
        <w:br/>
        <w:t xml:space="preserve">  CTLuse_forced_etal = "no",</w:t>
        <w:br/>
        <w:t xml:space="preserve">  CTLmax_names_forced_etal = "10",</w:t>
        <w:br/>
        <w:t xml:space="preserve">  CTLnames_show_etal = "1",</w:t>
        <w:br/>
        <w:t xml:space="preserve">  CTLuse_alt_spacing = "yes",</w:t>
        <w:br/>
        <w:t xml:space="preserve">  CTLalt_stretch_factor = "4",</w:t>
        <w:br/>
        <w:t xml:space="preserve">  CTLdash_repeated_names = "yes",</w:t>
        <w:br/>
        <w:t xml:space="preserve">  CTLname_format_string = "{f.~}{vv~}{ll}{, jj}",</w:t>
        <w:br/>
        <w:t xml:space="preserve">  CTLname_latex_cmd = "",</w:t>
        <w:br/>
        <w:t xml:space="preserve">  CTLname_url_prefix = "[Online]. Available:"</w:t>
        <w:br/>
        <w:t>}</w:t>
      </w:r>
    </w:p>
    <w:p>
      <w:r>
        <w:t>上述示例显示了所有可用控制字段及其默认值，只需列出需要更改的字段。通过在用户的 .tex 文件中用 \bstctlcite 命令（\nocite 的修改版）引用该控制条目来激活更改：\bstctlcite{IEEEexample:BSTcontrol}。该命令由 IEEEtran.cls 及 IEEEtrantools.sty 包提供；使用其他类或包的用户须在文档导言区手动定义。\bstctlcite 是静默的——不会向参考文献添加任何条目，也不影响编号，不会在正文放置引用号。使用有两个主要限制：1) 对不排序样式须放在其要影响的条目之前（建议放在 \begin{document} 之后）；2) 操作是「一次性的」，同一控制条目不能重复使用，但可调用使用不同键名的另一控制条目。</w:t>
      </w:r>
    </w:p>
    <w:p>
      <w:pPr>
        <w:pStyle w:val="Heading2"/>
      </w:pPr>
      <w:r>
        <w:t>A. BST 控制条目字段（BST Control Entry Fields）</w:t>
      </w:r>
    </w:p>
    <w:p>
      <w:pPr>
        <w:pStyle w:val="ListBullet"/>
      </w:pPr>
      <w:r>
        <w:t>CTLuse_article_number："no" 关闭文章的 number 字段显示；"yes" 启用。默认 "yes"。</w:t>
      </w:r>
    </w:p>
    <w:p>
      <w:pPr>
        <w:pStyle w:val="ListBullet"/>
      </w:pPr>
      <w:r>
        <w:t>CTLuse_paper："no" 关闭 inproceedings 的 paper 与 type 字段显示；默认 "yes"。</w:t>
      </w:r>
    </w:p>
    <w:p>
      <w:pPr>
        <w:pStyle w:val="ListBullet"/>
      </w:pPr>
      <w:r>
        <w:t>CTLuse_url：控制 URL 的显示；默认 "yes"。</w:t>
      </w:r>
    </w:p>
    <w:p>
      <w:pPr>
        <w:pStyle w:val="ListBullet"/>
      </w:pPr>
      <w:r>
        <w:t>CTLuse_forced_etal："yes" 启用在作者数超过上限时自动截断并强制 "et al."；默认 "no"。</w:t>
      </w:r>
    </w:p>
    <w:p>
      <w:pPr>
        <w:pStyle w:val="ListBullet"/>
      </w:pPr>
      <w:r>
        <w:t>CTLmax_names_forced_etal：强制 "et al." 前可出现的名字最大数量；默认 10。</w:t>
      </w:r>
    </w:p>
    <w:p>
      <w:pPr>
        <w:pStyle w:val="ListBullet"/>
      </w:pPr>
      <w:r>
        <w:t>CTLnames_show_etal：强制 "et al." 时显示的名字数，须 ≤ CTLmax_names_forced_etal；默认 1。</w:t>
      </w:r>
    </w:p>
    <w:p>
      <w:pPr>
        <w:pStyle w:val="ListBullet"/>
      </w:pPr>
      <w:r>
        <w:t>CTLuse_alt_spacing："no" 关闭含 URL 条目的替代词间距；默认 "yes"。若关闭 URL 显示则不使用。</w:t>
      </w:r>
    </w:p>
    <w:p>
      <w:pPr>
        <w:pStyle w:val="ListBullet"/>
      </w:pPr>
      <w:r>
        <w:t>CTLalt_stretch_factor：含 URL 条目启用替代间距时的拉伸因子（默认 4，可非整数）。</w:t>
      </w:r>
    </w:p>
    <w:p>
      <w:pPr>
        <w:pStyle w:val="ListBullet"/>
      </w:pPr>
      <w:r>
        <w:t>CTLdash_repeated_names："no" 关闭对与前一条目同名者用破折号代替 [67]；默认 "yes"（IEEE 通常如此）。</w:t>
      </w:r>
    </w:p>
    <w:p>
      <w:pPr>
        <w:pStyle w:val="ListBullet"/>
      </w:pPr>
      <w:r>
        <w:t>CTLname_format_string：控制作者 / 编辑名字格式的名称格式字符串；默认 "{f.~}{vv~}{ll}{, jj}"。提交 IEEE 时不要改。</w:t>
      </w:r>
    </w:p>
    <w:p>
      <w:pPr>
        <w:pStyle w:val="ListBullet"/>
      </w:pPr>
      <w:r>
        <w:t>CTLname_latex_cmd：若非空，指定一个接收单参数的 LaTeX 命令，用于处理每条目中所有作者 / 编辑名（如 "\textsc" 会生成小型大写）。IEEE 不对名字用不同字体，提交 IEEE 时不要使用。默认空。</w:t>
      </w:r>
    </w:p>
    <w:p>
      <w:pPr>
        <w:pStyle w:val="ListBullet"/>
      </w:pPr>
      <w:r>
        <w:t>CTLname_url_prefix：URL 前的后缀文本；默认 "[Online]. Available:"（之后自动插入空格）。提交 IEEE 时不要改。</w:t>
      </w:r>
    </w:p>
    <w:p>
      <w:pPr>
        <w:pStyle w:val="Heading2"/>
      </w:pPr>
      <w:r>
        <w:t>致谢（ACKNOWLEDGMENT）</w:t>
      </w:r>
    </w:p>
    <w:p>
      <w:r>
        <w:t>作者感谢 IEEE 的 Laura Hyslop、Ken Rawson、Kevin Lisankie 与 Mona Mittra 在获取 IEEE 期刊与杂志名称及缩写定义方面的帮助；也感谢 Patrick W. Daly（makebst 包，部分算法借鉴自此）、Howard Trickey、Oren Patashnik、Silvano Balemi、Richard H. Roy（早期 IEEE BibTeX 样式）以及 Javier Bezos（language 字段实现的建议）；Oren 还审阅了 beta 版并提出诸多改进建议。</w:t>
      </w:r>
    </w:p>
    <w:p>
      <w:pPr>
        <w:pStyle w:val="Heading2"/>
      </w:pPr>
      <w:r>
        <w:t>参考文献（REFERENCES，示例条目 [1]–[71]）</w:t>
      </w:r>
    </w:p>
    <w:p>
      <w:r>
        <w:t>以下为原文中按 IEEE 格式排版的示例参考文献条目（英文原文，保留原样，供学习 IEEE 参考文献格式参考）：</w:t>
      </w:r>
    </w:p>
    <w:p>
      <w:r>
        <w:t>[1] M. Shell. (2015) IEEEtran webpage on CTAN. [Online]. Available: http://www.ctan.org/pkg/ieeetran</w:t>
      </w:r>
    </w:p>
    <w:p>
      <w:r>
        <w:t>[2] (2015) The IEEE website. [Online]. Available: http://www.ieee.org/</w:t>
      </w:r>
    </w:p>
    <w:p>
      <w:r>
        <w:t>[3] M. Shell. (2015) IEEEtran homepage. [Online]. Available: http://www.michaelshell.org/tex/ieeetran/</w:t>
      </w:r>
    </w:p>
    <w:p>
      <w:r>
        <w:t>[4] O. Patashnik. (2010, Nov.) BIBTEXing. btxdoc.pdf. [Online]. Available: http://www.ctan.org/pkg/bibtex</w:t>
      </w:r>
    </w:p>
    <w:p>
      <w:r>
        <w:t>[5] N. Markey. (2009, Oct.) Tame the beast — the b to x of BIBTEX. [Online]. Available: http://www.ctan.org/pkg/tamethebeast</w:t>
      </w:r>
    </w:p>
    <w:p>
      <w:r>
        <w:t>[6] D. Hoadley and M. Shell. (2007, Jan.) BIBTEX tips and FAQ. btxFAQ.pdf. [Online]. Available: http://mirror.ctan.org/biblio/bibtex/contrib/doc/btxFAQ.pdf</w:t>
      </w:r>
    </w:p>
    <w:p>
      <w:r>
        <w:t>[7] R. Fairbairns. (2014, Jun.) The TEX FAQ. [Online]. Available: http://www.tex.ac.uk/</w:t>
      </w:r>
    </w:p>
    <w:p>
      <w:r>
        <w:t>[8] K.-J. Kim. (2005, Nov.) A BIBTEX guide via examples. bibtex_guide.pdf. [Online]. Available: http://www.geocities.ws/kijoo2000/</w:t>
      </w:r>
    </w:p>
    <w:p>
      <w:r>
        <w:t>[9] N. H. F. Beebe. (2010, Dec.) TEX user group bibliography archive. [Online]. Available: http://www.math.utah.edu/pub/tex/bib/index-table.html</w:t>
      </w:r>
    </w:p>
    <w:p>
      <w:r>
        <w:t>[10] P. W. Daly and A. Ogawa. (2010, Sep.) The natbib package. [Online]. Available: http://www.ctan.org/pkg/natbib</w:t>
      </w:r>
    </w:p>
    <w:p>
      <w:r>
        <w:t>[11] D. Arseneau. (2013, Dec.) The url package. [Online]. Available: http://www.ctan.org/pkg/url</w:t>
      </w:r>
    </w:p>
    <w:p>
      <w:r>
        <w:t>[12] S. Rahtz and H. Oberdiek. (2012, Nov.) The hyperref package. [Online]. Available: http://www.ctan.org/pkg/hyperref</w:t>
      </w:r>
    </w:p>
    <w:p>
      <w:r>
        <w:t>[13] V. da Camara Neto. (2013, Apr.) The breakurl package. [Online]. Available: http://www.ctan.org/pkg/breakurl</w:t>
      </w:r>
    </w:p>
    <w:p>
      <w:r>
        <w:t>[14] J. L. Braams and J. Bezos. (2014, Sep.) The Babel package. [Online]. Available: http://www.ctan.org/pkg/babel</w:t>
      </w:r>
    </w:p>
    <w:p>
      <w:r>
        <w:t>[15] S. Zhang, C. Zhu, J. K. O. Sin, and P. K. T. Mok, “A novel ultrathin elevated channel low-temperature poly-Si TFT,” IEEE Electron Device Lett., vol. 20, pp. 569–571, Nov. 1999.</w:t>
      </w:r>
    </w:p>
    <w:p>
      <w:r>
        <w:t>[16] F. Delorme et al., “Butt-jointed DBR laser with 15 nm tunability grown in three MOVPE steps,” Electron. Lett., vol. 31, no. 15, pp. 1244–1245, 1995.</w:t>
      </w:r>
    </w:p>
    <w:p>
      <w:r>
        <w:t>[17] R. K. Gupta and S. D. Senturia, “Pull-in time dynamics as a measure of absolute pressure,” in Proc. IEEE International Workshop on Microelectromechanical Systems (MEMS’97), Nagoya, Japan, Jan. 1997, pp. 290–294.</w:t>
      </w:r>
    </w:p>
    <w:p>
      <w:r>
        <w:t>[18] B. D. Cullity, Introduction to Magnetic Materials. Reading, MA: Addison-Wesley, 1972.</w:t>
      </w:r>
    </w:p>
    <w:p>
      <w:r>
        <w:t>[19] A. Castaldini, A. Cavallini, B. Fraboni, P. Fernandez, and J. Piqueras, “Midgap traps related to compensation processes in CdTe alloys,” Phys. Rev. B., vol. 56, no. 23, pp. 14 897–14 900, 1997.</w:t>
      </w:r>
    </w:p>
    <w:p>
      <w:r>
        <w:t>[20] Y. Okada, K. Dejima, and T. Ohishi, “Analysis and comparison of PM synchronous motor and induction motor type magnetic bearings,” IEEE Trans. Ind. Appl., vol. 31, pp. 1047–1053, Sep./Oct. 1995.</w:t>
      </w:r>
    </w:p>
    <w:p>
      <w:r>
        <w:t>[21] M. Coates, A. Hero, R. Nowak, and B. Yu, “Internet tomography,” IEEE Signal Process. Mag., May 2002, to be published.</w:t>
      </w:r>
    </w:p>
    <w:p>
      <w:r>
        <w:t>[22] N. Kahale and R. Urbanke, “On the minimum distance of parallel and serially concatenated codes,” IEEE Trans. Inf. Theory, submitted for publication.</w:t>
      </w:r>
    </w:p>
    <w:p>
      <w:r>
        <w:t>[23] J. C. Candy and G. C. Temes, Eds., Oversampling Delta-Sigma Data Converters Theory, Design and Simulation. New York: IEEE Press, 1992.</w:t>
      </w:r>
    </w:p>
    <w:p>
      <w:r>
        <w:t>[24] S. M. Metev and V. P. Veiko, Laser Assisted Microtechnology, 2nd ed., R. M. Osgood, Jr., Ed. Berlin, Germany: Springer-Verlag, 1998.</w:t>
      </w:r>
    </w:p>
    <w:p>
      <w:r>
        <w:t>[25] J. Breckling, Ed., The Analysis of Directional Time Series: Applications to Wind Speed and Direction, ser. Lecture Notes in Statistics. Berlin, Germany: Springer, 1989, vol. 61.</w:t>
      </w:r>
    </w:p>
    <w:p>
      <w:r>
        <w:t>[26] H. E. Rose, A Course in Number Theory. New York, NY: Oxford Univ. Press, 1988, ch. 3.</w:t>
      </w:r>
    </w:p>
    <w:p>
      <w:r>
        <w:t>[27] B. K. Bul, Theory Principles and Design of Magnetic Circuits. Moscow: Energia Press, 1964, p. 464, (in Russian).</w:t>
      </w:r>
    </w:p>
    <w:p>
      <w:r>
        <w:t>[28] W. V. Sorin, “Optical reflectometry for component characterization,” in Fiber Optic Test and Measurement, D. Derickson, Ed. Englewood Cliffs, NJ: Prentice-Hall, 1998.</w:t>
      </w:r>
    </w:p>
    <w:p>
      <w:r>
        <w:t>[29] J. B. Anderson and K. Tepe, “Properties of the tailbiting BCJR decoder,” in Codes, Systems and Graphical Models, ser. IMA Volumes in Mathematics and Its Applications. New York: Springer-Verlag, 2000.</w:t>
      </w:r>
    </w:p>
    <w:p>
      <w:r>
        <w:t>[30] P. Hedelin, P. Knagenhjelm, and M. Skoglund, “Theory for transmission of vector quantization data,” in Speech Coding and Synthesis, W. B. Kleijn and K. K. Paliwal, Eds. Amsterdam, The Netherlands: Elsevier Science, 1995, ch. 10, pp. 347–396.</w:t>
      </w:r>
    </w:p>
    <w:p>
      <w:r>
        <w:t>[31] R. M. A. Dawson, Z. Shen, D. A. Furst, S. Connor, J. Hsu, M. G. Kane, R. G. Stewart, A. Ipri, C. N. King, P. J. Green, R. T. Flegal, S. Pearson, W. A. Barrow, E. Dickey, K. Ping, C. W. Tang, S. V. Slyke, F. Chen, J. Shi, J. C. Sturm, and M. H. Lu, “Design of an improved pixel for a polysilicon active-matrix organic LED display,” in SID Tech. Dig., 1998, vol. 29, pp. 11–14.</w:t>
      </w:r>
    </w:p>
    <w:p>
      <w:r>
        <w:t>[32] FLEXChip Signal Processor (MC68175/D), Motorola, 1996.</w:t>
      </w:r>
    </w:p>
    <w:p>
      <w:r>
        <w:t>[33] FLEXChip Signal Processor, MC68175/D, Motorola, 1996.</w:t>
      </w:r>
    </w:p>
    <w:p>
      <w:r>
        <w:t>[34] M. S. Yee and L. Hanzo, “Radial basis function decision feedback equaliser assisted burst-by-burst adaptive modulation,” in Proc. IEEE Globecom ’99, Rio de Janeiro, Brazil, Dec. 5–9, 1999, pp. 2183–2187.</w:t>
      </w:r>
    </w:p>
    <w:p>
      <w:r>
        <w:t>[35] M. Yajnik, S. B. Moon, J. Kurose, and D. Towsley, “Measurement and modeling of the temporal dependence in packet loss,” in Proc. IEEE INFOCOM’99, vol. 1, New York, NY, Mar. 1999, pp. 345–352.</w:t>
      </w:r>
    </w:p>
    <w:p>
      <w:r>
        <w:t>[36] M. Wegmuller, J. P. von der Weid, P. Oberson, and N. Gisin, “High resolution fiber distributed measurements with coherent OFDR,” inProc. ECOC’00, 2000, paper 11.3.4, p. 109.</w:t>
      </w:r>
    </w:p>
    <w:p>
      <w:r>
        <w:t>[37] B. Mikkelsen, G. Raybon, R.-J. Essiambre, K. Dreyer, Y. Su., L. E. Nelson, J. E. Johnson, G. Shtengel, A. Bond, D. G. Moodie, and A. D. Ellis, “160 Gbit/s single-channel transmission over 300 km nonzero-dispersion fiber with semiconductor based transmitter and demultiplexer,” in Proc. ECOC’99, 1999, postdeadline paper 2-3, pp. 28–29.</w:t>
      </w:r>
    </w:p>
    <w:p>
      <w:r>
        <w:t>[38] S. G. Finn, M. Médard, and R. A. Barry, “A novel approach to automatic protection switching using trees,” presented at the Proc. Int. Conf. Commun., 1997.</w:t>
      </w:r>
    </w:p>
    <w:p>
      <w:r>
        <w:t>[39] N. C. Loh, “High-resolution micromachined interferometric accelerometer,” Master’s thesis, Massachusetts Institute of Technology, Cambridge, 1992.</w:t>
      </w:r>
    </w:p>
    <w:p>
      <w:r>
        <w:t>[40] A. Karnik, “Performance of TCP congestion control with rate feedback: TCP/ABR and rate adaptive TCP/IP,” M. Eng. thesis, Indian Institute of Science, Bangalore, India, Jan. 1999.</w:t>
      </w:r>
    </w:p>
    <w:p>
      <w:r>
        <w:t>[41] Q. Li, “Delay characterization and performance control of wide-area networks,” Ph.D. dissertation, Univ. of Delaware, Newark, May 2000. [Online]. Available: http://www.ece.udel.edu/~qli</w:t>
      </w:r>
    </w:p>
    <w:p>
      <w:r>
        <w:t>[42] R. Jain, K. K. Ramakrishnan, and D. M. Chiu, “Congestion avoidance in computer networks with a connectionless network layer,” Digital Equipment Corporation, MA, Tech. Rep. DEC-TR-506, Aug. 1987.</w:t>
      </w:r>
    </w:p>
    <w:p>
      <w:r>
        <w:t>[43] J. Padhye, V. Firoiu, and D. Towsley, “A stochastic model of TCP Reno congestion avoidance and control,” Univ. of Massachusetts, Amherst, MA, CMPSCI Tech. Rep. 99-02, 1999.</w:t>
      </w:r>
    </w:p>
    <w:p>
      <w:r>
        <w:t>[44] D. Middleton and A. D. Spaulding, “A tutorial review of elements of weak signal detection in non-Gaussian EMI environments,” National Telecommunications and Information Administration (NTIA), U.S. Dept. of Commerce, NTIA Report 86-194, May 1986.</w:t>
      </w:r>
    </w:p>
    <w:p>
      <w:r>
        <w:t>[45] S. Kandala, “Changes to Annex D,” IEEE 802.11 TGe, Tech. Rep. 02/680r0, Oct. 2002.</w:t>
      </w:r>
    </w:p>
    <w:p>
      <w:r>
        <w:t>[46] T. J. Ott and N. Aggarwal, “TCP over ATM: ABR or UBR,” unpublished.</w:t>
      </w:r>
    </w:p>
    <w:p>
      <w:r>
        <w:t>[47] V. Jacobson. (1990, Apr.) Modified TCP congestion avoidance algorithm. end2end-interest mailing list. [Online]. Available: ftp://ftp.isi.edu/end2end/end2end-interest-1990.mail</w:t>
      </w:r>
    </w:p>
    <w:p>
      <w:r>
        <w:t>[48] V. Valloppillil and K. W. Ross. (1998) Cache array routing protocol v1.1. Internet draft. [Online]. Available: http://ds1.internic.net/internet-drafts/draft-vinod-carp-v1-03.txt</w:t>
      </w:r>
    </w:p>
    <w:p>
      <w:r>
        <w:t>[49] P. Lehman and P. Kime. (2015, Apr.) The biblatex package. [Online]. Available: http://www.ctan.org/pkg/biblatex</w:t>
      </w:r>
    </w:p>
    <w:p>
      <w:r>
        <w:t>[50] D. H. Lorenz and A. Orda. (1998, Jul.) Optimal partition of QoS requirements on unicast paths and multicast trees. Dept. Elect. Eng., Technion. Haifa, Israel. [Online]. Available: ftp://ftp.technion.ac.il/pub/supported/ee/Network/lor.mopq98.ps</w:t>
      </w:r>
    </w:p>
    <w:p>
      <w:r>
        <w:t>[51] R. E. Sorace, V. S. Reinhardt, and S. A. Vaughn, “High-speed digital-to-RF converter,” U.S. Patent 5 668 842, Sep. 16, 1997.</w:t>
      </w:r>
    </w:p>
    <w:p>
      <w:r>
        <w:t>[52] U. Hideki, “Quadrature modulation circuit,” Japanese Patent 152 932/92, May 20, 1992.</w:t>
      </w:r>
    </w:p>
    <w:p>
      <w:r>
        <w:t>[53] F. Kowalik and M. Isard, “Estimateur d’un défaut de fonctionnement d’un modulateur en quadrature et étage de modulation l’utilisant,” French Patent Request 9 500 261, Jan. 11, 1995.</w:t>
      </w:r>
    </w:p>
    <w:p>
      <w:r>
        <w:t>[54] IEEE Personal Commun. Mag., Special Issue on Wireless ATM, vol. 3, Aug. 1996.</w:t>
      </w:r>
    </w:p>
    <w:p>
      <w:r>
        <w:t>[55] Wireless LAN Medium Access Control (MAC) and Physical Layer (PHY) Specification, IEEE Std. 802.11, 1997.</w:t>
      </w:r>
    </w:p>
    <w:p>
      <w:r>
        <w:t>[56] Fiber Channel Physical Interface (FC-PI), NCITS Working Draft Proposed Standard, Rev. 5.2, 1999.</w:t>
      </w:r>
    </w:p>
    <w:p>
      <w:r>
        <w:t>[57] I. Widjaja and A. Elwalid, “MATE: MPLS adaptive traffic engineering,” IETF Draft, 1999.</w:t>
      </w:r>
    </w:p>
    <w:p>
      <w:r>
        <w:t>[58] L. Roberts, “Enhanced proportional rate control algorithm PRCA,” ATM Forum Contribution 94-0735R1, Aug. 1994.</w:t>
      </w:r>
    </w:p>
    <w:p>
      <w:r>
        <w:t>[59] “Advanced QoS services for the intelligent internet,” White Paper, Cisco, May 1997.</w:t>
      </w:r>
    </w:p>
    <w:p>
      <w:r>
        <w:t>[60] “PDCA12-70 data sheet,” Opto Speed SA, Mezzovico, Switzerland.</w:t>
      </w:r>
    </w:p>
    <w:p>
      <w:r>
        <w:t>[61] S. Konyagin, private communication, 1998.</w:t>
      </w:r>
    </w:p>
    <w:p>
      <w:r>
        <w:t>[62] SaberDesigner Reference Manual, Analogy, Inc., Beaverton, OR, 1998, release 4.3.</w:t>
      </w:r>
    </w:p>
    <w:p>
      <w:r>
        <w:t>[63] Ucb/lbnl/vint network simulator—ns (version 2). [Online]. Available: http://www-mash.cs.berkeley.edu/ns/</w:t>
      </w:r>
    </w:p>
    <w:p>
      <w:r>
        <w:t>[64] “Messung von Störfeldern an Anlagen und Leitungen der Telekommunikation im Frequenzbereich 9 kHz bis 3 GHz,” Meßvorschrift Reg TP MV 05, Regulierungsbehörde für Telekommunikation und Post (Reg TP).</w:t>
      </w:r>
    </w:p>
    <w:p>
      <w:r>
        <w:t>[65] K. K. Ramakrishnan and S. Floyd, “A proposal to add explicit congestion notification (ECN) to IP,” RFC 2481, Jan. 1999.</w:t>
      </w:r>
    </w:p>
    <w:p>
      <w:r>
        <w:t>[66] Consulative Committee for Space Data Systems (CCSDS), “Telemetry channel coding,” Blue Book, no. 4, 1999. [Online]. Available: http://www.ccsds.org/documents/pdf/CCSDS-101.0-B-4.pdf</w:t>
      </w:r>
    </w:p>
    <w:p>
      <w:r>
        <w:t>[67] ——, Telemetry Channel Coding, ser. Blue Book. Newport Beach, CA: CCSDS, 1999, no. 4. [Online]. Available: http://www.ccsds.org/documents/pdf/CCSDS-101.0-B-4.pdf</w:t>
      </w:r>
    </w:p>
    <w:p>
      <w:r>
        <w:t>[68] Telemetry Channel Coding, ser. Blue Book, No. 4, Consulative Committee for Space Data Systems (CCSDS), Newport Beach, CA, 1999. [Online]. Available: http://www.ccsds.org/documents/pdf/CCSDS-101.0-B-4.pdf</w:t>
      </w:r>
    </w:p>
    <w:p>
      <w:r>
        <w:t>[69] Telemetry Channel Coding, ser. Blue Book, No. 4, Consulative Committee for Space Data Systems (CCSDS) Recommendation for Space Data System Standard 101.0-B-4, May 1999. [Online]. Available: http://www.ccsds.org/documents/pdf/CCSDS-101.0-B-4.pdf</w:t>
      </w:r>
    </w:p>
    <w:p>
      <w:r>
        <w:t>[70] T. Hansen. (2008, Dec.) The multibib package. [Online]. Available: http://www.ctan.org/pkg/multibib</w:t>
      </w:r>
    </w:p>
    <w:p>
      <w:r>
        <w:t>[71] O. Patashnik. (2010, Nov.) Designing BIBTEX styles. btxhak.pdf. [Online]. Available: http://www.ctan.org/pkg/bibtex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