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评估附录</w:t>
      </w:r>
    </w:p>
    <w:p>
      <w:r>
        <w:t>个人团队效能调整（±10%）</w:t>
      </w:r>
    </w:p>
    <w:p>
      <w:r>
        <w:t>在主评分量规（rubric）之后应用；此调整不额外增加一项加权评估标准。</w:t>
      </w:r>
    </w:p>
    <w:p>
      <w:r>
        <w:t>每位学生都必须使用下述量规，对自己以及团队中其他每一位成员的效能进行评价。评分必须得到项目过程中的具体证据支持，包括 CADMUS 活动记录、已记录的贡献、约定的任务、会议记录、草稿以及对反馈的回应。</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标准</w:t>
            </w:r>
          </w:p>
        </w:tc>
        <w:tc>
          <w:tcPr>
            <w:tcW w:type="dxa" w:w="1440"/>
          </w:tcPr>
          <w:p>
            <w:r>
              <w:t>4</w:t>
            </w:r>
          </w:p>
        </w:tc>
        <w:tc>
          <w:tcPr>
            <w:tcW w:type="dxa" w:w="1440"/>
          </w:tcPr>
          <w:p>
            <w:r>
              <w:t>3</w:t>
            </w:r>
          </w:p>
        </w:tc>
        <w:tc>
          <w:tcPr>
            <w:tcW w:type="dxa" w:w="1440"/>
          </w:tcPr>
          <w:p>
            <w:r>
              <w:t>2</w:t>
            </w:r>
          </w:p>
        </w:tc>
        <w:tc>
          <w:tcPr>
            <w:tcW w:type="dxa" w:w="1440"/>
          </w:tcPr>
          <w:p>
            <w:r>
              <w:t>1</w:t>
            </w:r>
          </w:p>
        </w:tc>
        <w:tc>
          <w:tcPr>
            <w:tcW w:type="dxa" w:w="1440"/>
          </w:tcPr>
          <w:p>
            <w:r>
              <w:t>0</w:t>
            </w:r>
          </w:p>
        </w:tc>
      </w:tr>
      <w:tr>
        <w:tc>
          <w:tcPr>
            <w:tcW w:type="dxa" w:w="1440"/>
          </w:tcPr>
          <w:p>
            <w:r>
              <w:t>贡献与任务完成情况</w:t>
            </w:r>
          </w:p>
        </w:tc>
        <w:tc>
          <w:tcPr>
            <w:tcW w:type="dxa" w:w="1440"/>
          </w:tcPr>
          <w:p>
            <w:r>
              <w:t>在规定的日期前完成了所有约定任务，并在需要时作出了大量的额外贡献。</w:t>
            </w:r>
          </w:p>
        </w:tc>
        <w:tc>
          <w:tcPr>
            <w:tcW w:type="dxa" w:w="1440"/>
          </w:tcPr>
          <w:p>
            <w:r>
              <w:t>在规定的日期前完成了几乎所有约定任务；仅需极少的催促或跟进。</w:t>
            </w:r>
          </w:p>
        </w:tc>
        <w:tc>
          <w:tcPr>
            <w:tcW w:type="dxa" w:w="1440"/>
          </w:tcPr>
          <w:p>
            <w:r>
              <w:t>作出的贡献总体上与其份额相称，但部分任务交付延迟、不完整或需要反复跟进。</w:t>
            </w:r>
          </w:p>
        </w:tc>
        <w:tc>
          <w:tcPr>
            <w:tcW w:type="dxa" w:w="1440"/>
          </w:tcPr>
          <w:p>
            <w:r>
              <w:t>仅完成了约定工作的一部分；任务一再延迟，或不得不重新分配、由他人基本完成。</w:t>
            </w:r>
          </w:p>
        </w:tc>
        <w:tc>
          <w:tcPr>
            <w:tcW w:type="dxa" w:w="1440"/>
          </w:tcPr>
          <w:p>
            <w:r>
              <w:t>尽管有合理的参与机会，却未作出任何可核实的贡献。</w:t>
            </w:r>
          </w:p>
        </w:tc>
      </w:tr>
      <w:tr>
        <w:tc>
          <w:tcPr>
            <w:tcW w:type="dxa" w:w="1440"/>
          </w:tcPr>
          <w:p>
            <w:r>
              <w:t>工作质量与可靠性</w:t>
            </w:r>
          </w:p>
        </w:tc>
        <w:tc>
          <w:tcPr>
            <w:tcW w:type="dxa" w:w="1440"/>
          </w:tcPr>
          <w:p>
            <w:r>
              <w:t>工作始终满足约定的要求，以证据为基础，且只需极少修改即可纳入。</w:t>
            </w:r>
          </w:p>
        </w:tc>
        <w:tc>
          <w:tcPr>
            <w:tcW w:type="dxa" w:w="1440"/>
          </w:tcPr>
          <w:p>
            <w:r>
              <w:t>工作总体满足约定的要求，仅需有限的修改或修订。</w:t>
            </w:r>
          </w:p>
        </w:tc>
        <w:tc>
          <w:tcPr>
            <w:tcW w:type="dxa" w:w="1440"/>
          </w:tcPr>
          <w:p>
            <w:r>
              <w:t>工作可用，但需要团队进行大量的检查、更正或修订。</w:t>
            </w:r>
          </w:p>
        </w:tc>
        <w:tc>
          <w:tcPr>
            <w:tcW w:type="dxa" w:w="1440"/>
          </w:tcPr>
          <w:p>
            <w:r>
              <w:t>工作经常不完整、不准确或不合适，需要他人进行大量重做。</w:t>
            </w:r>
          </w:p>
        </w:tc>
        <w:tc>
          <w:tcPr>
            <w:tcW w:type="dxa" w:w="1440"/>
          </w:tcPr>
          <w:p>
            <w:r>
              <w:t>未产出任何可用的成果。</w:t>
            </w:r>
          </w:p>
        </w:tc>
      </w:tr>
      <w:tr>
        <w:tc>
          <w:tcPr>
            <w:tcW w:type="dxa" w:w="1440"/>
          </w:tcPr>
          <w:p>
            <w:r>
              <w:t>沟通与协作</w:t>
            </w:r>
          </w:p>
        </w:tc>
        <w:tc>
          <w:tcPr>
            <w:tcW w:type="dxa" w:w="1440"/>
          </w:tcPr>
          <w:p>
            <w:r>
              <w:t>持续沟通进度，参加并为约定活动做好准备，及时共享信息，并为团队决策作出建设性贡献。</w:t>
            </w:r>
          </w:p>
        </w:tc>
        <w:tc>
          <w:tcPr>
            <w:tcW w:type="dxa" w:w="1440"/>
          </w:tcPr>
          <w:p>
            <w:r>
              <w:t>沟通与协作可靠，仅出现个别疏漏，且未对团队造成实质影响。</w:t>
            </w:r>
          </w:p>
        </w:tc>
        <w:tc>
          <w:tcPr>
            <w:tcW w:type="dxa" w:w="1440"/>
          </w:tcPr>
          <w:p>
            <w:r>
              <w:t>沟通或参与不稳定，偶尔影响了协调或进度。</w:t>
            </w:r>
          </w:p>
        </w:tc>
        <w:tc>
          <w:tcPr>
            <w:tcW w:type="dxa" w:w="1440"/>
          </w:tcPr>
          <w:p>
            <w:r>
              <w:t>反复不回应、缺席或未能共享信息，扰乱了团队的工作。</w:t>
            </w:r>
          </w:p>
        </w:tc>
        <w:tc>
          <w:tcPr>
            <w:tcW w:type="dxa" w:w="1440"/>
          </w:tcPr>
          <w:p>
            <w:r>
              <w:t>未参与团队事务，或阻碍了有效协作。</w:t>
            </w:r>
          </w:p>
        </w:tc>
      </w:tr>
      <w:tr>
        <w:tc>
          <w:tcPr>
            <w:tcW w:type="dxa" w:w="1440"/>
          </w:tcPr>
          <w:p>
            <w:r>
              <w:t>主动性及对问题的回应</w:t>
            </w:r>
          </w:p>
        </w:tc>
        <w:tc>
          <w:tcPr>
            <w:tcW w:type="dxa" w:w="1440"/>
          </w:tcPr>
          <w:p>
            <w:r>
              <w:t>及早识别风险或问题，提出并实施恰当的解决方案，并根据反馈采取建设性行动。</w:t>
            </w:r>
          </w:p>
        </w:tc>
        <w:tc>
          <w:tcPr>
            <w:tcW w:type="dxa" w:w="1440"/>
          </w:tcPr>
          <w:p>
            <w:r>
              <w:t>有效处理已分配给自己的问题，在少量指导下恰当地回应反馈。</w:t>
            </w:r>
          </w:p>
        </w:tc>
        <w:tc>
          <w:tcPr>
            <w:tcW w:type="dxa" w:w="1440"/>
          </w:tcPr>
          <w:p>
            <w:r>
              <w:t>在被提示时才处理问题，主动性有限，对反馈的回应也不一致。</w:t>
            </w:r>
          </w:p>
        </w:tc>
        <w:tc>
          <w:tcPr>
            <w:tcW w:type="dxa" w:w="1440"/>
          </w:tcPr>
          <w:p>
            <w:r>
              <w:t>需要持续的指导，且一再未能处理已识别的问题或对反馈采取行动。</w:t>
            </w:r>
          </w:p>
        </w:tc>
        <w:tc>
          <w:tcPr>
            <w:tcW w:type="dxa" w:w="1440"/>
          </w:tcPr>
          <w:p>
            <w:r>
              <w:t>未作出任何有意义的尝试来解决已发现的问题或回应约定的纠正措施。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