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牛奶生产成本报告 2024–2025</w:t>
      </w:r>
    </w:p>
    <w:p>
      <w:r>
        <w:t>（合作方信息见文末联系方式。本报告由 Old Mill 与 Farm Consultancy Group 联合发布。）</w:t>
      </w:r>
    </w:p>
    <w:p>
      <w:pPr>
        <w:pStyle w:val="Heading2"/>
      </w:pPr>
      <w:r>
        <w:t>欢迎（撰稿人：Bradley Causey）</w:t>
      </w:r>
    </w:p>
    <w:p>
      <w:r>
        <w:t>我们很高兴为您带来我们的《2024–25 牛奶生产成本报告》。在经历了充满挑战的上一年之后，我们的数据显示，许多西南地区奶牛场（dairy farmers）的财务状况出现反弹，这得益于更高的牛奶价格。该行业仍存在更广泛的挑战，包括蓝舌病（Bluetongue）、劳动力（难以找到）和政府（遗产税变化），但总体而言，本报告所示数据表明该行业前景乐观。</w:t>
      </w:r>
    </w:p>
    <w:p>
      <w:pPr>
        <w:pStyle w:val="Heading2"/>
      </w:pPr>
      <w:r>
        <w:t>对一些人来说是强劲的一年</w:t>
      </w:r>
    </w:p>
    <w:p>
      <w:r>
        <w:t>截至 2025 年 3 月 31 日的年度，可比农场利润（comparable farm profits）较上年同期上升了约 7.3 便士/升（p per litre），这主要由牛奶收入的增加推动。上一年许多生产者将青贮饲料质量差作为产量下降的原因，但 2024 年较好的作物收成使一些人的情况有所缓解。总体而言，约 4.9 便士/升的牛奶收入增长并未被增速放缓的成本完全抵消。牛奶价格在 2024/25 期间中途开始上涨，饲料价格自 2023 年 4 月以来持续走软。因此，这两个关键趋势（牛奶和饲料价格）在 2024/25 年度对奶牛场都朝积极的总体方向发展，我们可以看到其逐渐传导，形成了可比农场利润的增加。幸运的是，其他成本的增长并未侵蚀这一利润。</w:t>
      </w:r>
    </w:p>
    <w:p>
      <w:pPr>
        <w:pStyle w:val="Heading2"/>
      </w:pPr>
      <w:r>
        <w:t>一个变化的行业</w:t>
      </w:r>
    </w:p>
    <w:p>
      <w:r>
        <w:t>我们通过考察奶牛场所产生的统计数据，支持我们在多份报告中看到的持续趋势。即劳动力、外包（contracting）和机械等“作业成本”（cost of doing work）正变得日益关键，而在过去，重点可能一直是饲料和可变成本。</w:t>
      </w:r>
    </w:p>
    <w:p>
      <w:pPr>
        <w:pStyle w:val="Heading2"/>
      </w:pPr>
      <w:r>
        <w:t>牛群规模可能很关键</w:t>
      </w:r>
    </w:p>
    <w:p>
      <w:r>
        <w:t>排名前 10% 的生产者与后 10% 的生产者之间的一个关键差异就是奶牛的数量。随着作业成本的增加，这些较大的生产者能够更好地利用规模经济并支持多个合伙人。然而，较小的牛群更容易受到劳动力、外包和机械成本上升的影响。</w:t>
      </w:r>
    </w:p>
    <w:p>
      <w:pPr>
        <w:pStyle w:val="Heading2"/>
      </w:pPr>
      <w:r>
        <w:t>展望未来</w:t>
      </w:r>
    </w:p>
    <w:p>
      <w:r>
        <w:t>促成更强劲的 2024–25 年度的更广泛经济趋势几乎没有快速逆转的迹象。更有利的条件会持续多久？牛奶价格的增长可能已停滞，但几乎没有迹象表明会出现 2023 年那样的突然崩塌，且饲料价格继续小幅下行。因此，2025/26 年仍有可能是一个同样成功的年份，这取决于您的牛奶合同和成本控制。本报告中的预测表明，增加的可变成本、劳动力和机械成本明年可能会在一定程度上侵蚀利润空间。</w:t>
      </w:r>
    </w:p>
    <w:p>
      <w:r>
        <w:t>尽管许多人报告 2025 年青贮饲料质量良好，但 7 月和 8 月的干燥条件意味着一些人不得不提前饲喂冬季日粮。在 2025/26 年冬季下半段拥有足够的饲料可能是一个问题。</w:t>
      </w:r>
    </w:p>
    <w:p>
      <w:pPr>
        <w:pStyle w:val="Heading2"/>
      </w:pPr>
      <w:r>
        <w:t>趁晴天修屋顶（把握时机未雨绸缪）</w:t>
      </w:r>
    </w:p>
    <w:p>
      <w:r>
        <w:t>一些牛奶供应商落后于同业，因此 2024/25 年的数据并非对所有奶牛场都极为积极。然而，改善的总体趋势表明，现在可能是通过积累现金储备或偿还债务来使您的业务面向未来（future-proof）的好时机。过去十二个月引入的遗产税变化可能让您更多地考虑继承规划，而更好的经济条件可以是保护业务未来的最佳时机。</w:t>
      </w:r>
    </w:p>
    <w:p>
      <w:r>
        <w:t>尽管对未来可能存在谨慎的乐观，但没有人能够确定地预测将会发生什么。谁会预见到 2022 年的乌克兰战争以及我们行业相关的波动？</w:t>
      </w:r>
    </w:p>
    <w:p>
      <w:r>
        <w:t>将您自己的财务数据与本地区的数据进行比较可能是您武器库中的一个重要工具，因此使用本报告来发现您的业务与西南地区平均水平的差异可能是一项有价值的实践。</w:t>
      </w:r>
    </w:p>
    <w:p>
      <w:r>
        <w:t>Bradley Causey，电话 01392 351327，邮箱 bradley.causey@om.uk</w:t>
      </w:r>
    </w:p>
    <w:p>
      <w:pPr>
        <w:pStyle w:val="Heading2"/>
      </w:pPr>
      <w:r>
        <w:t>评论（撰稿人：Allaster Dallas 与 Annabel Hole）</w:t>
      </w:r>
    </w:p>
    <w:p>
      <w:r>
        <w:t>很容易忘记，一年前我们曾用这篇文章说“让波动成为你的朋友”。今年随着市场响应需求增长和全球生产压力，牛奶价格继续上涨。随着我们进入冬季和春季，重要的是要注意到，在当前高价格的基础上，牛奶价格可能保持稳定或走软。无论如何，牛奶生产系统必须能够适应未来稳定或下跌的牛奶价格。</w:t>
      </w:r>
    </w:p>
    <w:p>
      <w:r>
        <w:t>相比之下，全球蛋白质和谷物产量处于历史高位，迫使饲料价格下行。在许多国家，谷物价格与生产成本的步伐并不一致，只能靠种植业企业借入更多资金、增加补贴或减少产量来维持。随着政治压力向右倾斜，我认为干预的意愿很低，市场将不得不相应调整。</w:t>
      </w:r>
    </w:p>
    <w:p>
      <w:r>
        <w:t>在样本组中，一些农场在过去两年中没有参与可持续农业激励（Sustainable Farming Incentive）计划。随着未来付款额大幅减少的传言，如果那些不得不购买饲草的人看到生产受到影响且未得到充分补偿，这不太可能说服他们参与。在一个非常潮湿的年份之后又是一个干旱年份，牧场管理方面还有很多工作要做。更紧张的选择可能意味着农民避开该计划以进行修复。</w:t>
      </w:r>
    </w:p>
    <w:p>
      <w:r>
        <w:t>展望未来牛奶价格，最近的全球乳制品贸易中商品价格下跌，随着我们进入冬季，价格面临更多压力的可能性看起来很大。这已反映在截至 2026 年 3 月 31 日的预算价格中。</w:t>
      </w:r>
    </w:p>
    <w:p>
      <w:r>
        <w:t>夏季所见浓缩饲料（concentrate）饲喂量的增加看起来将在冬季持续，因为饲草库存紧张。这导致英国牛奶产量增加和乳脂固形物（milk solids）改善。较高的乳脂固形物已经并应继续帮助抵消今年剩余时间看到的任何价格下跌。</w:t>
      </w:r>
    </w:p>
    <w:p>
      <w:r>
        <w:t>对牛群数量和需求的压力看起来将持续。尽管消费者购买的价位看起来脆弱。</w:t>
      </w:r>
    </w:p>
    <w:p>
      <w:r>
        <w:t>随着红肉市场吸纳来自奶牛行业的犊牛和淘汰母牛，活畜销售出现跃升。随着犊牛登记数量下降，这一情况可能会维持。每头牛更多产出的趋势将持续，因为性别鉴定精液（sexed semen）和基因组学（genomics）开始带来牛奶收入。我们的预测基于高犊牛和高淘汰价格将持续到新的一年。</w:t>
      </w:r>
    </w:p>
    <w:p>
      <w:r>
        <w:t>估值在未来保持在类似水平，在今年跳升之后。结核病（TB）继续对存栏数量造成影响，迫使生产者将更多青年牛或替换牛（replace stock）以更高价格计入。</w:t>
      </w:r>
    </w:p>
    <w:p>
      <w:r>
        <w:t>每吨浓缩饲料的成本继续下降，有利于高产出畜牧系统。饲喂了更多浓缩饲料，并在农场饲养了更多牲畜，试图利用高价格。在我们分析的数据中，农场之间以及购买饲料的毛利（margin over purchased feed）存在相当大的差异。短期到中期没有迹象表明饲料价格会上涨，只是运输和制作饲料的成本可能会上升。这反映在我们的预算中，即提高饲料用量但保持每吨价格不变。</w:t>
      </w:r>
    </w:p>
    <w:p>
      <w:r>
        <w:t>可变成本的小幅增长，特别是肥料和垫料（bedding），在它们之间使成本每升增加一便士，尽管油价走弱。</w:t>
      </w:r>
    </w:p>
    <w:p>
      <w:r>
        <w:t>动力和机械成本将继续增加。作业成本显示了去年与今年之间最显著的增长之一，每头牛增加了 72 英镑，并且预算中预测将进一步上升每头牛 129 英镑。这些增长与农场上额外的机械、由于机械复杂性导致的更高维修成本以及可用技术劳动力的减少（导致工资上涨）有关。</w:t>
      </w:r>
    </w:p>
    <w:p>
      <w:r>
        <w:t>在数据中最为突出的最重要因素是人这一要素。存在乐观、具备强烈农业意识、在技术上能够实现并运营稳定、盈利业务的从业者。存在相当大的不确定性，因此农民将产生与投资规划和资产面向未来相关的短期到中期成本。对于那些能够控制成本并保持所需产出的生产者来说，将存在机会，考虑到固定成本的增加。</w:t>
      </w:r>
    </w:p>
    <w:p>
      <w:r>
        <w:t>Allaster Dallas，电话 07496 760242，邮箱 allasterdallas@fcgagric.com</w:t>
      </w:r>
    </w:p>
    <w:p>
      <w:pPr>
        <w:pStyle w:val="Heading2"/>
      </w:pPr>
      <w:r>
        <w:t>核心发现（11 项要点）</w:t>
      </w:r>
    </w:p>
    <w:p>
      <w:pPr>
        <w:pStyle w:val="ListBullet"/>
      </w:pPr>
      <w:r>
        <w:t>截至 2025 年 3 月 31 日的年度，牛奶生产的平均总可比成本为 3,269 英镑/头，而收到的平均牛奶收入为 3,335 英镑/头。</w:t>
      </w:r>
    </w:p>
    <w:p>
      <w:pPr>
        <w:pStyle w:val="ListBullet"/>
      </w:pPr>
      <w:r>
        <w:t>截至 2026 年 3 月 31 日的年度，牛奶生产的总可比成本预计为 3,467 英镑/头，预计牛奶收入为 3,465 英镑/头。</w:t>
      </w:r>
    </w:p>
    <w:p>
      <w:pPr>
        <w:pStyle w:val="ListBullet"/>
      </w:pPr>
      <w:r>
        <w:t>与 2023/2024 相比，2024/2025 年的平均牛奶价格更强，导致牛奶收入每头增加 425 英镑（增长 15%）。</w:t>
      </w:r>
    </w:p>
    <w:p>
      <w:pPr>
        <w:pStyle w:val="ListBullet"/>
      </w:pPr>
      <w:r>
        <w:t>随着价格再次小幅上涨，牛奶收入预计每头增加 130 英镑至 3,465 英镑。预计这将与下降的饲料成本但上升的机械和劳动力成本相匹配。</w:t>
      </w:r>
    </w:p>
    <w:p>
      <w:pPr>
        <w:pStyle w:val="ListBullet"/>
      </w:pPr>
      <w:r>
        <w:t>随着价格下降，饲料成本预计继续下降（每头 42 英镑），尽管考虑到夏季所见浓缩饲料饲喂量的增加，饲料用量可能上升。</w:t>
      </w:r>
    </w:p>
    <w:p>
      <w:pPr>
        <w:pStyle w:val="ListBullet"/>
      </w:pPr>
      <w:r>
        <w:t>由于肥料和垫料支出的小幅增长，可变成本预计每头增加 107 英镑。由于技术劳动力短缺和最低工资上涨，劳动力成本预计也将上升。随着燃料价格稳定和外包成本上升，动力和机械成本预计将上升。</w:t>
      </w:r>
    </w:p>
    <w:p>
      <w:pPr>
        <w:pStyle w:val="ListBullet"/>
      </w:pPr>
      <w:r>
        <w:t>由于农场机械的复杂性，动力和机械成本预计每头上升 41 英镑。</w:t>
      </w:r>
    </w:p>
    <w:p>
      <w:pPr>
        <w:pStyle w:val="ListBullet"/>
      </w:pPr>
      <w:r>
        <w:t>盈利能力预计将下降，但仍保持非常健康（514 英镑/头）。2023/24 年平均可比农场利润为 153 英镑/头，这可以让人对此有正确的认识。</w:t>
      </w:r>
    </w:p>
    <w:p>
      <w:pPr>
        <w:pStyle w:val="ListBullet"/>
      </w:pPr>
      <w:r>
        <w:t>前 10% 生产者的牛奶生产总可比成本为 2,375 英镑/头，而后 10% 为 4,049 英镑/头，相差 1,674 英镑/头。前 10% 在支出更少的情况下多产生了 153 英镑的牛奶收入，表明成本控制可能是关键。</w:t>
      </w:r>
    </w:p>
    <w:p>
      <w:pPr>
        <w:pStyle w:val="ListBullet"/>
      </w:pPr>
      <w:r>
        <w:t>有趣的是，前 10% 生产者产生的平均产量较低，为每头 6,135 升，相当于比后 10% 在饲料上少支出每头 218 英镑。这表明，无论牛奶价格如何，是成本控制区分了盈利能力更强和更弱的生产者。那些成功降低饲料成本同时未同时看到产量全面崩溃的企业表现最好。然而，前 10% 的平均牛群规模大得多（540 头对 198 头）。</w:t>
      </w:r>
    </w:p>
    <w:p>
      <w:pPr>
        <w:pStyle w:val="ListBullet"/>
      </w:pPr>
      <w:r>
        <w:t>虽然融资成本和税被排除在数据之外以使农场具有可比性，但这些将对业务产生巨大影响。2024/25 期间利率下降，因此那些负债率（geared）更高的企业可能能够利用当前市场条件。</w:t>
      </w:r>
    </w:p>
    <w:p>
      <w:pPr>
        <w:pStyle w:val="Heading2"/>
      </w:pPr>
      <w:r>
        <w:t>关键要点（样本与方法说明）</w:t>
      </w:r>
    </w:p>
    <w:p>
      <w:pPr>
        <w:pStyle w:val="ListBullet"/>
      </w:pPr>
      <w:r>
        <w:t>样本由 Old Mill 和 Farm Consultancy Group（农场咨询集团）的客户组成，他们主要或仅依靠牛奶销售获得收入，涵盖多种养殖系统。</w:t>
      </w:r>
    </w:p>
    <w:p>
      <w:pPr>
        <w:pStyle w:val="ListBullet"/>
      </w:pPr>
      <w:r>
        <w:t>所有农场均以 3 月 31 日为财年末。</w:t>
      </w:r>
    </w:p>
    <w:p>
      <w:pPr>
        <w:pStyle w:val="ListBullet"/>
      </w:pPr>
      <w:r>
        <w:t>为了使业务具有可比性，租金、利息支付、提款（drawings）、税和资本支出已从数据中排除，并为每位全职合伙人/董事计入 30,000 英镑的人工费用。基本支付计划（BPS，Basic Payment Scheme）和其他补贴收入也被排除。应当指出，折旧已包含在这些数据中。</w:t>
      </w:r>
    </w:p>
    <w:p>
      <w:pPr>
        <w:pStyle w:val="ListBullet"/>
      </w:pPr>
      <w:r>
        <w:t>2026 年的预测是通过考察本财年迄今为止的实际发生成本以及全国趋势计算得出的。</w:t>
      </w:r>
    </w:p>
    <w:p>
      <w:pPr>
        <w:pStyle w:val="Heading2"/>
      </w:pPr>
      <w:r>
        <w:t>数据基础</w:t>
      </w:r>
    </w:p>
    <w:p>
      <w:r>
        <w:t>为了理解和解释调查结果，重要的是阐明得出这些数字的基础，具体而言：全样本——2024/2025 结果与未来预测。</w:t>
      </w:r>
    </w:p>
    <w:p>
      <w:r>
        <w:t>“那些成功控制了动力、机械和劳动力成本的企业，在 2024/25 年充分利用了上涨的牛奶价格。”</w:t>
      </w:r>
    </w:p>
    <w:p>
      <w:pPr>
        <w:pStyle w:val="Heading2"/>
      </w:pPr>
      <w:r>
        <w:t>[表 全样本] 全样本 2024/2025 结果与未来预测（单位：£/头，括号内为成本/利润负值）</w:t>
      </w:r>
    </w:p>
    <w:p>
      <w:r>
        <w:t>（说明：原文表格中成本与利润为负者以括号表示，此处保留括号以准确反映原意；差值一栏括号内数值表示下降。）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项目</w:t>
            </w:r>
          </w:p>
        </w:tc>
        <w:tc>
          <w:tcPr>
            <w:tcW w:type="dxa" w:w="1728"/>
          </w:tcPr>
          <w:p>
            <w:r>
              <w:t>2023/24 (£/头)</w:t>
            </w:r>
          </w:p>
        </w:tc>
        <w:tc>
          <w:tcPr>
            <w:tcW w:type="dxa" w:w="1728"/>
          </w:tcPr>
          <w:p>
            <w:r>
              <w:t>2024/25 (£/头)</w:t>
            </w:r>
          </w:p>
        </w:tc>
        <w:tc>
          <w:tcPr>
            <w:tcW w:type="dxa" w:w="1728"/>
          </w:tcPr>
          <w:p>
            <w:r>
              <w:t>预计 2025/26 (£/头)</w:t>
            </w:r>
          </w:p>
        </w:tc>
        <w:tc>
          <w:tcPr>
            <w:tcW w:type="dxa" w:w="1728"/>
          </w:tcPr>
          <w:p>
            <w:r>
              <w:t>差值 (£/头)</w:t>
            </w:r>
          </w:p>
        </w:tc>
      </w:tr>
      <w:tr>
        <w:tc>
          <w:tcPr>
            <w:tcW w:type="dxa" w:w="1728"/>
          </w:tcPr>
          <w:p>
            <w:r>
              <w:t>牛群规模（头）</w:t>
            </w:r>
          </w:p>
        </w:tc>
        <w:tc>
          <w:tcPr>
            <w:tcW w:type="dxa" w:w="1728"/>
          </w:tcPr>
          <w:p>
            <w:r>
              <w:t>295</w:t>
            </w:r>
          </w:p>
        </w:tc>
        <w:tc>
          <w:tcPr>
            <w:tcW w:type="dxa" w:w="1728"/>
          </w:tcPr>
          <w:p>
            <w:r>
              <w:t>322</w:t>
            </w:r>
          </w:p>
        </w:tc>
        <w:tc>
          <w:tcPr>
            <w:tcW w:type="dxa" w:w="1728"/>
          </w:tcPr>
          <w:p>
            <w:r>
              <w:t>325</w:t>
            </w:r>
          </w:p>
        </w:tc>
        <w:tc>
          <w:tcPr>
            <w:tcW w:type="dxa" w:w="1728"/>
          </w:tcPr>
          <w:p>
            <w:r>
              <w:t>3</w:t>
            </w:r>
          </w:p>
        </w:tc>
      </w:tr>
      <w:tr>
        <w:tc>
          <w:tcPr>
            <w:tcW w:type="dxa" w:w="1728"/>
          </w:tcPr>
          <w:p>
            <w:r>
              <w:t>每头产量（升）</w:t>
            </w:r>
          </w:p>
        </w:tc>
        <w:tc>
          <w:tcPr>
            <w:tcW w:type="dxa" w:w="1728"/>
          </w:tcPr>
          <w:p>
            <w:r>
              <w:t>7,256</w:t>
            </w:r>
          </w:p>
        </w:tc>
        <w:tc>
          <w:tcPr>
            <w:tcW w:type="dxa" w:w="1728"/>
          </w:tcPr>
          <w:p>
            <w:r>
              <w:t>7,435</w:t>
            </w:r>
          </w:p>
        </w:tc>
        <w:tc>
          <w:tcPr>
            <w:tcW w:type="dxa" w:w="1728"/>
          </w:tcPr>
          <w:p>
            <w:r>
              <w:t>7,700</w:t>
            </w:r>
          </w:p>
        </w:tc>
        <w:tc>
          <w:tcPr>
            <w:tcW w:type="dxa" w:w="1728"/>
          </w:tcPr>
          <w:p>
            <w:r>
              <w:t>265</w:t>
            </w:r>
          </w:p>
        </w:tc>
      </w:tr>
      <w:tr>
        <w:tc>
          <w:tcPr>
            <w:tcW w:type="dxa" w:w="1728"/>
          </w:tcPr>
          <w:p>
            <w:r>
              <w:t>牛奶收入</w:t>
            </w:r>
          </w:p>
        </w:tc>
        <w:tc>
          <w:tcPr>
            <w:tcW w:type="dxa" w:w="1728"/>
          </w:tcPr>
          <w:p>
            <w:r>
              <w:t>2910</w:t>
            </w:r>
          </w:p>
        </w:tc>
        <w:tc>
          <w:tcPr>
            <w:tcW w:type="dxa" w:w="1728"/>
          </w:tcPr>
          <w:p>
            <w:r>
              <w:t>3,335</w:t>
            </w:r>
          </w:p>
        </w:tc>
        <w:tc>
          <w:tcPr>
            <w:tcW w:type="dxa" w:w="1728"/>
          </w:tcPr>
          <w:p>
            <w:r>
              <w:t>3,465</w:t>
            </w:r>
          </w:p>
        </w:tc>
        <w:tc>
          <w:tcPr>
            <w:tcW w:type="dxa" w:w="1728"/>
          </w:tcPr>
          <w:p>
            <w:r>
              <w:t>130</w:t>
            </w:r>
          </w:p>
        </w:tc>
      </w:tr>
      <w:tr>
        <w:tc>
          <w:tcPr>
            <w:tcW w:type="dxa" w:w="1728"/>
          </w:tcPr>
          <w:p>
            <w:r>
              <w:t>非牛奶收入</w:t>
            </w:r>
          </w:p>
        </w:tc>
        <w:tc>
          <w:tcPr>
            <w:tcW w:type="dxa" w:w="1728"/>
          </w:tcPr>
          <w:p>
            <w:r>
              <w:t>395</w:t>
            </w:r>
          </w:p>
        </w:tc>
        <w:tc>
          <w:tcPr>
            <w:tcW w:type="dxa" w:w="1728"/>
          </w:tcPr>
          <w:p>
            <w:r>
              <w:t>578</w:t>
            </w:r>
          </w:p>
        </w:tc>
        <w:tc>
          <w:tcPr>
            <w:tcW w:type="dxa" w:w="1728"/>
          </w:tcPr>
          <w:p>
            <w:r>
              <w:t>516</w:t>
            </w:r>
          </w:p>
        </w:tc>
        <w:tc>
          <w:tcPr>
            <w:tcW w:type="dxa" w:w="1728"/>
          </w:tcPr>
          <w:p>
            <w:r>
              <w:t>(63)</w:t>
            </w:r>
          </w:p>
        </w:tc>
      </w:tr>
      <w:tr>
        <w:tc>
          <w:tcPr>
            <w:tcW w:type="dxa" w:w="1728"/>
          </w:tcPr>
          <w:p>
            <w:r>
              <w:t>总收入</w:t>
            </w:r>
          </w:p>
        </w:tc>
        <w:tc>
          <w:tcPr>
            <w:tcW w:type="dxa" w:w="1728"/>
          </w:tcPr>
          <w:p>
            <w:r>
              <w:t>3,305</w:t>
            </w:r>
          </w:p>
        </w:tc>
        <w:tc>
          <w:tcPr>
            <w:tcW w:type="dxa" w:w="1728"/>
          </w:tcPr>
          <w:p>
            <w:r>
              <w:t>3,913</w:t>
            </w:r>
          </w:p>
        </w:tc>
        <w:tc>
          <w:tcPr>
            <w:tcW w:type="dxa" w:w="1728"/>
          </w:tcPr>
          <w:p>
            <w:r>
              <w:t>3,981</w:t>
            </w:r>
          </w:p>
        </w:tc>
        <w:tc>
          <w:tcPr>
            <w:tcW w:type="dxa" w:w="1728"/>
          </w:tcPr>
          <w:p>
            <w:r>
              <w:t>68</w:t>
            </w:r>
          </w:p>
        </w:tc>
      </w:tr>
      <w:tr>
        <w:tc>
          <w:tcPr>
            <w:tcW w:type="dxa" w:w="1728"/>
          </w:tcPr>
          <w:p>
            <w:r>
              <w:t>购买饲料</w:t>
            </w:r>
          </w:p>
        </w:tc>
        <w:tc>
          <w:tcPr>
            <w:tcW w:type="dxa" w:w="1728"/>
          </w:tcPr>
          <w:p>
            <w:r>
              <w:t>1101</w:t>
            </w:r>
          </w:p>
        </w:tc>
        <w:tc>
          <w:tcPr>
            <w:tcW w:type="dxa" w:w="1728"/>
          </w:tcPr>
          <w:p>
            <w:r>
              <w:t>1,082</w:t>
            </w:r>
          </w:p>
        </w:tc>
        <w:tc>
          <w:tcPr>
            <w:tcW w:type="dxa" w:w="1728"/>
          </w:tcPr>
          <w:p>
            <w:r>
              <w:t>1,040</w:t>
            </w:r>
          </w:p>
        </w:tc>
        <w:tc>
          <w:tcPr>
            <w:tcW w:type="dxa" w:w="1728"/>
          </w:tcPr>
          <w:p>
            <w:r>
              <w:t>(42)</w:t>
            </w:r>
          </w:p>
        </w:tc>
      </w:tr>
      <w:tr>
        <w:tc>
          <w:tcPr>
            <w:tcW w:type="dxa" w:w="1728"/>
          </w:tcPr>
          <w:p>
            <w:r>
              <w:t>可变成本</w:t>
            </w:r>
          </w:p>
        </w:tc>
        <w:tc>
          <w:tcPr>
            <w:tcW w:type="dxa" w:w="1728"/>
          </w:tcPr>
          <w:p>
            <w:r>
              <w:t>500</w:t>
            </w:r>
          </w:p>
        </w:tc>
        <w:tc>
          <w:tcPr>
            <w:tcW w:type="dxa" w:w="1728"/>
          </w:tcPr>
          <w:p>
            <w:r>
              <w:t>544</w:t>
            </w:r>
          </w:p>
        </w:tc>
        <w:tc>
          <w:tcPr>
            <w:tcW w:type="dxa" w:w="1728"/>
          </w:tcPr>
          <w:p>
            <w:r>
              <w:t>651</w:t>
            </w:r>
          </w:p>
        </w:tc>
        <w:tc>
          <w:tcPr>
            <w:tcW w:type="dxa" w:w="1728"/>
          </w:tcPr>
          <w:p>
            <w:r>
              <w:t>107</w:t>
            </w:r>
          </w:p>
        </w:tc>
      </w:tr>
      <w:tr>
        <w:tc>
          <w:tcPr>
            <w:tcW w:type="dxa" w:w="1728"/>
          </w:tcPr>
          <w:p>
            <w:r>
              <w:t>劳动力（有偿+无偿）</w:t>
            </w:r>
          </w:p>
        </w:tc>
        <w:tc>
          <w:tcPr>
            <w:tcW w:type="dxa" w:w="1728"/>
          </w:tcPr>
          <w:p>
            <w:r>
              <w:t>539</w:t>
            </w:r>
          </w:p>
        </w:tc>
        <w:tc>
          <w:tcPr>
            <w:tcW w:type="dxa" w:w="1728"/>
          </w:tcPr>
          <w:p>
            <w:r>
              <w:t>568</w:t>
            </w:r>
          </w:p>
        </w:tc>
        <w:tc>
          <w:tcPr>
            <w:tcW w:type="dxa" w:w="1728"/>
          </w:tcPr>
          <w:p>
            <w:r>
              <w:t>655</w:t>
            </w:r>
          </w:p>
        </w:tc>
        <w:tc>
          <w:tcPr>
            <w:tcW w:type="dxa" w:w="1728"/>
          </w:tcPr>
          <w:p>
            <w:r>
              <w:t>87</w:t>
            </w:r>
          </w:p>
        </w:tc>
      </w:tr>
      <w:tr>
        <w:tc>
          <w:tcPr>
            <w:tcW w:type="dxa" w:w="1728"/>
          </w:tcPr>
          <w:p>
            <w:r>
              <w:t>动力与机械</w:t>
            </w:r>
          </w:p>
        </w:tc>
        <w:tc>
          <w:tcPr>
            <w:tcW w:type="dxa" w:w="1728"/>
          </w:tcPr>
          <w:p>
            <w:r>
              <w:t>778</w:t>
            </w:r>
          </w:p>
        </w:tc>
        <w:tc>
          <w:tcPr>
            <w:tcW w:type="dxa" w:w="1728"/>
          </w:tcPr>
          <w:p>
            <w:r>
              <w:t>821</w:t>
            </w:r>
          </w:p>
        </w:tc>
        <w:tc>
          <w:tcPr>
            <w:tcW w:type="dxa" w:w="1728"/>
          </w:tcPr>
          <w:p>
            <w:r>
              <w:t>862</w:t>
            </w:r>
          </w:p>
        </w:tc>
        <w:tc>
          <w:tcPr>
            <w:tcW w:type="dxa" w:w="1728"/>
          </w:tcPr>
          <w:p>
            <w:r>
              <w:t>41</w:t>
            </w:r>
          </w:p>
        </w:tc>
      </w:tr>
      <w:tr>
        <w:tc>
          <w:tcPr>
            <w:tcW w:type="dxa" w:w="1728"/>
          </w:tcPr>
          <w:p>
            <w:r>
              <w:t>管理</w:t>
            </w:r>
          </w:p>
        </w:tc>
        <w:tc>
          <w:tcPr>
            <w:tcW w:type="dxa" w:w="1728"/>
          </w:tcPr>
          <w:p>
            <w:r>
              <w:t>139</w:t>
            </w:r>
          </w:p>
        </w:tc>
        <w:tc>
          <w:tcPr>
            <w:tcW w:type="dxa" w:w="1728"/>
          </w:tcPr>
          <w:p>
            <w:r>
              <w:t>151</w:t>
            </w:r>
          </w:p>
        </w:tc>
        <w:tc>
          <w:tcPr>
            <w:tcW w:type="dxa" w:w="1728"/>
          </w:tcPr>
          <w:p>
            <w:r>
              <w:t>166</w:t>
            </w:r>
          </w:p>
        </w:tc>
        <w:tc>
          <w:tcPr>
            <w:tcW w:type="dxa" w:w="1728"/>
          </w:tcPr>
          <w:p>
            <w:r>
              <w:t>15</w:t>
            </w:r>
          </w:p>
        </w:tc>
      </w:tr>
      <w:tr>
        <w:tc>
          <w:tcPr>
            <w:tcW w:type="dxa" w:w="1728"/>
          </w:tcPr>
          <w:p>
            <w:r>
              <w:t>房产维修</w:t>
            </w:r>
          </w:p>
        </w:tc>
        <w:tc>
          <w:tcPr>
            <w:tcW w:type="dxa" w:w="1728"/>
          </w:tcPr>
          <w:p>
            <w:r>
              <w:t>96</w:t>
            </w:r>
          </w:p>
        </w:tc>
        <w:tc>
          <w:tcPr>
            <w:tcW w:type="dxa" w:w="1728"/>
          </w:tcPr>
          <w:p>
            <w:r>
              <w:t>103</w:t>
            </w:r>
          </w:p>
        </w:tc>
        <w:tc>
          <w:tcPr>
            <w:tcW w:type="dxa" w:w="1728"/>
          </w:tcPr>
          <w:p>
            <w:r>
              <w:t>92</w:t>
            </w:r>
          </w:p>
        </w:tc>
        <w:tc>
          <w:tcPr>
            <w:tcW w:type="dxa" w:w="1728"/>
          </w:tcPr>
          <w:p>
            <w:r>
              <w:t>(11)</w:t>
            </w:r>
          </w:p>
        </w:tc>
      </w:tr>
      <w:tr>
        <w:tc>
          <w:tcPr>
            <w:tcW w:type="dxa" w:w="1728"/>
          </w:tcPr>
          <w:p>
            <w:r>
              <w:t>生产成本</w:t>
            </w:r>
          </w:p>
        </w:tc>
        <w:tc>
          <w:tcPr>
            <w:tcW w:type="dxa" w:w="1728"/>
          </w:tcPr>
          <w:p>
            <w:r>
              <w:t>(3,153)</w:t>
            </w:r>
          </w:p>
        </w:tc>
        <w:tc>
          <w:tcPr>
            <w:tcW w:type="dxa" w:w="1728"/>
          </w:tcPr>
          <w:p>
            <w:r>
              <w:t>(3,269)</w:t>
            </w:r>
          </w:p>
        </w:tc>
        <w:tc>
          <w:tcPr>
            <w:tcW w:type="dxa" w:w="1728"/>
          </w:tcPr>
          <w:p>
            <w:r>
              <w:t>(3,467)</w:t>
            </w:r>
          </w:p>
        </w:tc>
        <w:tc>
          <w:tcPr>
            <w:tcW w:type="dxa" w:w="1728"/>
          </w:tcPr>
          <w:p>
            <w:r>
              <w:t>(198)</w:t>
            </w:r>
          </w:p>
        </w:tc>
      </w:tr>
      <w:tr>
        <w:tc>
          <w:tcPr>
            <w:tcW w:type="dxa" w:w="1728"/>
          </w:tcPr>
          <w:p>
            <w:r>
              <w:t>可比农场利润</w:t>
            </w:r>
          </w:p>
        </w:tc>
        <w:tc>
          <w:tcPr>
            <w:tcW w:type="dxa" w:w="1728"/>
          </w:tcPr>
          <w:p>
            <w:r>
              <w:t>153</w:t>
            </w:r>
          </w:p>
        </w:tc>
        <w:tc>
          <w:tcPr>
            <w:tcW w:type="dxa" w:w="1728"/>
          </w:tcPr>
          <w:p>
            <w:r>
              <w:t>644</w:t>
            </w:r>
          </w:p>
        </w:tc>
        <w:tc>
          <w:tcPr>
            <w:tcW w:type="dxa" w:w="1728"/>
          </w:tcPr>
          <w:p>
            <w:r>
              <w:t>514</w:t>
            </w:r>
          </w:p>
        </w:tc>
        <w:tc>
          <w:tcPr>
            <w:tcW w:type="dxa" w:w="1728"/>
          </w:tcPr>
          <w:p>
            <w:r>
              <w:t>130</w:t>
            </w:r>
          </w:p>
        </w:tc>
      </w:tr>
    </w:tbl>
    <w:p>
      <w:pPr>
        <w:pStyle w:val="Heading2"/>
      </w:pPr>
      <w:r>
        <w:t>按每头留存利润划分的前 10% 与后 10%（2024/25）</w:t>
      </w:r>
    </w:p>
    <w:p>
      <w:r>
        <w:t>“那些未能控制成本的小型牛群可能发现 2024/25 年很困难。然而，同样类型的企业在截然不同的 2023/24 年条件下也可能陷入困境。”</w:t>
      </w:r>
    </w:p>
    <w:p>
      <w:pPr>
        <w:pStyle w:val="ListBullet"/>
      </w:pPr>
      <w:r>
        <w:t>随着更健康的牛奶价格效应开始显现，牛奶收入预计每头上升 130 英镑，尽管随着我们进入冬季，价格可能面临更多压力。我们预计去年看到的大量活畜销售将持续，因为犊牛登记数量下降。由于基因组学，产量预计将进一步上升。</w:t>
      </w:r>
    </w:p>
    <w:p>
      <w:pPr>
        <w:pStyle w:val="ListBullet"/>
      </w:pPr>
      <w:r>
        <w:t>饲料成本大体与 2024/25 年一致。这是因为预计随着升数（litreage）增加，所用饲料量将上升，但每吨饲料成本预计将保持稳定或下降。</w:t>
      </w:r>
    </w:p>
    <w:p>
      <w:pPr>
        <w:pStyle w:val="ListBullet"/>
      </w:pPr>
      <w:r>
        <w:t>可变成本预计再次小幅上升。肥料价格正在上涨，兽医成本也可能上升。</w:t>
      </w:r>
    </w:p>
    <w:p>
      <w:pPr>
        <w:pStyle w:val="ListBullet"/>
      </w:pPr>
      <w:r>
        <w:t>利润预计降至每头 514 英镑，这与 520 英镑/头的 4 年平均非常相似。然而，由于我们在这一 4 年期间看到的巨大波动，这一平均具有误导性。</w:t>
      </w:r>
    </w:p>
    <w:p>
      <w:pPr>
        <w:pStyle w:val="Heading2"/>
      </w:pPr>
      <w:r>
        <w:t>[表 前10%/后10%] 前 10% 与后 10% 对比（单位：£/头，括号内为成本/利润负值）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项目</w:t>
            </w:r>
          </w:p>
        </w:tc>
        <w:tc>
          <w:tcPr>
            <w:tcW w:type="dxa" w:w="2160"/>
          </w:tcPr>
          <w:p>
            <w:r>
              <w:t>前 10% (£/头)</w:t>
            </w:r>
          </w:p>
        </w:tc>
        <w:tc>
          <w:tcPr>
            <w:tcW w:type="dxa" w:w="2160"/>
          </w:tcPr>
          <w:p>
            <w:r>
              <w:t>后 10% (£/头)</w:t>
            </w:r>
          </w:p>
        </w:tc>
        <w:tc>
          <w:tcPr>
            <w:tcW w:type="dxa" w:w="2160"/>
          </w:tcPr>
          <w:p>
            <w:r>
              <w:t>差值 (£/头)</w:t>
            </w:r>
          </w:p>
        </w:tc>
      </w:tr>
      <w:tr>
        <w:tc>
          <w:tcPr>
            <w:tcW w:type="dxa" w:w="2160"/>
          </w:tcPr>
          <w:p>
            <w:r>
              <w:t>牛群规模（头）</w:t>
            </w:r>
          </w:p>
        </w:tc>
        <w:tc>
          <w:tcPr>
            <w:tcW w:type="dxa" w:w="2160"/>
          </w:tcPr>
          <w:p>
            <w:r>
              <w:t>540</w:t>
            </w:r>
          </w:p>
        </w:tc>
        <w:tc>
          <w:tcPr>
            <w:tcW w:type="dxa" w:w="2160"/>
          </w:tcPr>
          <w:p>
            <w:r>
              <w:t>198</w:t>
            </w:r>
          </w:p>
        </w:tc>
        <w:tc>
          <w:tcPr>
            <w:tcW w:type="dxa" w:w="2160"/>
          </w:tcPr>
          <w:p>
            <w:r>
              <w:t>(342)</w:t>
            </w:r>
          </w:p>
        </w:tc>
      </w:tr>
      <w:tr>
        <w:tc>
          <w:tcPr>
            <w:tcW w:type="dxa" w:w="2160"/>
          </w:tcPr>
          <w:p>
            <w:r>
              <w:t>每头产量（升）</w:t>
            </w:r>
          </w:p>
        </w:tc>
        <w:tc>
          <w:tcPr>
            <w:tcW w:type="dxa" w:w="2160"/>
          </w:tcPr>
          <w:p>
            <w:r>
              <w:t>6,135</w:t>
            </w:r>
          </w:p>
        </w:tc>
        <w:tc>
          <w:tcPr>
            <w:tcW w:type="dxa" w:w="2160"/>
          </w:tcPr>
          <w:p>
            <w:r>
              <w:t>6,342</w:t>
            </w:r>
          </w:p>
        </w:tc>
        <w:tc>
          <w:tcPr>
            <w:tcW w:type="dxa" w:w="2160"/>
          </w:tcPr>
          <w:p>
            <w:r>
              <w:t>207</w:t>
            </w:r>
          </w:p>
        </w:tc>
      </w:tr>
      <w:tr>
        <w:tc>
          <w:tcPr>
            <w:tcW w:type="dxa" w:w="2160"/>
          </w:tcPr>
          <w:p>
            <w:r>
              <w:t>牛奶收入</w:t>
            </w:r>
          </w:p>
        </w:tc>
        <w:tc>
          <w:tcPr>
            <w:tcW w:type="dxa" w:w="2160"/>
          </w:tcPr>
          <w:p>
            <w:r>
              <w:t>2,968</w:t>
            </w:r>
          </w:p>
        </w:tc>
        <w:tc>
          <w:tcPr>
            <w:tcW w:type="dxa" w:w="2160"/>
          </w:tcPr>
          <w:p>
            <w:r>
              <w:t>2,815</w:t>
            </w:r>
          </w:p>
        </w:tc>
        <w:tc>
          <w:tcPr>
            <w:tcW w:type="dxa" w:w="2160"/>
          </w:tcPr>
          <w:p>
            <w:r>
              <w:t>(153)</w:t>
            </w:r>
          </w:p>
        </w:tc>
      </w:tr>
      <w:tr>
        <w:tc>
          <w:tcPr>
            <w:tcW w:type="dxa" w:w="2160"/>
          </w:tcPr>
          <w:p>
            <w:r>
              <w:t>非牛奶收入</w:t>
            </w:r>
          </w:p>
        </w:tc>
        <w:tc>
          <w:tcPr>
            <w:tcW w:type="dxa" w:w="2160"/>
          </w:tcPr>
          <w:p>
            <w:r>
              <w:t>504</w:t>
            </w:r>
          </w:p>
        </w:tc>
        <w:tc>
          <w:tcPr>
            <w:tcW w:type="dxa" w:w="2160"/>
          </w:tcPr>
          <w:p>
            <w:r>
              <w:t>737</w:t>
            </w:r>
          </w:p>
        </w:tc>
        <w:tc>
          <w:tcPr>
            <w:tcW w:type="dxa" w:w="2160"/>
          </w:tcPr>
          <w:p>
            <w:r>
              <w:t>233</w:t>
            </w:r>
          </w:p>
        </w:tc>
      </w:tr>
      <w:tr>
        <w:tc>
          <w:tcPr>
            <w:tcW w:type="dxa" w:w="2160"/>
          </w:tcPr>
          <w:p>
            <w:r>
              <w:t>总收入</w:t>
            </w:r>
          </w:p>
        </w:tc>
        <w:tc>
          <w:tcPr>
            <w:tcW w:type="dxa" w:w="2160"/>
          </w:tcPr>
          <w:p>
            <w:r>
              <w:t>3,472</w:t>
            </w:r>
          </w:p>
        </w:tc>
        <w:tc>
          <w:tcPr>
            <w:tcW w:type="dxa" w:w="2160"/>
          </w:tcPr>
          <w:p>
            <w:r>
              <w:t>3,552</w:t>
            </w:r>
          </w:p>
        </w:tc>
        <w:tc>
          <w:tcPr>
            <w:tcW w:type="dxa" w:w="2160"/>
          </w:tcPr>
          <w:p>
            <w:r>
              <w:t>80</w:t>
            </w:r>
          </w:p>
        </w:tc>
      </w:tr>
      <w:tr>
        <w:tc>
          <w:tcPr>
            <w:tcW w:type="dxa" w:w="2160"/>
          </w:tcPr>
          <w:p>
            <w:r>
              <w:t>购买饲料</w:t>
            </w:r>
          </w:p>
        </w:tc>
        <w:tc>
          <w:tcPr>
            <w:tcW w:type="dxa" w:w="2160"/>
          </w:tcPr>
          <w:p>
            <w:r>
              <w:t>824</w:t>
            </w:r>
          </w:p>
        </w:tc>
        <w:tc>
          <w:tcPr>
            <w:tcW w:type="dxa" w:w="2160"/>
          </w:tcPr>
          <w:p>
            <w:r>
              <w:t>1,042</w:t>
            </w:r>
          </w:p>
        </w:tc>
        <w:tc>
          <w:tcPr>
            <w:tcW w:type="dxa" w:w="2160"/>
          </w:tcPr>
          <w:p>
            <w:r>
              <w:t>218</w:t>
            </w:r>
          </w:p>
        </w:tc>
      </w:tr>
      <w:tr>
        <w:tc>
          <w:tcPr>
            <w:tcW w:type="dxa" w:w="2160"/>
          </w:tcPr>
          <w:p>
            <w:r>
              <w:t>可变成本</w:t>
            </w:r>
          </w:p>
        </w:tc>
        <w:tc>
          <w:tcPr>
            <w:tcW w:type="dxa" w:w="2160"/>
          </w:tcPr>
          <w:p>
            <w:r>
              <w:t>391</w:t>
            </w:r>
          </w:p>
        </w:tc>
        <w:tc>
          <w:tcPr>
            <w:tcW w:type="dxa" w:w="2160"/>
          </w:tcPr>
          <w:p>
            <w:r>
              <w:t>600</w:t>
            </w:r>
          </w:p>
        </w:tc>
        <w:tc>
          <w:tcPr>
            <w:tcW w:type="dxa" w:w="2160"/>
          </w:tcPr>
          <w:p>
            <w:r>
              <w:t>209</w:t>
            </w:r>
          </w:p>
        </w:tc>
      </w:tr>
      <w:tr>
        <w:tc>
          <w:tcPr>
            <w:tcW w:type="dxa" w:w="2160"/>
          </w:tcPr>
          <w:p>
            <w:r>
              <w:t>劳动力（有偿+无偿）</w:t>
            </w:r>
          </w:p>
        </w:tc>
        <w:tc>
          <w:tcPr>
            <w:tcW w:type="dxa" w:w="2160"/>
          </w:tcPr>
          <w:p>
            <w:r>
              <w:t>393</w:t>
            </w:r>
          </w:p>
        </w:tc>
        <w:tc>
          <w:tcPr>
            <w:tcW w:type="dxa" w:w="2160"/>
          </w:tcPr>
          <w:p>
            <w:r>
              <w:t>833</w:t>
            </w:r>
          </w:p>
        </w:tc>
        <w:tc>
          <w:tcPr>
            <w:tcW w:type="dxa" w:w="2160"/>
          </w:tcPr>
          <w:p>
            <w:r>
              <w:t>440</w:t>
            </w:r>
          </w:p>
        </w:tc>
      </w:tr>
      <w:tr>
        <w:tc>
          <w:tcPr>
            <w:tcW w:type="dxa" w:w="2160"/>
          </w:tcPr>
          <w:p>
            <w:r>
              <w:t>动力与机械</w:t>
            </w:r>
          </w:p>
        </w:tc>
        <w:tc>
          <w:tcPr>
            <w:tcW w:type="dxa" w:w="2160"/>
          </w:tcPr>
          <w:p>
            <w:r>
              <w:t>554</w:t>
            </w:r>
          </w:p>
        </w:tc>
        <w:tc>
          <w:tcPr>
            <w:tcW w:type="dxa" w:w="2160"/>
          </w:tcPr>
          <w:p>
            <w:r>
              <w:t>1,154</w:t>
            </w:r>
          </w:p>
        </w:tc>
        <w:tc>
          <w:tcPr>
            <w:tcW w:type="dxa" w:w="2160"/>
          </w:tcPr>
          <w:p>
            <w:r>
              <w:t>600</w:t>
            </w:r>
          </w:p>
        </w:tc>
      </w:tr>
      <w:tr>
        <w:tc>
          <w:tcPr>
            <w:tcW w:type="dxa" w:w="2160"/>
          </w:tcPr>
          <w:p>
            <w:r>
              <w:t>管理</w:t>
            </w:r>
          </w:p>
        </w:tc>
        <w:tc>
          <w:tcPr>
            <w:tcW w:type="dxa" w:w="2160"/>
          </w:tcPr>
          <w:p>
            <w:r>
              <w:t>161</w:t>
            </w:r>
          </w:p>
        </w:tc>
        <w:tc>
          <w:tcPr>
            <w:tcW w:type="dxa" w:w="2160"/>
          </w:tcPr>
          <w:p>
            <w:r>
              <w:t>221</w:t>
            </w:r>
          </w:p>
        </w:tc>
        <w:tc>
          <w:tcPr>
            <w:tcW w:type="dxa" w:w="2160"/>
          </w:tcPr>
          <w:p>
            <w:r>
              <w:t>60</w:t>
            </w:r>
          </w:p>
        </w:tc>
      </w:tr>
      <w:tr>
        <w:tc>
          <w:tcPr>
            <w:tcW w:type="dxa" w:w="2160"/>
          </w:tcPr>
          <w:p>
            <w:r>
              <w:t>房产维修</w:t>
            </w:r>
          </w:p>
        </w:tc>
        <w:tc>
          <w:tcPr>
            <w:tcW w:type="dxa" w:w="2160"/>
          </w:tcPr>
          <w:p>
            <w:r>
              <w:t>52</w:t>
            </w:r>
          </w:p>
        </w:tc>
        <w:tc>
          <w:tcPr>
            <w:tcW w:type="dxa" w:w="2160"/>
          </w:tcPr>
          <w:p>
            <w:r>
              <w:t>199</w:t>
            </w:r>
          </w:p>
        </w:tc>
        <w:tc>
          <w:tcPr>
            <w:tcW w:type="dxa" w:w="2160"/>
          </w:tcPr>
          <w:p>
            <w:r>
              <w:t>148</w:t>
            </w:r>
          </w:p>
        </w:tc>
      </w:tr>
      <w:tr>
        <w:tc>
          <w:tcPr>
            <w:tcW w:type="dxa" w:w="2160"/>
          </w:tcPr>
          <w:p>
            <w:r>
              <w:t>生产成本</w:t>
            </w:r>
          </w:p>
        </w:tc>
        <w:tc>
          <w:tcPr>
            <w:tcW w:type="dxa" w:w="2160"/>
          </w:tcPr>
          <w:p>
            <w:r>
              <w:t>2,375</w:t>
            </w:r>
          </w:p>
        </w:tc>
        <w:tc>
          <w:tcPr>
            <w:tcW w:type="dxa" w:w="2160"/>
          </w:tcPr>
          <w:p>
            <w:r>
              <w:t>4,049</w:t>
            </w:r>
          </w:p>
        </w:tc>
        <w:tc>
          <w:tcPr>
            <w:tcW w:type="dxa" w:w="2160"/>
          </w:tcPr>
          <w:p>
            <w:r>
              <w:t>1,674</w:t>
            </w:r>
          </w:p>
        </w:tc>
      </w:tr>
      <w:tr>
        <w:tc>
          <w:tcPr>
            <w:tcW w:type="dxa" w:w="2160"/>
          </w:tcPr>
          <w:p>
            <w:r>
              <w:t>可比农场利润/亏损</w:t>
            </w:r>
          </w:p>
        </w:tc>
        <w:tc>
          <w:tcPr>
            <w:tcW w:type="dxa" w:w="2160"/>
          </w:tcPr>
          <w:p>
            <w:r>
              <w:t>1,098</w:t>
            </w:r>
          </w:p>
        </w:tc>
        <w:tc>
          <w:tcPr>
            <w:tcW w:type="dxa" w:w="2160"/>
          </w:tcPr>
          <w:p>
            <w:r>
              <w:t>-497</w:t>
            </w:r>
          </w:p>
        </w:tc>
        <w:tc>
          <w:tcPr>
            <w:tcW w:type="dxa" w:w="2160"/>
          </w:tcPr>
          <w:p>
            <w:r>
              <w:t>(1,595)</w:t>
            </w:r>
          </w:p>
        </w:tc>
      </w:tr>
    </w:tbl>
    <w:p>
      <w:pPr>
        <w:pStyle w:val="Heading2"/>
      </w:pPr>
      <w:r>
        <w:t>成本结构分析：前 10% 与后 10%</w:t>
      </w:r>
    </w:p>
    <w:p>
      <w:r>
        <w:t>“前 10% 与后 10% 之间的关键差异是每头牛的劳动力成本和机械成本。那些无法通过更大牛群利用规模经济的人可能发现这一年更加困难。”</w:t>
      </w:r>
    </w:p>
    <w:p>
      <w:pPr>
        <w:pStyle w:val="ListBullet"/>
      </w:pPr>
      <w:r>
        <w:t>前 10% 的牛奶每头多收入 153 英镑，尽管其平均产量较低。</w:t>
      </w:r>
    </w:p>
    <w:p>
      <w:pPr>
        <w:pStyle w:val="ListBullet"/>
      </w:pPr>
      <w:r>
        <w:t>前 10% 与后 10% 之间的生产成本差异为每头 1,674 英镑，差距较 2023/24 年所见 1,752 英镑略有收窄。但仍远大于在极佳（且可能异常）的 2022/2023 年所见 163 英镑的差异。</w:t>
      </w:r>
    </w:p>
    <w:p>
      <w:pPr>
        <w:pStyle w:val="ListBullet"/>
      </w:pPr>
      <w:r>
        <w:t>与过去两年一样，前 10% 和后 10% 的每头成本并不一致。较小的牛群由于其数量较少，可能承受更高的每头劳动力和机械成本。</w:t>
      </w:r>
    </w:p>
    <w:p>
      <w:pPr>
        <w:pStyle w:val="ListBullet"/>
      </w:pPr>
      <w:r>
        <w:t>前 10% 的平均可比农场利润为 17.98 便士/升，而后 10% 为每升亏损 2.03 便士。</w:t>
      </w:r>
    </w:p>
    <w:p>
      <w:pPr>
        <w:pStyle w:val="ListBullet"/>
      </w:pPr>
      <w:r>
        <w:t>与前 10% 生产者相比，后 10% 的每头平均产量实际上更高（每年每头 6,342 升对前 10% 的 6,135 升）。然而，其内存在范围，前 10% 产量从每头 4,019 升到 8,113 升不等。后 10% 产量在每头 2,503 升到 8,979 升之间。这表明产量并非盈利能力的核心，正如先前报告所暗示的。</w:t>
      </w:r>
    </w:p>
    <w:p>
      <w:pPr>
        <w:pStyle w:val="ListBullet"/>
      </w:pPr>
      <w:r>
        <w:t>前 10% 在每头饲料上的支出实际上低于平均水平，这一领域仍是前 10% 与后 10% 之间的显著差异。前 10% 每头饲料支出比后 10% 少 218 英镑，然而后 10% 的每头支出实际上低于平均水平。</w:t>
      </w:r>
    </w:p>
    <w:p>
      <w:pPr>
        <w:pStyle w:val="ListBullet"/>
      </w:pPr>
      <w:r>
        <w:t>合并的劳动力以及动力和机械，即“作业成本”，后 10% 为每头 1,987 英镑，而前 10% 为每头 947 英镑。这一成本是一个重要差异，与去年大体相似。因此，那些前排生产者可能设法将作业成本保持与去年相似，从而享受了牛奶价格上涨带来的利润增加。</w:t>
      </w:r>
    </w:p>
    <w:p>
      <w:pPr>
        <w:pStyle w:val="ListBullet"/>
      </w:pPr>
      <w:r>
        <w:t>前 10% 的平均牛群比后 10% 大 342 头，而去年差距为 237 头。</w:t>
      </w:r>
    </w:p>
    <w:p>
      <w:pPr>
        <w:pStyle w:val="Heading2"/>
      </w:pPr>
      <w:r>
        <w:t>按每升便士计的农场盈利能力 vs 牛群规模（按产犊模式显示）</w:t>
      </w:r>
    </w:p>
    <w:p>
      <w:pPr>
        <w:pStyle w:val="ListBullet"/>
      </w:pPr>
      <w:r>
        <w:t>一个系统是高产还是低产，作为今年盈利能力的预测指标并不那么重要。</w:t>
      </w:r>
    </w:p>
    <w:p>
      <w:pPr>
        <w:pStyle w:val="ListBullet"/>
      </w:pPr>
      <w:r>
        <w:t>数据中缺乏趋势表明，每升农场盈利能力不受牛群规模影响。各种规模的牛群都能在每升基础上产生健康利润。</w:t>
      </w:r>
    </w:p>
    <w:p>
      <w:pPr>
        <w:pStyle w:val="ListBullet"/>
      </w:pPr>
      <w:r>
        <w:t>此外，图表显示产犊系统与更高利润之间没有明显相关性。此处的暗示是，所采用的系统并不是盈利能力的一个好的预测指标。</w:t>
      </w:r>
    </w:p>
    <w:p>
      <w:pPr>
        <w:pStyle w:val="ListBullet"/>
      </w:pPr>
      <w:r>
        <w:t>追求更高产量并不必然导致每头牛更高的盈利能力。这可能是去年报告中所注意到的持续趋势的症状，即奶牛场承受的成本正从饲料转移，更多地转向“作业成本”，如机械和劳动力成本。</w:t>
      </w:r>
    </w:p>
    <w:p>
      <w:pPr>
        <w:pStyle w:val="ListBullet"/>
      </w:pPr>
      <w:r>
        <w:t>所有农场的盈利能力都显著增长，包括后 10% 的生产者。前 10% 与后 10% 之间的差距并未显著扩大。</w:t>
      </w:r>
    </w:p>
    <w:p>
      <w:pPr>
        <w:pStyle w:val="ListBullet"/>
      </w:pPr>
      <w:r>
        <w:t>今年，由于平均牛奶价格高得多且成本未按相应幅度增长，很少有农场在现金流预测（CFP，Cash Flow Projection）基础上出现亏损。去年，许多农场在 CFP 基础上显示亏损。总体而言，这表明 2024/25 年对该行业来说是积极得多的一年。</w:t>
      </w:r>
    </w:p>
    <w:p>
      <w:r>
        <w:t>图表横轴类别：秋产犊（Autumn calving）、春产犊（Spring calving）、全年产犊（All year round calving）。纵轴为盈利能力（便士/升），刻度自 +25 至 -10。</w:t>
      </w:r>
    </w:p>
    <w:p>
      <w:pPr>
        <w:pStyle w:val="Heading2"/>
      </w:pPr>
      <w:r>
        <w:t>免责声明与联系方式</w:t>
      </w:r>
    </w:p>
    <w:p>
      <w:r>
        <w:t>本报告内容仅供一般信息之用。不应依赖本报告，在未获得适当专业建议的情况下，不应采取可能影响您业务的行动。请联系您通常的 Old Mill 或 Farm Consultancy Group 联系人当地办公室。</w:t>
      </w:r>
    </w:p>
    <w:p>
      <w:r>
        <w:t>The Farm Consultancy Group / Midwest Consulting Ltd，Suite 1, Security House, 3 Oxford Road, Yeovil, Somerset, BA21 5HR；电话 +44 (0)1935 850093；邮箱 midwest@fcgagric.com | fcgagric.com。</w:t>
      </w:r>
    </w:p>
    <w:p>
      <w:r>
        <w:t>财务专家 Old Mill 提供专业的农业会计、税务和财务规划服务。</w:t>
      </w:r>
    </w:p>
    <w:p>
      <w:r>
        <w:t>Old Mill 联系方式：邮箱 enquiries@om.uk | om.uk。Exeter：Leeward House, Fitzroy Road, Exeter Business Park, EX1 3LJ；电话 +44 (0)1392 214635。Chippenham：Unit 2, Greenways Business Park, Bellinger Close, SN15 1BN；电话 +44 (0)1225 701210。Wells：Bishopbrook House, Cathedral Avenue, BA5 1FD；电话 +44 (0)1749 343366。Yeovil：Maltravers House, Petters Way, BA20 1SH；电话 +44 (0)1935 426181。Ilminster - Brook Meads Barn, Ashwell Business Park, TA19 9DX；电话 +44 (0)1460 259852。</w:t>
      </w:r>
    </w:p>
    <w:p>
      <w:r>
        <w:t>版本：2025 年 9 月。Midwest Consulting Limited 受金融行为监管局（Financial Conduct Authority）监管，并是注册信贷经纪商 FRN793780。我们是 NACFB 会员。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