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by the School;</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School’s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In addition, I understand that any false claim in respect of this work will result in conduct action in accordance with University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except where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on a daily basis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5724000" cy="3962769"/>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724000" cy="3962769"/>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The target customers are dairy farms in Northern England with an existing handling race, electronic tags and a genuine verification burden. Neither AHDB’s 6,850 Great Britain dairy producers [13] nor Defra’s 1.849 million UK dairy cattle [14] states the Northern England farm count directly.</w:t>
            </w:r>
          </w:p>
          <w:p w14:paraId="46129D88" w14:textId="77777777" w:rsidR="00FF5A8D" w:rsidRDefault="00FF5A8D" w:rsidP="00FF5A8D">
            <w:r>
              <w:t xml:space="preserve">This report therefore estimates it from Defra's 2024 regional profiles [15]: total farms (agricultural area ÷ average farm size, Table 1.1) multiplied by the dairy share of holdings (Figure 1.7) gives ≈1,240 (North West), ≈406 (Yorkshire &amp; the Humber) and ≈63 (North East),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throughput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BBDFB5E" w14:textId="402A07B1"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rsidP="002D3390">
            <w:r w:rsidRPr="002D3390">
              <w:t>UR2</w:t>
            </w:r>
            <w:r w:rsidR="0079520A" w:rsidRPr="002D3390">
              <w:t>:</w:t>
            </w:r>
            <w:r w:rsidRPr="002D3390">
              <w:t xml:space="preserve"> The system must never guess an identity. Where an identifier cannot be read or confirmed, the passage must be held as unconfirmed and passed to staff for review, pausing intake if that review cannot be completed safely. Tags can be lost or unreadable [3], [6]; a guess would repeat the very record error this system exists to remove.</w:t>
            </w:r>
          </w:p>
          <w:p w14:paraId="532DDEBC" w14:textId="1867E0F3" w:rsidR="00FD21D4" w:rsidRDefault="00000000" w:rsidP="002D3390">
            <w:r w:rsidRPr="002D3390">
              <w:t>UR3</w:t>
            </w:r>
            <w:r w:rsidR="0079520A" w:rsidRPr="002D3390">
              <w:t>:</w:t>
            </w:r>
            <w:r w:rsidRPr="002D3390">
              <w:t xml:space="preserve"> 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[24], so external control is needed for routine use.</w:t>
            </w:r>
          </w:p>
          <w:p w14:paraId="615E6300" w14:textId="394ABCAF" w:rsidR="00FD21D4" w:rsidRDefault="00000000" w:rsidP="002D3390">
            <w:r w:rsidRPr="002D3390">
              <w:t>UR5</w:t>
            </w:r>
            <w:r w:rsidR="0079520A" w:rsidRPr="002D3390">
              <w:t>:</w:t>
            </w:r>
            <w:r w:rsidRPr="002D3390">
              <w:t xml:space="preserve"> The system must confirm the exit actually taken and record each passage as one complete, truthful event. A late reading or an incorrect route must not leave an apparently complete but false event record.</w:t>
            </w:r>
          </w:p>
          <w:p w14:paraId="7D08E85D" w14:textId="2E24DF03"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[25].</w:t>
            </w:r>
          </w:p>
          <w:p w14:paraId="49B6225A" w14:textId="26DB79C2" w:rsidR="00FD21D4" w:rsidRDefault="00000000" w:rsidP="002D3390">
            <w:r w:rsidRPr="002D3390">
              <w:t>UR8</w:t>
            </w:r>
            <w:r w:rsidR="0079520A" w:rsidRPr="002D3390">
              <w:t xml:space="preserve">: </w:t>
            </w:r>
            <w:r w:rsidRPr="002D3390">
              <w:t xml:space="preserve">he service must process 200 cattle within 90 minutes in the pilot, including repeated reads and reviews, without excessive queuing. Otherwise the checks would </w:t>
            </w:r>
            <w:r w:rsidRPr="002D3390">
              <w:lastRenderedPageBreak/>
              <w:t>delay normal handling; Section 8 identifies per-head processing as a possible bottleneck.</w:t>
            </w:r>
          </w:p>
          <w:p w14:paraId="6B50A777" w14:textId="16B323F0"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2D3390">
            <w:r w:rsidRPr="002D3390">
              <w:t>10.1 Physical structure</w:t>
            </w:r>
          </w:p>
          <w:p w14:paraId="73229A4D"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2D3390">
            <w:r w:rsidRPr="002D3390">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2D3390">
            <w:r w:rsidRPr="002D3390">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2D3390">
            <w:r w:rsidRPr="002D3390">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lastRenderedPageBreak/>
              <w:drawing>
                <wp:inline distT="0" distB="0" distL="0" distR="0" wp14:anchorId="1FBE1744" wp14:editId="5A8F5701">
                  <wp:extent cx="5270606" cy="2881152"/>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70606" cy="2881152"/>
                          </a:xfrm>
                          <a:prstGeom prst="rect">
                            <a:avLst/>
                          </a:prstGeom>
                        </pic:spPr>
                      </pic:pic>
                    </a:graphicData>
                  </a:graphic>
                </wp:inline>
              </w:drawing>
            </w:r>
            <w:r w:rsidRPr="002D3390">
              <w:br/>
              <w:t>Figure 1 — Race and diversion functional layout</w:t>
            </w:r>
          </w:p>
          <w:p w14:paraId="1947684F" w14:textId="77777777" w:rsidR="00EC0A8B" w:rsidRDefault="00EC0A8B" w:rsidP="002D3390">
            <w:r w:rsidRPr="002D3390">
              <w:t>10.2 Sensing equipment and capability boundaries</w:t>
            </w:r>
          </w:p>
          <w:p w14:paraId="63796DAC" w14:textId="77777777" w:rsidR="00EC0A8B" w:rsidRDefault="00EC0A8B" w:rsidP="002D3390">
            <w:r w:rsidRPr="002D3390">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44714A8F"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213CF8E6"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2D3390">
            <w:r w:rsidRPr="002D3390">
              <w:t>10.3 Control hardware, electrical and safety</w:t>
            </w:r>
          </w:p>
          <w:p w14:paraId="1F35FF5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2D3390">
            <w:r w:rsidRPr="002D3390">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5A38B4E0"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p w14:paraId="4C7FDA9A" w14:textId="77777777" w:rsidR="00EC0A8B" w:rsidRDefault="00EC0A8B" w:rsidP="002D3390">
            <w:r w:rsidRPr="002D3390">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5FF22EFE" w14:textId="77777777" w:rsidR="00EC0A8B" w:rsidRDefault="00EC0A8B" w:rsidP="002D3390">
            <w:r w:rsidRPr="002D3390">
              <w:t>10.4 Control algorithm and diversion logic</w:t>
            </w:r>
          </w:p>
          <w:p w14:paraId="6901B970" w14:textId="77777777" w:rsidR="00EC0A8B" w:rsidRDefault="00EC0A8B" w:rsidP="002D3390">
            <w:r w:rsidRPr="002D3390">
              <w:lastRenderedPageBreak/>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2D3390">
            <w:r w:rsidRPr="002D3390">
              <w:t>10.5 Data, software and the farmer interface</w:t>
            </w:r>
          </w:p>
          <w:p w14:paraId="109F4A88" w14:textId="77777777" w:rsidR="00EC0A8B" w:rsidRDefault="00EC0A8B" w:rsidP="002D3390">
            <w:r w:rsidRPr="002D3390">
              <w:t>Each event records its ID, timing, occupancy and gate state, raw and de-duplicated reads, device status, decision reason, planned and actual exit, operator and edit history.</w:t>
            </w:r>
          </w:p>
          <w:p w14:paraId="49FAEBB8"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rather than invent a number.</w:t>
            </w:r>
          </w:p>
          <w:p w14:paraId="3A31C10B"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2D3390">
            <w:r w:rsidRPr="002D3390">
              <w:t>10.6 LIS and farm-software interface</w:t>
            </w:r>
          </w:p>
          <w:p w14:paraId="01CFEFCE" w14:textId="77777777" w:rsidR="00EC0A8B" w:rsidRDefault="00EC0A8B" w:rsidP="002D3390">
            <w:r w:rsidRPr="002D3390">
              <w:t xml:space="preserve">Version 1 stores records locally and exports them for audit; direct LIS access is not assumed. If specifications and authorisation become available, an adapter will separate internal passages from reportable movements, validate fields, retain </w:t>
            </w:r>
            <w:r w:rsidRPr="002D3390">
              <w:t>submissions and receipts, prevent duplicates, and reconcile after outages [1], [8], [25].</w:t>
            </w:r>
          </w:p>
          <w:p w14:paraId="212F713A" w14:textId="77777777" w:rsidR="00EC0A8B" w:rsidRDefault="00EC0A8B" w:rsidP="002D3390">
            <w:r w:rsidRPr="002D3390">
              <w:t>The interface shows locally saved, pending, failed and receipt-confirmed states. Changes to official identity and statutory submissions require human approval. (UR6, UR7)</w:t>
            </w:r>
          </w:p>
          <w:p w14:paraId="34178B2D" w14:textId="77777777" w:rsidR="00EC0A8B" w:rsidRDefault="00EC0A8B" w:rsidP="002D3390">
            <w:r w:rsidRPr="002D3390">
              <w:t>10.7 Pricing, throughput and validation</w:t>
            </w:r>
          </w:p>
          <w:p w14:paraId="0643044F"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2D3390">
            <w:r w:rsidRPr="002D3390">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pPr>
        <w:keepLines/>
        <w:spacing w:after="100" w:line="240" w:lineRule="auto"/>
        <w:ind w:left="461" w:hanging="461"/>
        <w:rPr>
          <w:sz w:val="18"/>
        </w:rPr>
      </w:pPr>
      <w:r>
        <w:rPr>
          <w:sz w:val="18"/>
        </w:rPr>
        <w:t xml:space="preserve">[19]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pPr>
        <w:keepLines/>
        <w:spacing w:after="100" w:line="240" w:lineRule="auto"/>
        <w:ind w:left="461" w:hanging="461"/>
        <w:rPr>
          <w:sz w:val="18"/>
        </w:rPr>
      </w:pPr>
      <w:r>
        <w:rPr>
          <w:sz w:val="18"/>
        </w:rPr>
        <w:t xml:space="preserve">[20]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pPr>
        <w:keepLines/>
        <w:spacing w:after="100" w:line="240" w:lineRule="auto"/>
        <w:ind w:left="461" w:hanging="461"/>
        <w:rPr>
          <w:sz w:val="18"/>
        </w:rPr>
      </w:pPr>
      <w:r>
        <w:rPr>
          <w:sz w:val="18"/>
        </w:rPr>
        <w:t xml:space="preserve">[21] Tru-Test Datamars, “XRP2 panel reader and antenna,” n.d. [Online]. Available: https://us.tru-test.com/products/eid/xrp2-panel-reader-and-antennas. Accessed: Oct. 15, 2026.</w:t>
      </w:r>
    </w:p>
    <w:p>
      <w:pPr>
        <w:keepLines/>
        <w:spacing w:after="100" w:line="240" w:lineRule="auto"/>
        <w:ind w:left="461" w:hanging="461"/>
        <w:rPr>
          <w:sz w:val="18"/>
        </w:rPr>
      </w:pPr>
      <w:r>
        <w:rPr>
          <w:sz w:val="18"/>
        </w:rPr>
        <w:t xml:space="preserve">[22] Banner Engineering, “Ultrasonic sensors 101: Answers to your frequently asked questions,” n.d. [Online]. Available: https://www.bannerengineering.com/sg/en/company/expert-insights/ultrasonic-sensors-101.html.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EFCAFA0" w14:textId="77777777" w:rsidR="00FD21D4" w:rsidRDefault="00000000">
      <w:pPr>
        <w:keepLines/>
        <w:spacing w:after="100" w:line="240" w:lineRule="auto"/>
        <w:ind w:left="461" w:hanging="461"/>
      </w:pPr>
      <w:r>
        <w:rPr>
          <w:sz w:val="18"/>
        </w:rPr>
        <w:t>[24]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9520A"/>
    <w:rsid w:val="0082585F"/>
    <w:rsid w:val="00872F4F"/>
    <w:rsid w:val="008819BF"/>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4555</Words>
  <Characters>25964</Characters>
  <Application>Microsoft Office Word</Application>
  <DocSecurity>0</DocSecurity>
  <Lines>216</Lines>
  <Paragraphs>60</Paragraphs>
  <ScaleCrop>false</ScaleCrop>
  <Manager/>
  <Company/>
  <LinksUpToDate>false</LinksUpToDate>
  <CharactersWithSpaces>30459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5</cp:revision>
  <dcterms:created xsi:type="dcterms:W3CDTF">2026-10-15T14:03:00Z</dcterms:created>
  <dcterms:modified xsi:type="dcterms:W3CDTF">2026-10-17T09:27:00Z</dcterms:modified>
  <cp:category/>
</cp:coreProperties>
</file>